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887CB" w14:textId="77777777" w:rsidR="00C81C0C" w:rsidRPr="00234AC9" w:rsidRDefault="00C81C0C">
      <w:pPr>
        <w:rPr>
          <w:color w:val="000000" w:themeColor="text1"/>
        </w:rPr>
      </w:pPr>
    </w:p>
    <w:p w14:paraId="4B3887CC" w14:textId="77777777" w:rsidR="00C81C0C" w:rsidRPr="00234AC9" w:rsidRDefault="00C81C0C">
      <w:pPr>
        <w:rPr>
          <w:color w:val="000000" w:themeColor="text1"/>
        </w:rPr>
      </w:pPr>
    </w:p>
    <w:p w14:paraId="4B3887CD" w14:textId="77777777" w:rsidR="00C81C0C" w:rsidRPr="00234AC9" w:rsidRDefault="00C81C0C">
      <w:pPr>
        <w:rPr>
          <w:color w:val="000000" w:themeColor="text1"/>
        </w:rPr>
      </w:pPr>
    </w:p>
    <w:p w14:paraId="4B3887CE" w14:textId="77777777" w:rsidR="00C81C0C" w:rsidRPr="00234AC9" w:rsidRDefault="00C81C0C">
      <w:pPr>
        <w:rPr>
          <w:color w:val="000000" w:themeColor="text1"/>
        </w:rPr>
      </w:pPr>
    </w:p>
    <w:p w14:paraId="4B3887CF" w14:textId="77777777" w:rsidR="00C81C0C" w:rsidRPr="00234AC9" w:rsidRDefault="00C81C0C">
      <w:pPr>
        <w:rPr>
          <w:color w:val="000000" w:themeColor="text1"/>
        </w:rPr>
      </w:pPr>
    </w:p>
    <w:p w14:paraId="4B3887D0" w14:textId="77777777" w:rsidR="00C81C0C" w:rsidRPr="00234AC9" w:rsidRDefault="00C81C0C">
      <w:pPr>
        <w:rPr>
          <w:color w:val="000000" w:themeColor="text1"/>
        </w:rPr>
      </w:pPr>
    </w:p>
    <w:p w14:paraId="4B3887D1" w14:textId="77777777" w:rsidR="00C81C0C" w:rsidRPr="00234AC9" w:rsidRDefault="00C81C0C">
      <w:pPr>
        <w:rPr>
          <w:color w:val="000000" w:themeColor="text1"/>
        </w:rPr>
      </w:pPr>
    </w:p>
    <w:p w14:paraId="4B3887D2" w14:textId="77777777" w:rsidR="00C81C0C" w:rsidRPr="00234AC9" w:rsidRDefault="00C81C0C">
      <w:pPr>
        <w:rPr>
          <w:color w:val="000000" w:themeColor="text1"/>
        </w:rPr>
      </w:pPr>
    </w:p>
    <w:p w14:paraId="4B3887D3" w14:textId="77777777" w:rsidR="00C81C0C" w:rsidRPr="00234AC9" w:rsidRDefault="00C81C0C">
      <w:pPr>
        <w:rPr>
          <w:color w:val="000000" w:themeColor="text1"/>
        </w:rPr>
      </w:pPr>
    </w:p>
    <w:p w14:paraId="4B3887D4" w14:textId="77777777" w:rsidR="00C81C0C" w:rsidRPr="00234AC9" w:rsidRDefault="00C81C0C">
      <w:pPr>
        <w:rPr>
          <w:color w:val="000000" w:themeColor="text1"/>
        </w:rPr>
      </w:pPr>
    </w:p>
    <w:p w14:paraId="4B3887D5" w14:textId="77777777" w:rsidR="00C81C0C" w:rsidRPr="00234AC9" w:rsidRDefault="00C81C0C">
      <w:pPr>
        <w:rPr>
          <w:color w:val="000000" w:themeColor="text1"/>
        </w:rPr>
      </w:pPr>
    </w:p>
    <w:p w14:paraId="4B3887D6" w14:textId="77777777" w:rsidR="00C81C0C" w:rsidRPr="00234AC9" w:rsidRDefault="00C81C0C">
      <w:pPr>
        <w:rPr>
          <w:color w:val="000000" w:themeColor="text1"/>
        </w:rPr>
      </w:pPr>
    </w:p>
    <w:p w14:paraId="4B3887D7" w14:textId="77777777" w:rsidR="00C81C0C" w:rsidRPr="00234AC9" w:rsidRDefault="00C81C0C">
      <w:pPr>
        <w:rPr>
          <w:color w:val="000000" w:themeColor="text1"/>
        </w:rPr>
      </w:pPr>
    </w:p>
    <w:p w14:paraId="4B3887D8" w14:textId="77777777" w:rsidR="00C81C0C" w:rsidRPr="00234AC9" w:rsidRDefault="00C81C0C">
      <w:pPr>
        <w:rPr>
          <w:color w:val="000000" w:themeColor="text1"/>
        </w:rPr>
      </w:pPr>
    </w:p>
    <w:tbl>
      <w:tblPr>
        <w:tblpPr w:leftFromText="180" w:rightFromText="180" w:vertAnchor="page" w:horzAnchor="margin" w:tblpXSpec="center" w:tblpY="4321"/>
        <w:tblW w:w="0" w:type="auto"/>
        <w:tblLayout w:type="fixed"/>
        <w:tblLook w:val="04A0" w:firstRow="1" w:lastRow="0" w:firstColumn="1" w:lastColumn="0" w:noHBand="0" w:noVBand="1"/>
      </w:tblPr>
      <w:tblGrid>
        <w:gridCol w:w="5540"/>
      </w:tblGrid>
      <w:tr w:rsidR="00234AC9" w:rsidRPr="00234AC9" w14:paraId="4B3887DA" w14:textId="77777777">
        <w:trPr>
          <w:trHeight w:val="765"/>
        </w:trPr>
        <w:tc>
          <w:tcPr>
            <w:tcW w:w="5540" w:type="dxa"/>
            <w:vAlign w:val="center"/>
          </w:tcPr>
          <w:p w14:paraId="4B3887D9" w14:textId="15143ECD" w:rsidR="00C81C0C" w:rsidRPr="00234AC9" w:rsidRDefault="00000000">
            <w:pPr>
              <w:widowControl/>
              <w:jc w:val="center"/>
              <w:rPr>
                <w:b/>
                <w:bCs/>
                <w:color w:val="000000" w:themeColor="text1"/>
                <w:kern w:val="0"/>
                <w:sz w:val="32"/>
                <w:szCs w:val="32"/>
              </w:rPr>
            </w:pPr>
            <w:r w:rsidRPr="00234AC9">
              <w:rPr>
                <w:rFonts w:ascii="宋体" w:hAnsi="宋体" w:cs="Arial" w:hint="eastAsia"/>
                <w:b/>
                <w:color w:val="000000" w:themeColor="text1"/>
                <w:kern w:val="0"/>
                <w:sz w:val="32"/>
                <w:szCs w:val="32"/>
              </w:rPr>
              <w:t>福建广生堂药业股份有限公司</w:t>
            </w:r>
          </w:p>
        </w:tc>
      </w:tr>
      <w:tr w:rsidR="00234AC9" w:rsidRPr="00234AC9" w14:paraId="4B3887DC" w14:textId="77777777">
        <w:trPr>
          <w:trHeight w:val="765"/>
        </w:trPr>
        <w:tc>
          <w:tcPr>
            <w:tcW w:w="5540" w:type="dxa"/>
            <w:vAlign w:val="center"/>
          </w:tcPr>
          <w:p w14:paraId="4B3887DB" w14:textId="77777777" w:rsidR="00C81C0C" w:rsidRPr="00234AC9" w:rsidRDefault="00000000">
            <w:pPr>
              <w:widowControl/>
              <w:jc w:val="center"/>
              <w:rPr>
                <w:b/>
                <w:bCs/>
                <w:color w:val="000000" w:themeColor="text1"/>
                <w:kern w:val="0"/>
                <w:sz w:val="32"/>
                <w:szCs w:val="32"/>
              </w:rPr>
            </w:pPr>
            <w:r w:rsidRPr="00234AC9">
              <w:rPr>
                <w:rFonts w:ascii="宋体" w:hAnsi="宋体" w:hint="eastAsia"/>
                <w:b/>
                <w:color w:val="000000" w:themeColor="text1"/>
                <w:sz w:val="32"/>
              </w:rPr>
              <w:t>募集资金存放与使用情况</w:t>
            </w:r>
            <w:proofErr w:type="gramStart"/>
            <w:r w:rsidRPr="00234AC9">
              <w:rPr>
                <w:rFonts w:ascii="宋体" w:hAnsi="宋体" w:hint="eastAsia"/>
                <w:b/>
                <w:color w:val="000000" w:themeColor="text1"/>
                <w:sz w:val="32"/>
              </w:rPr>
              <w:t>鉴证</w:t>
            </w:r>
            <w:proofErr w:type="gramEnd"/>
            <w:r w:rsidRPr="00234AC9">
              <w:rPr>
                <w:rFonts w:ascii="宋体" w:hAnsi="宋体" w:hint="eastAsia"/>
                <w:b/>
                <w:color w:val="000000" w:themeColor="text1"/>
                <w:sz w:val="32"/>
              </w:rPr>
              <w:t>报告</w:t>
            </w:r>
          </w:p>
        </w:tc>
      </w:tr>
      <w:tr w:rsidR="00234AC9" w:rsidRPr="00234AC9" w14:paraId="4B3887DE" w14:textId="77777777">
        <w:trPr>
          <w:trHeight w:val="765"/>
        </w:trPr>
        <w:tc>
          <w:tcPr>
            <w:tcW w:w="5540" w:type="dxa"/>
            <w:vAlign w:val="center"/>
          </w:tcPr>
          <w:p w14:paraId="4B3887DD" w14:textId="2E020869" w:rsidR="00C81C0C" w:rsidRPr="00234AC9" w:rsidRDefault="00402313">
            <w:pPr>
              <w:widowControl/>
              <w:jc w:val="center"/>
              <w:rPr>
                <w:b/>
                <w:bCs/>
                <w:color w:val="000000" w:themeColor="text1"/>
                <w:kern w:val="0"/>
              </w:rPr>
            </w:pPr>
            <w:r w:rsidRPr="00402313">
              <w:rPr>
                <w:rFonts w:ascii="宋体" w:hAnsi="宋体" w:cs="宋体" w:hint="eastAsia"/>
                <w:b/>
                <w:bCs/>
                <w:color w:val="000000" w:themeColor="text1"/>
                <w:kern w:val="0"/>
              </w:rPr>
              <w:t>德</w:t>
            </w:r>
            <w:proofErr w:type="gramStart"/>
            <w:r w:rsidRPr="00402313">
              <w:rPr>
                <w:rFonts w:ascii="宋体" w:hAnsi="宋体" w:cs="宋体" w:hint="eastAsia"/>
                <w:b/>
                <w:bCs/>
                <w:color w:val="000000" w:themeColor="text1"/>
                <w:kern w:val="0"/>
              </w:rPr>
              <w:t>皓</w:t>
            </w:r>
            <w:proofErr w:type="gramEnd"/>
            <w:r w:rsidRPr="00402313">
              <w:rPr>
                <w:rFonts w:ascii="宋体" w:hAnsi="宋体" w:cs="宋体" w:hint="eastAsia"/>
                <w:b/>
                <w:bCs/>
                <w:color w:val="000000" w:themeColor="text1"/>
                <w:kern w:val="0"/>
              </w:rPr>
              <w:t>核字[2025]00000706号</w:t>
            </w:r>
          </w:p>
        </w:tc>
      </w:tr>
    </w:tbl>
    <w:p w14:paraId="4B3887DF" w14:textId="77777777" w:rsidR="00C81C0C" w:rsidRPr="00234AC9" w:rsidRDefault="00C81C0C">
      <w:pPr>
        <w:rPr>
          <w:color w:val="000000" w:themeColor="text1"/>
        </w:rPr>
      </w:pPr>
    </w:p>
    <w:p w14:paraId="4B3887E0" w14:textId="77777777" w:rsidR="00C81C0C" w:rsidRPr="00234AC9" w:rsidRDefault="00C81C0C">
      <w:pPr>
        <w:rPr>
          <w:color w:val="000000" w:themeColor="text1"/>
        </w:rPr>
      </w:pPr>
    </w:p>
    <w:p w14:paraId="4B3887E1" w14:textId="77777777" w:rsidR="00C81C0C" w:rsidRPr="00234AC9" w:rsidRDefault="00C81C0C">
      <w:pPr>
        <w:rPr>
          <w:color w:val="000000" w:themeColor="text1"/>
        </w:rPr>
      </w:pPr>
    </w:p>
    <w:p w14:paraId="4B3887E2" w14:textId="77777777" w:rsidR="00C81C0C" w:rsidRPr="00234AC9" w:rsidRDefault="00C81C0C">
      <w:pPr>
        <w:rPr>
          <w:color w:val="000000" w:themeColor="text1"/>
        </w:rPr>
      </w:pPr>
    </w:p>
    <w:p w14:paraId="4B3887E3" w14:textId="77777777" w:rsidR="00C81C0C" w:rsidRPr="00234AC9" w:rsidRDefault="00C81C0C">
      <w:pPr>
        <w:rPr>
          <w:color w:val="000000" w:themeColor="text1"/>
        </w:rPr>
      </w:pPr>
    </w:p>
    <w:p w14:paraId="4B3887E4" w14:textId="77777777" w:rsidR="00C81C0C" w:rsidRPr="00234AC9" w:rsidRDefault="00C81C0C">
      <w:pPr>
        <w:rPr>
          <w:color w:val="000000" w:themeColor="text1"/>
        </w:rPr>
      </w:pPr>
    </w:p>
    <w:p w14:paraId="4B3887E5" w14:textId="77777777" w:rsidR="00C81C0C" w:rsidRPr="00234AC9" w:rsidRDefault="00C81C0C">
      <w:pPr>
        <w:rPr>
          <w:color w:val="000000" w:themeColor="text1"/>
        </w:rPr>
      </w:pPr>
    </w:p>
    <w:p w14:paraId="4B3887E6" w14:textId="77777777" w:rsidR="00C81C0C" w:rsidRPr="00234AC9" w:rsidRDefault="00C81C0C">
      <w:pPr>
        <w:rPr>
          <w:color w:val="000000" w:themeColor="text1"/>
        </w:rPr>
      </w:pPr>
    </w:p>
    <w:p w14:paraId="4B3887E7" w14:textId="77777777" w:rsidR="00C81C0C" w:rsidRPr="00234AC9" w:rsidRDefault="00C81C0C">
      <w:pPr>
        <w:rPr>
          <w:color w:val="000000" w:themeColor="text1"/>
        </w:rPr>
      </w:pPr>
    </w:p>
    <w:p w14:paraId="4B3887E8" w14:textId="77777777" w:rsidR="00C81C0C" w:rsidRPr="00234AC9" w:rsidRDefault="00C81C0C">
      <w:pPr>
        <w:rPr>
          <w:color w:val="000000" w:themeColor="text1"/>
        </w:rPr>
      </w:pPr>
    </w:p>
    <w:p w14:paraId="4B3887E9" w14:textId="77777777" w:rsidR="00C81C0C" w:rsidRPr="00234AC9" w:rsidRDefault="00C81C0C">
      <w:pPr>
        <w:rPr>
          <w:color w:val="000000" w:themeColor="text1"/>
        </w:rPr>
      </w:pPr>
    </w:p>
    <w:p w14:paraId="4B3887EA" w14:textId="77777777" w:rsidR="00C81C0C" w:rsidRPr="00234AC9" w:rsidRDefault="00C81C0C">
      <w:pPr>
        <w:rPr>
          <w:color w:val="000000" w:themeColor="text1"/>
        </w:rPr>
      </w:pPr>
    </w:p>
    <w:p w14:paraId="4B3887EB" w14:textId="77777777" w:rsidR="00C81C0C" w:rsidRPr="00234AC9" w:rsidRDefault="00C81C0C">
      <w:pPr>
        <w:rPr>
          <w:color w:val="000000" w:themeColor="text1"/>
        </w:rPr>
      </w:pPr>
    </w:p>
    <w:p w14:paraId="3A983D52" w14:textId="77777777" w:rsidR="00234AC9" w:rsidRPr="00234AC9" w:rsidRDefault="00234AC9">
      <w:pPr>
        <w:rPr>
          <w:color w:val="000000" w:themeColor="text1"/>
        </w:rPr>
      </w:pPr>
    </w:p>
    <w:p w14:paraId="179C5314" w14:textId="77777777" w:rsidR="00234AC9" w:rsidRPr="00234AC9" w:rsidRDefault="00234AC9">
      <w:pPr>
        <w:rPr>
          <w:color w:val="000000" w:themeColor="text1"/>
        </w:rPr>
      </w:pPr>
    </w:p>
    <w:p w14:paraId="24B49B0B" w14:textId="77777777" w:rsidR="00234AC9" w:rsidRPr="00234AC9" w:rsidRDefault="00234AC9">
      <w:pPr>
        <w:rPr>
          <w:color w:val="000000" w:themeColor="text1"/>
        </w:rPr>
      </w:pPr>
    </w:p>
    <w:p w14:paraId="5E7A339C" w14:textId="77777777" w:rsidR="00234AC9" w:rsidRPr="00234AC9" w:rsidRDefault="00234AC9">
      <w:pPr>
        <w:rPr>
          <w:color w:val="000000" w:themeColor="text1"/>
        </w:rPr>
      </w:pPr>
    </w:p>
    <w:p w14:paraId="4C617A89" w14:textId="77777777" w:rsidR="00234AC9" w:rsidRPr="00234AC9" w:rsidRDefault="00234AC9">
      <w:pPr>
        <w:rPr>
          <w:color w:val="000000" w:themeColor="text1"/>
        </w:rPr>
      </w:pPr>
    </w:p>
    <w:p w14:paraId="5FEEFD39" w14:textId="77777777" w:rsidR="00234AC9" w:rsidRPr="00234AC9" w:rsidRDefault="00234AC9">
      <w:pPr>
        <w:rPr>
          <w:color w:val="000000" w:themeColor="text1"/>
        </w:rPr>
      </w:pPr>
    </w:p>
    <w:p w14:paraId="26633791" w14:textId="77777777" w:rsidR="00234AC9" w:rsidRPr="00234AC9" w:rsidRDefault="00234AC9">
      <w:pPr>
        <w:rPr>
          <w:color w:val="000000" w:themeColor="text1"/>
        </w:rPr>
      </w:pPr>
    </w:p>
    <w:p w14:paraId="01A8B4FB" w14:textId="77777777" w:rsidR="00234AC9" w:rsidRPr="00234AC9" w:rsidRDefault="00234AC9">
      <w:pPr>
        <w:rPr>
          <w:color w:val="000000" w:themeColor="text1"/>
        </w:rPr>
      </w:pPr>
    </w:p>
    <w:p w14:paraId="17CC69EB" w14:textId="77777777" w:rsidR="00234AC9" w:rsidRPr="00234AC9" w:rsidRDefault="00234AC9">
      <w:pPr>
        <w:rPr>
          <w:color w:val="000000" w:themeColor="text1"/>
        </w:rPr>
      </w:pPr>
    </w:p>
    <w:p w14:paraId="0B9F039D" w14:textId="77777777" w:rsidR="00234AC9" w:rsidRPr="00234AC9" w:rsidRDefault="00234AC9">
      <w:pPr>
        <w:rPr>
          <w:color w:val="000000" w:themeColor="text1"/>
        </w:rPr>
      </w:pPr>
    </w:p>
    <w:p w14:paraId="1CE9DE40" w14:textId="77777777" w:rsidR="00234AC9" w:rsidRPr="00234AC9" w:rsidRDefault="00234AC9">
      <w:pPr>
        <w:rPr>
          <w:color w:val="000000" w:themeColor="text1"/>
        </w:rPr>
      </w:pPr>
    </w:p>
    <w:p w14:paraId="4401705B" w14:textId="77777777" w:rsidR="00234AC9" w:rsidRPr="00234AC9" w:rsidRDefault="00234AC9">
      <w:pPr>
        <w:rPr>
          <w:color w:val="000000" w:themeColor="text1"/>
        </w:rPr>
      </w:pPr>
    </w:p>
    <w:p w14:paraId="693AABE0" w14:textId="77777777" w:rsidR="00234AC9" w:rsidRPr="00234AC9" w:rsidRDefault="00234AC9">
      <w:pPr>
        <w:rPr>
          <w:color w:val="000000" w:themeColor="text1"/>
        </w:rPr>
      </w:pPr>
    </w:p>
    <w:p w14:paraId="688133D5" w14:textId="77777777" w:rsidR="00234AC9" w:rsidRPr="00234AC9" w:rsidRDefault="00234AC9">
      <w:pPr>
        <w:rPr>
          <w:color w:val="000000" w:themeColor="text1"/>
        </w:rPr>
      </w:pPr>
    </w:p>
    <w:p w14:paraId="205DA799" w14:textId="77777777" w:rsidR="00234AC9" w:rsidRPr="00234AC9" w:rsidRDefault="00234AC9">
      <w:pPr>
        <w:rPr>
          <w:color w:val="000000" w:themeColor="text1"/>
        </w:rPr>
      </w:pPr>
    </w:p>
    <w:p w14:paraId="6C0F3B33" w14:textId="77777777" w:rsidR="00234AC9" w:rsidRPr="00234AC9" w:rsidRDefault="00234AC9">
      <w:pPr>
        <w:rPr>
          <w:color w:val="000000" w:themeColor="text1"/>
        </w:rPr>
      </w:pPr>
    </w:p>
    <w:p w14:paraId="1AC75E3D" w14:textId="77777777" w:rsidR="00234AC9" w:rsidRPr="00234AC9" w:rsidRDefault="00234AC9">
      <w:pPr>
        <w:rPr>
          <w:color w:val="000000" w:themeColor="text1"/>
        </w:rPr>
      </w:pPr>
    </w:p>
    <w:p w14:paraId="0B1DAEAC" w14:textId="77777777" w:rsidR="00234AC9" w:rsidRPr="00234AC9" w:rsidRDefault="00234AC9">
      <w:pPr>
        <w:rPr>
          <w:color w:val="000000" w:themeColor="text1"/>
        </w:rPr>
      </w:pPr>
    </w:p>
    <w:p w14:paraId="24247F32" w14:textId="77777777" w:rsidR="00234AC9" w:rsidRPr="00234AC9" w:rsidRDefault="00234AC9">
      <w:pPr>
        <w:rPr>
          <w:color w:val="000000" w:themeColor="text1"/>
        </w:rPr>
      </w:pPr>
    </w:p>
    <w:p w14:paraId="07C3BFDF" w14:textId="77777777" w:rsidR="00234AC9" w:rsidRPr="00234AC9" w:rsidRDefault="00234AC9">
      <w:pPr>
        <w:rPr>
          <w:color w:val="000000" w:themeColor="text1"/>
        </w:rPr>
      </w:pPr>
    </w:p>
    <w:p w14:paraId="6ECF43B0" w14:textId="77777777" w:rsidR="00234AC9" w:rsidRPr="00234AC9" w:rsidRDefault="00234AC9">
      <w:pPr>
        <w:rPr>
          <w:color w:val="000000" w:themeColor="text1"/>
        </w:rPr>
      </w:pPr>
    </w:p>
    <w:p w14:paraId="4B3887EC" w14:textId="77777777" w:rsidR="00C81C0C" w:rsidRPr="00234AC9" w:rsidRDefault="00C81C0C">
      <w:pPr>
        <w:rPr>
          <w:color w:val="000000" w:themeColor="text1"/>
        </w:rPr>
      </w:pPr>
    </w:p>
    <w:p w14:paraId="4B3887ED" w14:textId="77777777" w:rsidR="00C81C0C" w:rsidRPr="00234AC9" w:rsidRDefault="00C81C0C">
      <w:pPr>
        <w:rPr>
          <w:color w:val="000000" w:themeColor="text1"/>
        </w:rPr>
      </w:pPr>
    </w:p>
    <w:p w14:paraId="62B4E130" w14:textId="77777777" w:rsidR="00C81C0C" w:rsidRPr="00234AC9" w:rsidRDefault="00000000">
      <w:pPr>
        <w:spacing w:line="360" w:lineRule="auto"/>
        <w:jc w:val="center"/>
        <w:rPr>
          <w:color w:val="000000" w:themeColor="text1"/>
          <w:szCs w:val="21"/>
        </w:rPr>
      </w:pPr>
      <w:r w:rsidRPr="00234AC9">
        <w:rPr>
          <w:b/>
          <w:color w:val="000000" w:themeColor="text1"/>
          <w:spacing w:val="40"/>
          <w:kern w:val="0"/>
          <w:sz w:val="30"/>
          <w:szCs w:val="30"/>
        </w:rPr>
        <w:t>北京德</w:t>
      </w:r>
      <w:proofErr w:type="gramStart"/>
      <w:r w:rsidRPr="00234AC9">
        <w:rPr>
          <w:b/>
          <w:color w:val="000000" w:themeColor="text1"/>
          <w:spacing w:val="40"/>
          <w:kern w:val="0"/>
          <w:sz w:val="30"/>
          <w:szCs w:val="30"/>
        </w:rPr>
        <w:t>皓</w:t>
      </w:r>
      <w:proofErr w:type="gramEnd"/>
      <w:r w:rsidRPr="00234AC9">
        <w:rPr>
          <w:b/>
          <w:color w:val="000000" w:themeColor="text1"/>
          <w:spacing w:val="40"/>
          <w:kern w:val="0"/>
          <w:sz w:val="30"/>
          <w:szCs w:val="30"/>
        </w:rPr>
        <w:t>国际会计师事务所</w:t>
      </w:r>
      <w:r w:rsidRPr="00234AC9">
        <w:rPr>
          <w:b/>
          <w:color w:val="000000" w:themeColor="text1"/>
          <w:spacing w:val="40"/>
          <w:kern w:val="0"/>
          <w:sz w:val="30"/>
          <w:szCs w:val="30"/>
        </w:rPr>
        <w:t>(</w:t>
      </w:r>
      <w:r w:rsidRPr="00234AC9">
        <w:rPr>
          <w:b/>
          <w:color w:val="000000" w:themeColor="text1"/>
          <w:spacing w:val="40"/>
          <w:kern w:val="0"/>
          <w:sz w:val="30"/>
          <w:szCs w:val="30"/>
        </w:rPr>
        <w:t>特殊普通合伙</w:t>
      </w:r>
      <w:r w:rsidRPr="00234AC9">
        <w:rPr>
          <w:b/>
          <w:color w:val="000000" w:themeColor="text1"/>
          <w:spacing w:val="40"/>
          <w:kern w:val="0"/>
          <w:sz w:val="30"/>
          <w:szCs w:val="30"/>
        </w:rPr>
        <w:t>)</w:t>
      </w:r>
    </w:p>
    <w:p w14:paraId="502FCEDF" w14:textId="77777777" w:rsidR="00C81C0C" w:rsidRPr="00234AC9" w:rsidRDefault="00000000">
      <w:pPr>
        <w:spacing w:line="360" w:lineRule="auto"/>
        <w:jc w:val="center"/>
        <w:rPr>
          <w:color w:val="000000" w:themeColor="text1"/>
        </w:rPr>
      </w:pPr>
      <w:r w:rsidRPr="00234AC9">
        <w:rPr>
          <w:color w:val="000000" w:themeColor="text1"/>
          <w:spacing w:val="-8"/>
          <w:sz w:val="24"/>
        </w:rPr>
        <w:t>Beijing Dehao International Certified Public Accountants (Limited Liability Partnership)</w:t>
      </w:r>
    </w:p>
    <w:p w14:paraId="4B3887F3" w14:textId="77777777" w:rsidR="00C81C0C" w:rsidRPr="00234AC9" w:rsidRDefault="00C81C0C">
      <w:pPr>
        <w:rPr>
          <w:color w:val="000000" w:themeColor="text1"/>
        </w:rPr>
      </w:pPr>
    </w:p>
    <w:p w14:paraId="5CE04748" w14:textId="77777777" w:rsidR="00C81C0C" w:rsidRPr="00234AC9" w:rsidRDefault="00C81C0C">
      <w:pPr>
        <w:spacing w:line="400" w:lineRule="exact"/>
        <w:rPr>
          <w:b/>
          <w:color w:val="000000" w:themeColor="text1"/>
          <w:sz w:val="24"/>
        </w:rPr>
        <w:sectPr w:rsidR="00C81C0C" w:rsidRPr="00234AC9" w:rsidSect="00040FB7">
          <w:headerReference w:type="even" r:id="rId7"/>
          <w:headerReference w:type="default" r:id="rId8"/>
          <w:footerReference w:type="even" r:id="rId9"/>
          <w:footerReference w:type="default" r:id="rId10"/>
          <w:headerReference w:type="first" r:id="rId11"/>
          <w:footerReference w:type="first" r:id="rId12"/>
          <w:pgSz w:w="11907" w:h="16840"/>
          <w:pgMar w:top="1724" w:right="1797" w:bottom="1440" w:left="1797" w:header="851" w:footer="992" w:gutter="0"/>
          <w:pgNumType w:start="0"/>
          <w:cols w:space="720"/>
          <w:docGrid w:linePitch="398"/>
        </w:sectPr>
      </w:pPr>
    </w:p>
    <w:p w14:paraId="4B3887F5" w14:textId="77777777" w:rsidR="00C81C0C" w:rsidRPr="00234AC9" w:rsidRDefault="00C81C0C">
      <w:pPr>
        <w:adjustRightInd w:val="0"/>
        <w:snapToGrid w:val="0"/>
        <w:spacing w:line="360" w:lineRule="auto"/>
        <w:jc w:val="left"/>
        <w:rPr>
          <w:rFonts w:ascii="宋体" w:hAnsi="宋体" w:hint="eastAsia"/>
          <w:b/>
          <w:color w:val="000000" w:themeColor="text1"/>
          <w:sz w:val="32"/>
          <w:szCs w:val="32"/>
        </w:rPr>
      </w:pPr>
    </w:p>
    <w:p w14:paraId="4B3887F6" w14:textId="08CFF9E0" w:rsidR="00C81C0C" w:rsidRPr="00234AC9" w:rsidRDefault="00000000">
      <w:pPr>
        <w:widowControl/>
        <w:snapToGrid w:val="0"/>
        <w:spacing w:line="360" w:lineRule="auto"/>
        <w:jc w:val="center"/>
        <w:outlineLvl w:val="0"/>
        <w:rPr>
          <w:rFonts w:ascii="宋体" w:hAnsi="宋体" w:cs="Arial" w:hint="eastAsia"/>
          <w:b/>
          <w:bCs/>
          <w:color w:val="000000" w:themeColor="text1"/>
          <w:kern w:val="0"/>
          <w:sz w:val="32"/>
          <w:szCs w:val="32"/>
        </w:rPr>
      </w:pPr>
      <w:r w:rsidRPr="00234AC9">
        <w:rPr>
          <w:rFonts w:ascii="宋体" w:hAnsi="宋体" w:cs="Arial" w:hint="eastAsia"/>
          <w:b/>
          <w:color w:val="000000" w:themeColor="text1"/>
          <w:kern w:val="0"/>
          <w:sz w:val="32"/>
          <w:szCs w:val="32"/>
        </w:rPr>
        <w:t>福建广生堂药业股份有限公司</w:t>
      </w:r>
    </w:p>
    <w:p w14:paraId="4B3887F7" w14:textId="77777777" w:rsidR="00C81C0C" w:rsidRPr="00234AC9" w:rsidRDefault="00000000">
      <w:pPr>
        <w:adjustRightInd w:val="0"/>
        <w:snapToGrid w:val="0"/>
        <w:spacing w:line="360" w:lineRule="auto"/>
        <w:jc w:val="center"/>
        <w:rPr>
          <w:rFonts w:ascii="宋体" w:hAnsi="宋体" w:hint="eastAsia"/>
          <w:b/>
          <w:color w:val="000000" w:themeColor="text1"/>
          <w:sz w:val="32"/>
          <w:szCs w:val="32"/>
        </w:rPr>
      </w:pPr>
      <w:r w:rsidRPr="00234AC9">
        <w:rPr>
          <w:rFonts w:ascii="宋体" w:hAnsi="宋体" w:hint="eastAsia"/>
          <w:b/>
          <w:color w:val="000000" w:themeColor="text1"/>
          <w:sz w:val="32"/>
          <w:szCs w:val="32"/>
        </w:rPr>
        <w:t>募集资金存放与使用情况</w:t>
      </w:r>
      <w:proofErr w:type="gramStart"/>
      <w:r w:rsidRPr="00234AC9">
        <w:rPr>
          <w:rFonts w:ascii="宋体" w:hAnsi="宋体" w:hint="eastAsia"/>
          <w:b/>
          <w:color w:val="000000" w:themeColor="text1"/>
          <w:sz w:val="32"/>
          <w:szCs w:val="32"/>
        </w:rPr>
        <w:t>鉴证</w:t>
      </w:r>
      <w:proofErr w:type="gramEnd"/>
      <w:r w:rsidRPr="00234AC9">
        <w:rPr>
          <w:rFonts w:ascii="宋体" w:hAnsi="宋体" w:hint="eastAsia"/>
          <w:b/>
          <w:color w:val="000000" w:themeColor="text1"/>
          <w:sz w:val="32"/>
          <w:szCs w:val="32"/>
        </w:rPr>
        <w:t>报告</w:t>
      </w:r>
    </w:p>
    <w:p w14:paraId="4B3887F8" w14:textId="77777777" w:rsidR="00C81C0C" w:rsidRPr="00234AC9" w:rsidRDefault="00000000">
      <w:pPr>
        <w:adjustRightInd w:val="0"/>
        <w:snapToGrid w:val="0"/>
        <w:spacing w:line="360" w:lineRule="auto"/>
        <w:jc w:val="center"/>
        <w:rPr>
          <w:rFonts w:ascii="宋体" w:hAnsi="宋体" w:hint="eastAsia"/>
          <w:color w:val="000000" w:themeColor="text1"/>
          <w:sz w:val="32"/>
          <w:szCs w:val="32"/>
        </w:rPr>
      </w:pPr>
      <w:r w:rsidRPr="00234AC9">
        <w:rPr>
          <w:rFonts w:ascii="宋体" w:hAnsi="宋体"/>
          <w:color w:val="000000" w:themeColor="text1"/>
          <w:sz w:val="24"/>
        </w:rPr>
        <w:t>（</w:t>
      </w:r>
      <w:r w:rsidRPr="00234AC9">
        <w:rPr>
          <w:rFonts w:ascii="宋体" w:hAnsi="宋体" w:hint="eastAsia"/>
          <w:color w:val="000000" w:themeColor="text1"/>
          <w:sz w:val="24"/>
        </w:rPr>
        <w:t>2024年度）</w:t>
      </w:r>
    </w:p>
    <w:p w14:paraId="4B3887FA" w14:textId="77777777" w:rsidR="00C81C0C" w:rsidRPr="00234AC9" w:rsidRDefault="00C81C0C">
      <w:pPr>
        <w:adjustRightInd w:val="0"/>
        <w:snapToGrid w:val="0"/>
        <w:spacing w:line="360" w:lineRule="auto"/>
        <w:jc w:val="left"/>
        <w:rPr>
          <w:rFonts w:ascii="宋体" w:hAnsi="宋体" w:hint="eastAsia"/>
          <w:b/>
          <w:color w:val="000000" w:themeColor="text1"/>
          <w:sz w:val="32"/>
          <w:szCs w:val="32"/>
        </w:rPr>
      </w:pPr>
    </w:p>
    <w:tbl>
      <w:tblPr>
        <w:tblW w:w="8874" w:type="dxa"/>
        <w:tblLayout w:type="fixed"/>
        <w:tblLook w:val="04A0" w:firstRow="1" w:lastRow="0" w:firstColumn="1" w:lastColumn="0" w:noHBand="0" w:noVBand="1"/>
      </w:tblPr>
      <w:tblGrid>
        <w:gridCol w:w="994"/>
        <w:gridCol w:w="5828"/>
        <w:gridCol w:w="373"/>
        <w:gridCol w:w="1679"/>
      </w:tblGrid>
      <w:tr w:rsidR="00234AC9" w:rsidRPr="00234AC9" w14:paraId="4B388800" w14:textId="77777777" w:rsidTr="006A3A3D">
        <w:tc>
          <w:tcPr>
            <w:tcW w:w="994" w:type="dxa"/>
          </w:tcPr>
          <w:p w14:paraId="4B3887FB" w14:textId="77777777" w:rsidR="00C81C0C" w:rsidRPr="00234AC9" w:rsidRDefault="00C81C0C">
            <w:pPr>
              <w:keepLines/>
              <w:tabs>
                <w:tab w:val="right" w:pos="8280"/>
              </w:tabs>
              <w:spacing w:line="400" w:lineRule="exact"/>
              <w:rPr>
                <w:rFonts w:ascii="宋体" w:hAnsi="宋体" w:hint="eastAsia"/>
                <w:color w:val="000000" w:themeColor="text1"/>
                <w:sz w:val="28"/>
                <w:szCs w:val="28"/>
              </w:rPr>
            </w:pPr>
          </w:p>
        </w:tc>
        <w:tc>
          <w:tcPr>
            <w:tcW w:w="5828" w:type="dxa"/>
          </w:tcPr>
          <w:p w14:paraId="4B3887FC" w14:textId="77777777" w:rsidR="00C81C0C" w:rsidRPr="00234AC9" w:rsidRDefault="00000000">
            <w:pPr>
              <w:keepLines/>
              <w:tabs>
                <w:tab w:val="right" w:pos="8280"/>
              </w:tabs>
              <w:spacing w:line="400" w:lineRule="exact"/>
              <w:jc w:val="center"/>
              <w:rPr>
                <w:rFonts w:ascii="宋体" w:hAnsi="宋体" w:hint="eastAsia"/>
                <w:b/>
                <w:color w:val="000000" w:themeColor="text1"/>
                <w:sz w:val="28"/>
                <w:szCs w:val="28"/>
              </w:rPr>
            </w:pPr>
            <w:r w:rsidRPr="00234AC9">
              <w:rPr>
                <w:rFonts w:ascii="宋体" w:hAnsi="宋体"/>
                <w:b/>
                <w:color w:val="000000" w:themeColor="text1"/>
                <w:sz w:val="28"/>
                <w:szCs w:val="28"/>
              </w:rPr>
              <w:t>目     录</w:t>
            </w:r>
          </w:p>
          <w:p w14:paraId="4B3887FD" w14:textId="77777777" w:rsidR="00C81C0C" w:rsidRPr="00234AC9" w:rsidRDefault="00C81C0C">
            <w:pPr>
              <w:keepLines/>
              <w:tabs>
                <w:tab w:val="right" w:pos="8280"/>
              </w:tabs>
              <w:spacing w:line="400" w:lineRule="exact"/>
              <w:jc w:val="center"/>
              <w:rPr>
                <w:rFonts w:ascii="宋体" w:hAnsi="宋体" w:hint="eastAsia"/>
                <w:b/>
                <w:color w:val="000000" w:themeColor="text1"/>
                <w:sz w:val="28"/>
                <w:szCs w:val="28"/>
              </w:rPr>
            </w:pPr>
          </w:p>
        </w:tc>
        <w:tc>
          <w:tcPr>
            <w:tcW w:w="373" w:type="dxa"/>
          </w:tcPr>
          <w:p w14:paraId="4B3887FE" w14:textId="77777777" w:rsidR="00C81C0C" w:rsidRPr="00234AC9" w:rsidRDefault="00C81C0C">
            <w:pPr>
              <w:keepLines/>
              <w:tabs>
                <w:tab w:val="right" w:pos="8280"/>
              </w:tabs>
              <w:spacing w:line="400" w:lineRule="exact"/>
              <w:jc w:val="right"/>
              <w:rPr>
                <w:rFonts w:ascii="宋体" w:hAnsi="宋体" w:hint="eastAsia"/>
                <w:b/>
                <w:color w:val="000000" w:themeColor="text1"/>
                <w:sz w:val="28"/>
                <w:szCs w:val="28"/>
              </w:rPr>
            </w:pPr>
          </w:p>
        </w:tc>
        <w:tc>
          <w:tcPr>
            <w:tcW w:w="1679" w:type="dxa"/>
          </w:tcPr>
          <w:p w14:paraId="4B3887FF" w14:textId="77777777" w:rsidR="00C81C0C" w:rsidRPr="00234AC9" w:rsidRDefault="00000000">
            <w:pPr>
              <w:keepLines/>
              <w:tabs>
                <w:tab w:val="right" w:pos="8280"/>
              </w:tabs>
              <w:spacing w:line="400" w:lineRule="exact"/>
              <w:jc w:val="center"/>
              <w:rPr>
                <w:rFonts w:ascii="宋体" w:hAnsi="宋体" w:hint="eastAsia"/>
                <w:b/>
                <w:color w:val="000000" w:themeColor="text1"/>
                <w:sz w:val="28"/>
                <w:szCs w:val="28"/>
              </w:rPr>
            </w:pPr>
            <w:r w:rsidRPr="00234AC9">
              <w:rPr>
                <w:rFonts w:ascii="宋体" w:hAnsi="宋体"/>
                <w:b/>
                <w:color w:val="000000" w:themeColor="text1"/>
                <w:sz w:val="28"/>
                <w:szCs w:val="28"/>
              </w:rPr>
              <w:t>页  次</w:t>
            </w:r>
          </w:p>
        </w:tc>
      </w:tr>
      <w:tr w:rsidR="00234AC9" w:rsidRPr="00234AC9" w14:paraId="4B388806" w14:textId="77777777" w:rsidTr="006A3A3D">
        <w:tc>
          <w:tcPr>
            <w:tcW w:w="994" w:type="dxa"/>
          </w:tcPr>
          <w:p w14:paraId="4B388801" w14:textId="77777777" w:rsidR="00C81C0C" w:rsidRPr="00234AC9" w:rsidRDefault="00000000">
            <w:pPr>
              <w:keepLines/>
              <w:tabs>
                <w:tab w:val="right" w:pos="8280"/>
              </w:tabs>
              <w:spacing w:line="400" w:lineRule="exact"/>
              <w:rPr>
                <w:rFonts w:ascii="宋体" w:hAnsi="宋体" w:hint="eastAsia"/>
                <w:b/>
                <w:color w:val="000000" w:themeColor="text1"/>
                <w:sz w:val="28"/>
                <w:szCs w:val="28"/>
              </w:rPr>
            </w:pPr>
            <w:r w:rsidRPr="00234AC9">
              <w:rPr>
                <w:rFonts w:ascii="宋体" w:hAnsi="宋体"/>
                <w:b/>
                <w:color w:val="000000" w:themeColor="text1"/>
                <w:sz w:val="28"/>
                <w:szCs w:val="28"/>
              </w:rPr>
              <w:t>一、</w:t>
            </w:r>
          </w:p>
        </w:tc>
        <w:tc>
          <w:tcPr>
            <w:tcW w:w="5828" w:type="dxa"/>
          </w:tcPr>
          <w:p w14:paraId="4B388802" w14:textId="77777777" w:rsidR="00C81C0C" w:rsidRPr="00234AC9" w:rsidRDefault="00000000">
            <w:pPr>
              <w:keepLines/>
              <w:tabs>
                <w:tab w:val="right" w:pos="8280"/>
              </w:tabs>
              <w:spacing w:line="400" w:lineRule="exact"/>
              <w:rPr>
                <w:rFonts w:ascii="宋体" w:hAnsi="宋体" w:hint="eastAsia"/>
                <w:b/>
                <w:color w:val="000000" w:themeColor="text1"/>
                <w:sz w:val="28"/>
                <w:szCs w:val="28"/>
              </w:rPr>
            </w:pPr>
            <w:r w:rsidRPr="00234AC9">
              <w:rPr>
                <w:rFonts w:ascii="宋体" w:hAnsi="宋体" w:hint="eastAsia"/>
                <w:b/>
                <w:color w:val="000000" w:themeColor="text1"/>
                <w:sz w:val="28"/>
                <w:szCs w:val="28"/>
              </w:rPr>
              <w:t>募集资金存放与使用情况</w:t>
            </w:r>
            <w:proofErr w:type="gramStart"/>
            <w:r w:rsidRPr="00234AC9">
              <w:rPr>
                <w:rFonts w:ascii="宋体" w:hAnsi="宋体" w:hint="eastAsia"/>
                <w:b/>
                <w:color w:val="000000" w:themeColor="text1"/>
                <w:sz w:val="28"/>
                <w:szCs w:val="28"/>
              </w:rPr>
              <w:t>鉴证</w:t>
            </w:r>
            <w:proofErr w:type="gramEnd"/>
            <w:r w:rsidRPr="00234AC9">
              <w:rPr>
                <w:rFonts w:ascii="宋体" w:hAnsi="宋体" w:hint="eastAsia"/>
                <w:b/>
                <w:color w:val="000000" w:themeColor="text1"/>
                <w:sz w:val="28"/>
                <w:szCs w:val="28"/>
              </w:rPr>
              <w:t>报告</w:t>
            </w:r>
          </w:p>
          <w:p w14:paraId="4B388803" w14:textId="77777777" w:rsidR="00C81C0C" w:rsidRPr="00234AC9" w:rsidRDefault="00C81C0C">
            <w:pPr>
              <w:keepLines/>
              <w:tabs>
                <w:tab w:val="right" w:pos="8280"/>
              </w:tabs>
              <w:spacing w:line="400" w:lineRule="exact"/>
              <w:rPr>
                <w:rFonts w:ascii="宋体" w:hAnsi="宋体" w:hint="eastAsia"/>
                <w:b/>
                <w:color w:val="000000" w:themeColor="text1"/>
                <w:sz w:val="28"/>
                <w:szCs w:val="28"/>
              </w:rPr>
            </w:pPr>
          </w:p>
        </w:tc>
        <w:tc>
          <w:tcPr>
            <w:tcW w:w="373" w:type="dxa"/>
          </w:tcPr>
          <w:p w14:paraId="4B388804" w14:textId="77777777" w:rsidR="00C81C0C" w:rsidRPr="00234AC9" w:rsidRDefault="00C81C0C">
            <w:pPr>
              <w:keepLines/>
              <w:tabs>
                <w:tab w:val="right" w:pos="8280"/>
              </w:tabs>
              <w:spacing w:line="400" w:lineRule="exact"/>
              <w:jc w:val="right"/>
              <w:rPr>
                <w:rFonts w:ascii="宋体" w:hAnsi="宋体" w:hint="eastAsia"/>
                <w:b/>
                <w:color w:val="000000" w:themeColor="text1"/>
                <w:sz w:val="28"/>
                <w:szCs w:val="28"/>
              </w:rPr>
            </w:pPr>
          </w:p>
        </w:tc>
        <w:tc>
          <w:tcPr>
            <w:tcW w:w="1679" w:type="dxa"/>
          </w:tcPr>
          <w:p w14:paraId="4B388805" w14:textId="77777777" w:rsidR="00C81C0C" w:rsidRPr="00234AC9" w:rsidRDefault="00000000">
            <w:pPr>
              <w:keepLines/>
              <w:tabs>
                <w:tab w:val="right" w:pos="8280"/>
              </w:tabs>
              <w:spacing w:line="400" w:lineRule="exact"/>
              <w:jc w:val="center"/>
              <w:rPr>
                <w:rFonts w:ascii="宋体" w:hAnsi="宋体" w:hint="eastAsia"/>
                <w:color w:val="000000" w:themeColor="text1"/>
                <w:sz w:val="28"/>
                <w:szCs w:val="28"/>
              </w:rPr>
            </w:pPr>
            <w:r w:rsidRPr="00234AC9">
              <w:rPr>
                <w:rFonts w:ascii="宋体" w:hAnsi="宋体"/>
                <w:color w:val="000000" w:themeColor="text1"/>
                <w:sz w:val="28"/>
                <w:szCs w:val="28"/>
              </w:rPr>
              <w:t>1-</w:t>
            </w:r>
            <w:r w:rsidRPr="00234AC9">
              <w:rPr>
                <w:rFonts w:ascii="宋体" w:hAnsi="宋体" w:hint="eastAsia"/>
                <w:color w:val="000000" w:themeColor="text1"/>
                <w:sz w:val="28"/>
                <w:szCs w:val="28"/>
              </w:rPr>
              <w:t>2</w:t>
            </w:r>
          </w:p>
        </w:tc>
      </w:tr>
      <w:tr w:rsidR="00234AC9" w:rsidRPr="00234AC9" w14:paraId="4B38880C" w14:textId="77777777" w:rsidTr="006A3A3D">
        <w:tc>
          <w:tcPr>
            <w:tcW w:w="994" w:type="dxa"/>
          </w:tcPr>
          <w:p w14:paraId="4B388807" w14:textId="77777777" w:rsidR="00C81C0C" w:rsidRPr="00234AC9" w:rsidRDefault="00000000">
            <w:pPr>
              <w:keepLines/>
              <w:tabs>
                <w:tab w:val="right" w:pos="8280"/>
              </w:tabs>
              <w:spacing w:line="400" w:lineRule="exact"/>
              <w:rPr>
                <w:rFonts w:ascii="宋体" w:hAnsi="宋体" w:hint="eastAsia"/>
                <w:b/>
                <w:color w:val="000000" w:themeColor="text1"/>
                <w:sz w:val="28"/>
                <w:szCs w:val="28"/>
              </w:rPr>
            </w:pPr>
            <w:r w:rsidRPr="00234AC9">
              <w:rPr>
                <w:rFonts w:ascii="宋体" w:hAnsi="宋体"/>
                <w:b/>
                <w:color w:val="000000" w:themeColor="text1"/>
                <w:sz w:val="28"/>
                <w:szCs w:val="28"/>
              </w:rPr>
              <w:t>二、</w:t>
            </w:r>
          </w:p>
        </w:tc>
        <w:tc>
          <w:tcPr>
            <w:tcW w:w="5828" w:type="dxa"/>
          </w:tcPr>
          <w:p w14:paraId="4B388809" w14:textId="7B994E82" w:rsidR="00C81C0C" w:rsidRPr="00234AC9" w:rsidRDefault="00000000" w:rsidP="009A6AD8">
            <w:pPr>
              <w:widowControl/>
              <w:snapToGrid w:val="0"/>
              <w:spacing w:line="360" w:lineRule="auto"/>
              <w:jc w:val="left"/>
              <w:outlineLvl w:val="0"/>
              <w:rPr>
                <w:rFonts w:ascii="宋体" w:hAnsi="宋体" w:hint="eastAsia"/>
                <w:b/>
                <w:color w:val="000000" w:themeColor="text1"/>
                <w:sz w:val="28"/>
                <w:szCs w:val="28"/>
              </w:rPr>
            </w:pPr>
            <w:r w:rsidRPr="00234AC9">
              <w:rPr>
                <w:rFonts w:ascii="宋体" w:hAnsi="宋体" w:hint="eastAsia"/>
                <w:b/>
                <w:color w:val="000000" w:themeColor="text1"/>
                <w:sz w:val="28"/>
                <w:szCs w:val="28"/>
              </w:rPr>
              <w:t>福建广生堂药业股份有限公司2024年度募集资金存放与使用情况的专项报告</w:t>
            </w:r>
          </w:p>
        </w:tc>
        <w:tc>
          <w:tcPr>
            <w:tcW w:w="373" w:type="dxa"/>
          </w:tcPr>
          <w:p w14:paraId="4B38880A" w14:textId="77777777" w:rsidR="00C81C0C" w:rsidRPr="00234AC9" w:rsidRDefault="00C81C0C">
            <w:pPr>
              <w:keepLines/>
              <w:tabs>
                <w:tab w:val="right" w:pos="8280"/>
              </w:tabs>
              <w:spacing w:line="400" w:lineRule="exact"/>
              <w:jc w:val="right"/>
              <w:rPr>
                <w:rFonts w:ascii="宋体" w:hAnsi="宋体" w:hint="eastAsia"/>
                <w:b/>
                <w:color w:val="000000" w:themeColor="text1"/>
                <w:sz w:val="28"/>
                <w:szCs w:val="28"/>
              </w:rPr>
            </w:pPr>
          </w:p>
        </w:tc>
        <w:tc>
          <w:tcPr>
            <w:tcW w:w="1679" w:type="dxa"/>
          </w:tcPr>
          <w:p w14:paraId="4B38880B" w14:textId="581BEA55" w:rsidR="00C81C0C" w:rsidRPr="00234AC9" w:rsidRDefault="00000000">
            <w:pPr>
              <w:keepLines/>
              <w:tabs>
                <w:tab w:val="right" w:pos="8280"/>
              </w:tabs>
              <w:spacing w:line="400" w:lineRule="exact"/>
              <w:jc w:val="center"/>
              <w:rPr>
                <w:rFonts w:ascii="宋体" w:hAnsi="宋体" w:hint="eastAsia"/>
                <w:color w:val="000000" w:themeColor="text1"/>
                <w:sz w:val="28"/>
                <w:szCs w:val="28"/>
              </w:rPr>
            </w:pPr>
            <w:r w:rsidRPr="00234AC9">
              <w:rPr>
                <w:rFonts w:ascii="宋体" w:hAnsi="宋体" w:hint="eastAsia"/>
                <w:color w:val="000000" w:themeColor="text1"/>
                <w:sz w:val="28"/>
                <w:szCs w:val="28"/>
              </w:rPr>
              <w:t>1-</w:t>
            </w:r>
            <w:r w:rsidR="006A3A3D">
              <w:rPr>
                <w:rFonts w:ascii="宋体" w:hAnsi="宋体" w:hint="eastAsia"/>
                <w:color w:val="000000" w:themeColor="text1"/>
                <w:sz w:val="28"/>
                <w:szCs w:val="28"/>
              </w:rPr>
              <w:t>8</w:t>
            </w:r>
          </w:p>
        </w:tc>
      </w:tr>
    </w:tbl>
    <w:p w14:paraId="4B388812" w14:textId="77777777" w:rsidR="00C81C0C" w:rsidRPr="00234AC9" w:rsidRDefault="00C81C0C">
      <w:pPr>
        <w:tabs>
          <w:tab w:val="center" w:pos="5103"/>
        </w:tabs>
        <w:spacing w:line="500" w:lineRule="atLeast"/>
        <w:rPr>
          <w:rFonts w:ascii="宋体" w:hAnsi="宋体" w:hint="eastAsia"/>
          <w:color w:val="000000" w:themeColor="text1"/>
          <w:sz w:val="28"/>
          <w:szCs w:val="28"/>
        </w:rPr>
      </w:pPr>
    </w:p>
    <w:p w14:paraId="5668C569" w14:textId="77777777" w:rsidR="00C81C0C" w:rsidRPr="00234AC9" w:rsidRDefault="00C81C0C">
      <w:pPr>
        <w:tabs>
          <w:tab w:val="center" w:pos="5103"/>
        </w:tabs>
        <w:spacing w:line="500" w:lineRule="atLeast"/>
        <w:ind w:firstLineChars="160" w:firstLine="448"/>
        <w:rPr>
          <w:rFonts w:ascii="宋体" w:hAnsi="宋体" w:hint="eastAsia"/>
          <w:color w:val="000000" w:themeColor="text1"/>
          <w:sz w:val="28"/>
          <w:szCs w:val="28"/>
        </w:rPr>
        <w:sectPr w:rsidR="00C81C0C" w:rsidRPr="00234AC9" w:rsidSect="00040FB7">
          <w:footerReference w:type="default" r:id="rId13"/>
          <w:pgSz w:w="11906" w:h="16838"/>
          <w:pgMar w:top="1724" w:right="1797" w:bottom="1440" w:left="1797" w:header="851" w:footer="992" w:gutter="0"/>
          <w:pgNumType w:start="0"/>
          <w:cols w:space="720"/>
          <w:docGrid w:linePitch="312"/>
        </w:sectPr>
      </w:pPr>
    </w:p>
    <w:p w14:paraId="4B388814" w14:textId="77777777" w:rsidR="00C81C0C" w:rsidRPr="00234AC9" w:rsidRDefault="00C81C0C">
      <w:pPr>
        <w:snapToGrid w:val="0"/>
        <w:spacing w:line="360" w:lineRule="auto"/>
        <w:jc w:val="left"/>
        <w:rPr>
          <w:rFonts w:ascii="黑体" w:eastAsia="黑体"/>
          <w:b/>
          <w:color w:val="000000" w:themeColor="text1"/>
          <w:sz w:val="32"/>
        </w:rPr>
      </w:pPr>
    </w:p>
    <w:p w14:paraId="4B388815" w14:textId="77777777" w:rsidR="00C81C0C" w:rsidRPr="00234AC9" w:rsidRDefault="00C81C0C">
      <w:pPr>
        <w:snapToGrid w:val="0"/>
        <w:spacing w:line="360" w:lineRule="auto"/>
        <w:jc w:val="left"/>
        <w:rPr>
          <w:rFonts w:ascii="黑体" w:eastAsia="黑体"/>
          <w:b/>
          <w:color w:val="000000" w:themeColor="text1"/>
          <w:sz w:val="32"/>
        </w:rPr>
      </w:pPr>
    </w:p>
    <w:p w14:paraId="4B388816" w14:textId="77777777" w:rsidR="00C81C0C" w:rsidRPr="00234AC9" w:rsidRDefault="00C81C0C">
      <w:pPr>
        <w:snapToGrid w:val="0"/>
        <w:spacing w:line="360" w:lineRule="auto"/>
        <w:jc w:val="left"/>
        <w:rPr>
          <w:rFonts w:ascii="黑体" w:eastAsia="黑体"/>
          <w:b/>
          <w:color w:val="000000" w:themeColor="text1"/>
          <w:sz w:val="32"/>
        </w:rPr>
      </w:pPr>
    </w:p>
    <w:p w14:paraId="4B388817" w14:textId="77777777" w:rsidR="00C81C0C" w:rsidRPr="00234AC9" w:rsidRDefault="00000000">
      <w:pPr>
        <w:snapToGrid w:val="0"/>
        <w:spacing w:line="360" w:lineRule="auto"/>
        <w:jc w:val="center"/>
        <w:outlineLvl w:val="0"/>
        <w:rPr>
          <w:rFonts w:ascii="黑体" w:eastAsia="黑体"/>
          <w:b/>
          <w:color w:val="000000" w:themeColor="text1"/>
          <w:spacing w:val="80"/>
          <w:sz w:val="32"/>
        </w:rPr>
      </w:pPr>
      <w:r w:rsidRPr="00234AC9">
        <w:rPr>
          <w:rFonts w:ascii="黑体" w:eastAsia="黑体" w:hint="eastAsia"/>
          <w:b/>
          <w:color w:val="000000" w:themeColor="text1"/>
          <w:spacing w:val="80"/>
          <w:sz w:val="32"/>
        </w:rPr>
        <w:t>募集资金存放与使用情况</w:t>
      </w:r>
      <w:proofErr w:type="gramStart"/>
      <w:r w:rsidRPr="00234AC9">
        <w:rPr>
          <w:rFonts w:ascii="黑体" w:eastAsia="黑体" w:hint="eastAsia"/>
          <w:b/>
          <w:color w:val="000000" w:themeColor="text1"/>
          <w:spacing w:val="80"/>
          <w:sz w:val="32"/>
        </w:rPr>
        <w:t>鉴证</w:t>
      </w:r>
      <w:proofErr w:type="gramEnd"/>
      <w:r w:rsidRPr="00234AC9">
        <w:rPr>
          <w:rFonts w:ascii="黑体" w:eastAsia="黑体" w:hint="eastAsia"/>
          <w:b/>
          <w:color w:val="000000" w:themeColor="text1"/>
          <w:spacing w:val="80"/>
          <w:sz w:val="32"/>
        </w:rPr>
        <w:t>报告</w:t>
      </w:r>
    </w:p>
    <w:p w14:paraId="4B388818" w14:textId="77777777" w:rsidR="00C81C0C" w:rsidRPr="00234AC9" w:rsidRDefault="00C81C0C">
      <w:pPr>
        <w:snapToGrid w:val="0"/>
        <w:spacing w:line="360" w:lineRule="auto"/>
        <w:jc w:val="right"/>
        <w:rPr>
          <w:color w:val="000000" w:themeColor="text1"/>
        </w:rPr>
      </w:pPr>
    </w:p>
    <w:p w14:paraId="4B388819" w14:textId="13907484" w:rsidR="00C81C0C" w:rsidRPr="00234AC9" w:rsidRDefault="00402313">
      <w:pPr>
        <w:snapToGrid w:val="0"/>
        <w:spacing w:line="360" w:lineRule="auto"/>
        <w:ind w:firstLineChars="2535" w:firstLine="5344"/>
        <w:jc w:val="right"/>
        <w:rPr>
          <w:rFonts w:ascii="宋体" w:hAnsi="宋体" w:hint="eastAsia"/>
          <w:b/>
          <w:color w:val="000000" w:themeColor="text1"/>
          <w:szCs w:val="21"/>
        </w:rPr>
      </w:pPr>
      <w:r w:rsidRPr="00402313">
        <w:rPr>
          <w:rFonts w:ascii="宋体" w:hAnsi="宋体" w:hint="eastAsia"/>
          <w:b/>
          <w:color w:val="000000" w:themeColor="text1"/>
          <w:szCs w:val="21"/>
        </w:rPr>
        <w:t>德</w:t>
      </w:r>
      <w:proofErr w:type="gramStart"/>
      <w:r w:rsidRPr="00402313">
        <w:rPr>
          <w:rFonts w:ascii="宋体" w:hAnsi="宋体" w:hint="eastAsia"/>
          <w:b/>
          <w:color w:val="000000" w:themeColor="text1"/>
          <w:szCs w:val="21"/>
        </w:rPr>
        <w:t>皓</w:t>
      </w:r>
      <w:proofErr w:type="gramEnd"/>
      <w:r w:rsidRPr="00402313">
        <w:rPr>
          <w:rFonts w:ascii="宋体" w:hAnsi="宋体" w:hint="eastAsia"/>
          <w:b/>
          <w:color w:val="000000" w:themeColor="text1"/>
          <w:szCs w:val="21"/>
        </w:rPr>
        <w:t>核字[2025]00000706号</w:t>
      </w:r>
    </w:p>
    <w:p w14:paraId="4B38881A" w14:textId="77777777" w:rsidR="00C81C0C" w:rsidRPr="00234AC9" w:rsidRDefault="00C81C0C">
      <w:pPr>
        <w:adjustRightInd w:val="0"/>
        <w:snapToGrid w:val="0"/>
        <w:spacing w:line="360" w:lineRule="auto"/>
        <w:jc w:val="right"/>
        <w:rPr>
          <w:rFonts w:ascii="宋体" w:hAnsi="宋体" w:hint="eastAsia"/>
          <w:color w:val="000000" w:themeColor="text1"/>
          <w:sz w:val="24"/>
          <w:szCs w:val="24"/>
        </w:rPr>
      </w:pPr>
    </w:p>
    <w:p w14:paraId="4B38881B" w14:textId="5503BC66" w:rsidR="00C81C0C" w:rsidRPr="00234AC9" w:rsidRDefault="00000000">
      <w:pPr>
        <w:autoSpaceDE w:val="0"/>
        <w:snapToGrid w:val="0"/>
        <w:spacing w:line="360" w:lineRule="auto"/>
        <w:rPr>
          <w:rFonts w:ascii="宋体" w:hAnsi="宋体" w:cs="仿宋_GB2312" w:hint="eastAsia"/>
          <w:b/>
          <w:color w:val="000000" w:themeColor="text1"/>
          <w:sz w:val="28"/>
          <w:szCs w:val="28"/>
        </w:rPr>
      </w:pPr>
      <w:r w:rsidRPr="00234AC9">
        <w:rPr>
          <w:rFonts w:ascii="宋体" w:hAnsi="宋体" w:cs="Arial" w:hint="eastAsia"/>
          <w:b/>
          <w:bCs/>
          <w:color w:val="000000" w:themeColor="text1"/>
          <w:sz w:val="28"/>
          <w:szCs w:val="28"/>
        </w:rPr>
        <w:t>福建广生堂药业股份有限公司</w:t>
      </w:r>
      <w:r w:rsidRPr="00234AC9">
        <w:rPr>
          <w:rFonts w:ascii="宋体" w:hAnsi="宋体" w:cs="仿宋_GB2312" w:hint="eastAsia"/>
          <w:b/>
          <w:color w:val="000000" w:themeColor="text1"/>
          <w:sz w:val="28"/>
          <w:szCs w:val="28"/>
        </w:rPr>
        <w:t>全体股东：</w:t>
      </w:r>
    </w:p>
    <w:p w14:paraId="4B38881C" w14:textId="4237E5C3" w:rsidR="00C81C0C" w:rsidRPr="00234AC9" w:rsidRDefault="00000000">
      <w:pPr>
        <w:adjustRightInd w:val="0"/>
        <w:snapToGrid w:val="0"/>
        <w:spacing w:line="360" w:lineRule="auto"/>
        <w:ind w:firstLineChars="200" w:firstLine="560"/>
        <w:rPr>
          <w:rFonts w:ascii="宋体" w:hAnsi="宋体" w:hint="eastAsia"/>
          <w:color w:val="000000" w:themeColor="text1"/>
          <w:sz w:val="28"/>
          <w:szCs w:val="28"/>
        </w:rPr>
      </w:pPr>
      <w:r w:rsidRPr="00234AC9">
        <w:rPr>
          <w:rFonts w:ascii="宋体" w:hAnsi="宋体" w:hint="eastAsia"/>
          <w:color w:val="000000" w:themeColor="text1"/>
          <w:sz w:val="28"/>
          <w:szCs w:val="28"/>
        </w:rPr>
        <w:t>我们审核了后附的</w:t>
      </w:r>
      <w:r w:rsidRPr="00234AC9">
        <w:rPr>
          <w:rFonts w:ascii="宋体" w:hAnsi="宋体" w:cs="Arial" w:hint="eastAsia"/>
          <w:bCs/>
          <w:color w:val="000000" w:themeColor="text1"/>
          <w:sz w:val="28"/>
          <w:szCs w:val="28"/>
        </w:rPr>
        <w:t>福建广生堂药业股份有限公司</w:t>
      </w:r>
      <w:r w:rsidRPr="00234AC9">
        <w:rPr>
          <w:rFonts w:ascii="宋体" w:hAnsi="宋体"/>
          <w:color w:val="000000" w:themeColor="text1"/>
          <w:sz w:val="28"/>
          <w:szCs w:val="28"/>
        </w:rPr>
        <w:t>（以下简称</w:t>
      </w:r>
      <w:r w:rsidRPr="00234AC9">
        <w:rPr>
          <w:rFonts w:ascii="宋体" w:hAnsi="宋体" w:hint="eastAsia"/>
          <w:color w:val="000000" w:themeColor="text1"/>
          <w:sz w:val="28"/>
          <w:szCs w:val="28"/>
        </w:rPr>
        <w:t>广生堂公司）《</w:t>
      </w:r>
      <w:r w:rsidRPr="00234AC9">
        <w:rPr>
          <w:rFonts w:ascii="宋体" w:hAnsi="宋体" w:cs="宋体" w:hint="eastAsia"/>
          <w:color w:val="000000" w:themeColor="text1"/>
          <w:kern w:val="0"/>
          <w:sz w:val="28"/>
          <w:szCs w:val="28"/>
        </w:rPr>
        <w:t>2024年度募集资金存放与使用情况的专项报告》（以下简称“募集资金专项报告”）</w:t>
      </w:r>
      <w:r w:rsidRPr="00234AC9">
        <w:rPr>
          <w:rFonts w:ascii="宋体" w:hAnsi="宋体" w:hint="eastAsia"/>
          <w:color w:val="000000" w:themeColor="text1"/>
          <w:sz w:val="28"/>
          <w:szCs w:val="28"/>
        </w:rPr>
        <w:t>。</w:t>
      </w:r>
    </w:p>
    <w:p w14:paraId="4B38881D" w14:textId="77777777" w:rsidR="00C81C0C" w:rsidRPr="00234AC9" w:rsidRDefault="00000000">
      <w:pPr>
        <w:numPr>
          <w:ilvl w:val="0"/>
          <w:numId w:val="1"/>
        </w:numPr>
        <w:adjustRightInd w:val="0"/>
        <w:snapToGrid w:val="0"/>
        <w:spacing w:line="360" w:lineRule="auto"/>
        <w:ind w:left="0" w:firstLineChars="200" w:firstLine="562"/>
        <w:rPr>
          <w:rFonts w:ascii="宋体" w:hAnsi="宋体" w:hint="eastAsia"/>
          <w:color w:val="000000" w:themeColor="text1"/>
          <w:sz w:val="28"/>
          <w:szCs w:val="28"/>
        </w:rPr>
      </w:pPr>
      <w:r w:rsidRPr="00234AC9">
        <w:rPr>
          <w:rFonts w:ascii="宋体" w:hAnsi="宋体" w:hint="eastAsia"/>
          <w:b/>
          <w:color w:val="000000" w:themeColor="text1"/>
          <w:sz w:val="28"/>
          <w:szCs w:val="28"/>
        </w:rPr>
        <w:t>董事会的责任</w:t>
      </w:r>
    </w:p>
    <w:p w14:paraId="4B38881E" w14:textId="7BBD33AB" w:rsidR="00C81C0C" w:rsidRPr="00234AC9" w:rsidRDefault="00000000">
      <w:pPr>
        <w:adjustRightInd w:val="0"/>
        <w:snapToGrid w:val="0"/>
        <w:spacing w:line="360" w:lineRule="auto"/>
        <w:ind w:firstLineChars="200" w:firstLine="560"/>
        <w:rPr>
          <w:rFonts w:ascii="宋体" w:hAnsi="宋体" w:hint="eastAsia"/>
          <w:color w:val="000000" w:themeColor="text1"/>
          <w:sz w:val="28"/>
          <w:szCs w:val="28"/>
        </w:rPr>
      </w:pPr>
      <w:r w:rsidRPr="00234AC9">
        <w:rPr>
          <w:rFonts w:ascii="宋体" w:hAnsi="宋体" w:hint="eastAsia"/>
          <w:color w:val="000000" w:themeColor="text1"/>
          <w:sz w:val="28"/>
          <w:szCs w:val="28"/>
        </w:rPr>
        <w:t>广生堂公司董事会的责任是按照中国</w:t>
      </w:r>
      <w:r w:rsidRPr="00234AC9">
        <w:rPr>
          <w:rFonts w:ascii="宋体" w:hAnsi="宋体"/>
          <w:color w:val="000000" w:themeColor="text1"/>
          <w:sz w:val="28"/>
          <w:szCs w:val="28"/>
        </w:rPr>
        <w:t>证券监督管理委员会《</w:t>
      </w:r>
      <w:r w:rsidRPr="00234AC9">
        <w:rPr>
          <w:rFonts w:ascii="宋体" w:hAnsi="宋体" w:hint="eastAsia"/>
          <w:color w:val="000000" w:themeColor="text1"/>
          <w:sz w:val="28"/>
          <w:szCs w:val="28"/>
        </w:rPr>
        <w:t>上市公司监管指引第2号——上市公司募集资金管理和使用的监管要求（2</w:t>
      </w:r>
      <w:r w:rsidRPr="00234AC9">
        <w:rPr>
          <w:rFonts w:ascii="宋体" w:hAnsi="宋体"/>
          <w:color w:val="000000" w:themeColor="text1"/>
          <w:sz w:val="28"/>
          <w:szCs w:val="28"/>
        </w:rPr>
        <w:t>022</w:t>
      </w:r>
      <w:r w:rsidRPr="00234AC9">
        <w:rPr>
          <w:rFonts w:ascii="宋体" w:hAnsi="宋体" w:hint="eastAsia"/>
          <w:color w:val="000000" w:themeColor="text1"/>
          <w:sz w:val="28"/>
          <w:szCs w:val="28"/>
        </w:rPr>
        <w:t>年修订）》、深圳证券交易所发布的《</w:t>
      </w:r>
      <w:r w:rsidRPr="00234AC9">
        <w:rPr>
          <w:rFonts w:ascii="宋体" w:hAnsi="宋体" w:cs="宋体" w:hint="eastAsia"/>
          <w:color w:val="000000" w:themeColor="text1"/>
          <w:sz w:val="28"/>
          <w:szCs w:val="28"/>
        </w:rPr>
        <w:t>深圳证券交易所上市公司自律监管指引第2号——创业板上市公司规范运作》</w:t>
      </w:r>
      <w:r w:rsidRPr="00234AC9">
        <w:rPr>
          <w:rFonts w:ascii="宋体" w:hAnsi="宋体" w:hint="eastAsia"/>
          <w:color w:val="000000" w:themeColor="text1"/>
          <w:sz w:val="28"/>
          <w:szCs w:val="28"/>
        </w:rPr>
        <w:t>及</w:t>
      </w:r>
      <w:r w:rsidRPr="00234AC9">
        <w:rPr>
          <w:rFonts w:ascii="宋体" w:hAnsi="宋体"/>
          <w:color w:val="000000" w:themeColor="text1"/>
          <w:sz w:val="28"/>
          <w:szCs w:val="28"/>
        </w:rPr>
        <w:t>相关格式指引</w:t>
      </w:r>
      <w:r w:rsidRPr="00234AC9">
        <w:rPr>
          <w:rFonts w:ascii="宋体" w:hAnsi="宋体" w:hint="eastAsia"/>
          <w:color w:val="000000" w:themeColor="text1"/>
          <w:sz w:val="28"/>
          <w:szCs w:val="28"/>
        </w:rPr>
        <w:t>编制募集资金专项报告，并保证其内容真实、准确和完整，不存在虚假记载、误导性陈述或重大遗漏。</w:t>
      </w:r>
    </w:p>
    <w:p w14:paraId="4B38881F" w14:textId="77777777" w:rsidR="00C81C0C" w:rsidRPr="00234AC9" w:rsidRDefault="00000000">
      <w:pPr>
        <w:numPr>
          <w:ilvl w:val="0"/>
          <w:numId w:val="1"/>
        </w:numPr>
        <w:adjustRightInd w:val="0"/>
        <w:snapToGrid w:val="0"/>
        <w:spacing w:line="360" w:lineRule="auto"/>
        <w:ind w:left="0" w:firstLineChars="200" w:firstLine="562"/>
        <w:rPr>
          <w:rFonts w:ascii="宋体" w:hAnsi="宋体" w:hint="eastAsia"/>
          <w:b/>
          <w:color w:val="000000" w:themeColor="text1"/>
          <w:sz w:val="28"/>
          <w:szCs w:val="28"/>
        </w:rPr>
      </w:pPr>
      <w:r w:rsidRPr="00234AC9">
        <w:rPr>
          <w:rFonts w:ascii="宋体" w:hAnsi="宋体" w:hint="eastAsia"/>
          <w:b/>
          <w:color w:val="000000" w:themeColor="text1"/>
          <w:sz w:val="28"/>
          <w:szCs w:val="28"/>
        </w:rPr>
        <w:t>注册会计师的责任</w:t>
      </w:r>
    </w:p>
    <w:p w14:paraId="4B388820" w14:textId="64B97F52" w:rsidR="00C81C0C" w:rsidRPr="00234AC9" w:rsidRDefault="00000000">
      <w:pPr>
        <w:adjustRightInd w:val="0"/>
        <w:snapToGrid w:val="0"/>
        <w:spacing w:line="360" w:lineRule="auto"/>
        <w:ind w:firstLineChars="200" w:firstLine="560"/>
        <w:rPr>
          <w:rFonts w:ascii="宋体" w:hAnsi="宋体" w:hint="eastAsia"/>
          <w:color w:val="000000" w:themeColor="text1"/>
          <w:sz w:val="28"/>
          <w:szCs w:val="28"/>
        </w:rPr>
      </w:pPr>
      <w:r w:rsidRPr="00234AC9">
        <w:rPr>
          <w:rFonts w:ascii="宋体" w:hAnsi="宋体" w:hint="eastAsia"/>
          <w:color w:val="000000" w:themeColor="text1"/>
          <w:sz w:val="28"/>
          <w:szCs w:val="28"/>
        </w:rPr>
        <w:t>我们的责任是在实施</w:t>
      </w:r>
      <w:proofErr w:type="gramStart"/>
      <w:r w:rsidRPr="00234AC9">
        <w:rPr>
          <w:rFonts w:ascii="宋体" w:hAnsi="宋体" w:hint="eastAsia"/>
          <w:color w:val="000000" w:themeColor="text1"/>
          <w:sz w:val="28"/>
          <w:szCs w:val="28"/>
        </w:rPr>
        <w:t>鉴证</w:t>
      </w:r>
      <w:proofErr w:type="gramEnd"/>
      <w:r w:rsidRPr="00234AC9">
        <w:rPr>
          <w:rFonts w:ascii="宋体" w:hAnsi="宋体" w:hint="eastAsia"/>
          <w:color w:val="000000" w:themeColor="text1"/>
          <w:sz w:val="28"/>
          <w:szCs w:val="28"/>
        </w:rPr>
        <w:t>工作的基础上对广生堂公司募集资金专项报告发表</w:t>
      </w:r>
      <w:proofErr w:type="gramStart"/>
      <w:r w:rsidRPr="00234AC9">
        <w:rPr>
          <w:rFonts w:ascii="宋体" w:hAnsi="宋体" w:hint="eastAsia"/>
          <w:color w:val="000000" w:themeColor="text1"/>
          <w:sz w:val="28"/>
          <w:szCs w:val="28"/>
        </w:rPr>
        <w:t>鉴证</w:t>
      </w:r>
      <w:proofErr w:type="gramEnd"/>
      <w:r w:rsidRPr="00234AC9">
        <w:rPr>
          <w:rFonts w:ascii="宋体" w:hAnsi="宋体" w:hint="eastAsia"/>
          <w:color w:val="000000" w:themeColor="text1"/>
          <w:sz w:val="28"/>
          <w:szCs w:val="28"/>
        </w:rPr>
        <w:t>意见。我们按照《中国注册会计师其他</w:t>
      </w:r>
      <w:proofErr w:type="gramStart"/>
      <w:r w:rsidRPr="00234AC9">
        <w:rPr>
          <w:rFonts w:ascii="宋体" w:hAnsi="宋体" w:hint="eastAsia"/>
          <w:color w:val="000000" w:themeColor="text1"/>
          <w:sz w:val="28"/>
          <w:szCs w:val="28"/>
        </w:rPr>
        <w:t>鉴证</w:t>
      </w:r>
      <w:proofErr w:type="gramEnd"/>
      <w:r w:rsidRPr="00234AC9">
        <w:rPr>
          <w:rFonts w:ascii="宋体" w:hAnsi="宋体" w:hint="eastAsia"/>
          <w:color w:val="000000" w:themeColor="text1"/>
          <w:sz w:val="28"/>
          <w:szCs w:val="28"/>
        </w:rPr>
        <w:t>业务准则第3101号—历史财务信息审计或审阅以外的</w:t>
      </w:r>
      <w:proofErr w:type="gramStart"/>
      <w:r w:rsidRPr="00234AC9">
        <w:rPr>
          <w:rFonts w:ascii="宋体" w:hAnsi="宋体" w:hint="eastAsia"/>
          <w:color w:val="000000" w:themeColor="text1"/>
          <w:sz w:val="28"/>
          <w:szCs w:val="28"/>
        </w:rPr>
        <w:t>鉴证</w:t>
      </w:r>
      <w:proofErr w:type="gramEnd"/>
      <w:r w:rsidRPr="00234AC9">
        <w:rPr>
          <w:rFonts w:ascii="宋体" w:hAnsi="宋体" w:hint="eastAsia"/>
          <w:color w:val="000000" w:themeColor="text1"/>
          <w:sz w:val="28"/>
          <w:szCs w:val="28"/>
        </w:rPr>
        <w:t>业务》的规定执行了</w:t>
      </w:r>
      <w:proofErr w:type="gramStart"/>
      <w:r w:rsidRPr="00234AC9">
        <w:rPr>
          <w:rFonts w:ascii="宋体" w:hAnsi="宋体" w:hint="eastAsia"/>
          <w:color w:val="000000" w:themeColor="text1"/>
          <w:sz w:val="28"/>
          <w:szCs w:val="28"/>
        </w:rPr>
        <w:t>鉴证</w:t>
      </w:r>
      <w:proofErr w:type="gramEnd"/>
      <w:r w:rsidRPr="00234AC9">
        <w:rPr>
          <w:rFonts w:ascii="宋体" w:hAnsi="宋体" w:hint="eastAsia"/>
          <w:color w:val="000000" w:themeColor="text1"/>
          <w:sz w:val="28"/>
          <w:szCs w:val="28"/>
        </w:rPr>
        <w:t>业务。该准则要求我们计划和实施</w:t>
      </w:r>
      <w:proofErr w:type="gramStart"/>
      <w:r w:rsidRPr="00234AC9">
        <w:rPr>
          <w:rFonts w:ascii="宋体" w:hAnsi="宋体" w:hint="eastAsia"/>
          <w:color w:val="000000" w:themeColor="text1"/>
          <w:sz w:val="28"/>
          <w:szCs w:val="28"/>
        </w:rPr>
        <w:t>鉴证</w:t>
      </w:r>
      <w:proofErr w:type="gramEnd"/>
      <w:r w:rsidRPr="00234AC9">
        <w:rPr>
          <w:rFonts w:ascii="宋体" w:hAnsi="宋体" w:hint="eastAsia"/>
          <w:color w:val="000000" w:themeColor="text1"/>
          <w:sz w:val="28"/>
          <w:szCs w:val="28"/>
        </w:rPr>
        <w:t>工作，以对广生堂公司募集资金专项报告是否不存在重大错报获取合理保证。</w:t>
      </w:r>
    </w:p>
    <w:p w14:paraId="4B388821" w14:textId="77777777" w:rsidR="00C81C0C" w:rsidRPr="00234AC9" w:rsidRDefault="00000000">
      <w:pPr>
        <w:adjustRightInd w:val="0"/>
        <w:snapToGrid w:val="0"/>
        <w:spacing w:line="360" w:lineRule="auto"/>
        <w:ind w:firstLineChars="200" w:firstLine="560"/>
        <w:rPr>
          <w:rFonts w:ascii="宋体" w:hAnsi="宋体" w:hint="eastAsia"/>
          <w:color w:val="000000" w:themeColor="text1"/>
          <w:sz w:val="28"/>
          <w:szCs w:val="28"/>
        </w:rPr>
      </w:pPr>
      <w:r w:rsidRPr="00234AC9">
        <w:rPr>
          <w:rFonts w:ascii="宋体" w:hAnsi="宋体" w:hint="eastAsia"/>
          <w:color w:val="000000" w:themeColor="text1"/>
          <w:sz w:val="28"/>
          <w:szCs w:val="28"/>
        </w:rPr>
        <w:lastRenderedPageBreak/>
        <w:t>在</w:t>
      </w:r>
      <w:proofErr w:type="gramStart"/>
      <w:r w:rsidRPr="00234AC9">
        <w:rPr>
          <w:rFonts w:ascii="宋体" w:hAnsi="宋体" w:hint="eastAsia"/>
          <w:color w:val="000000" w:themeColor="text1"/>
          <w:sz w:val="28"/>
          <w:szCs w:val="28"/>
        </w:rPr>
        <w:t>鉴证</w:t>
      </w:r>
      <w:proofErr w:type="gramEnd"/>
      <w:r w:rsidRPr="00234AC9">
        <w:rPr>
          <w:rFonts w:ascii="宋体" w:hAnsi="宋体" w:hint="eastAsia"/>
          <w:color w:val="000000" w:themeColor="text1"/>
          <w:sz w:val="28"/>
          <w:szCs w:val="28"/>
        </w:rPr>
        <w:t>过程中，我们实施了包括了解、询问、检查、重新计算以及我们认为必要的其他程序。我们相信，我们的</w:t>
      </w:r>
      <w:proofErr w:type="gramStart"/>
      <w:r w:rsidRPr="00234AC9">
        <w:rPr>
          <w:rFonts w:ascii="宋体" w:hAnsi="宋体" w:hint="eastAsia"/>
          <w:color w:val="000000" w:themeColor="text1"/>
          <w:sz w:val="28"/>
          <w:szCs w:val="28"/>
        </w:rPr>
        <w:t>鉴证</w:t>
      </w:r>
      <w:proofErr w:type="gramEnd"/>
      <w:r w:rsidRPr="00234AC9">
        <w:rPr>
          <w:rFonts w:ascii="宋体" w:hAnsi="宋体" w:hint="eastAsia"/>
          <w:color w:val="000000" w:themeColor="text1"/>
          <w:sz w:val="28"/>
          <w:szCs w:val="28"/>
        </w:rPr>
        <w:t>工作为发表意见提供了合理的基础。</w:t>
      </w:r>
    </w:p>
    <w:p w14:paraId="4B388824" w14:textId="77777777" w:rsidR="00C81C0C" w:rsidRPr="00234AC9" w:rsidRDefault="00000000">
      <w:pPr>
        <w:numPr>
          <w:ilvl w:val="0"/>
          <w:numId w:val="1"/>
        </w:numPr>
        <w:adjustRightInd w:val="0"/>
        <w:snapToGrid w:val="0"/>
        <w:spacing w:line="360" w:lineRule="auto"/>
        <w:ind w:left="0" w:firstLineChars="200" w:firstLine="562"/>
        <w:rPr>
          <w:rFonts w:ascii="宋体" w:hAnsi="宋体" w:hint="eastAsia"/>
          <w:b/>
          <w:color w:val="000000" w:themeColor="text1"/>
          <w:sz w:val="28"/>
          <w:szCs w:val="28"/>
        </w:rPr>
      </w:pPr>
      <w:proofErr w:type="gramStart"/>
      <w:r w:rsidRPr="00234AC9">
        <w:rPr>
          <w:rFonts w:ascii="宋体" w:hAnsi="宋体" w:hint="eastAsia"/>
          <w:b/>
          <w:color w:val="000000" w:themeColor="text1"/>
          <w:sz w:val="28"/>
          <w:szCs w:val="28"/>
        </w:rPr>
        <w:t>鉴证</w:t>
      </w:r>
      <w:proofErr w:type="gramEnd"/>
      <w:r w:rsidRPr="00234AC9">
        <w:rPr>
          <w:rFonts w:ascii="宋体" w:hAnsi="宋体" w:hint="eastAsia"/>
          <w:b/>
          <w:color w:val="000000" w:themeColor="text1"/>
          <w:sz w:val="28"/>
          <w:szCs w:val="28"/>
        </w:rPr>
        <w:t>结论</w:t>
      </w:r>
    </w:p>
    <w:p w14:paraId="4B388825" w14:textId="15A9092A" w:rsidR="00C81C0C" w:rsidRPr="00234AC9" w:rsidRDefault="00000000">
      <w:pPr>
        <w:adjustRightInd w:val="0"/>
        <w:snapToGrid w:val="0"/>
        <w:spacing w:line="360" w:lineRule="auto"/>
        <w:ind w:firstLineChars="200" w:firstLine="560"/>
        <w:rPr>
          <w:rFonts w:ascii="宋体" w:hAnsi="宋体" w:hint="eastAsia"/>
          <w:color w:val="000000" w:themeColor="text1"/>
          <w:sz w:val="28"/>
          <w:szCs w:val="28"/>
        </w:rPr>
      </w:pPr>
      <w:r w:rsidRPr="00234AC9">
        <w:rPr>
          <w:rFonts w:ascii="宋体" w:hAnsi="宋体" w:hint="eastAsia"/>
          <w:color w:val="000000" w:themeColor="text1"/>
          <w:sz w:val="28"/>
          <w:szCs w:val="28"/>
        </w:rPr>
        <w:t>我们认为，广生堂公司募集资金专项报告在</w:t>
      </w:r>
      <w:r w:rsidRPr="00234AC9">
        <w:rPr>
          <w:rFonts w:ascii="宋体" w:hAnsi="宋体"/>
          <w:color w:val="000000" w:themeColor="text1"/>
          <w:sz w:val="28"/>
          <w:szCs w:val="28"/>
        </w:rPr>
        <w:t>所有重大方面按照</w:t>
      </w:r>
      <w:r w:rsidRPr="00234AC9">
        <w:rPr>
          <w:rFonts w:ascii="宋体" w:hAnsi="宋体" w:hint="eastAsia"/>
          <w:color w:val="000000" w:themeColor="text1"/>
          <w:sz w:val="28"/>
          <w:szCs w:val="28"/>
        </w:rPr>
        <w:t>中国</w:t>
      </w:r>
      <w:r w:rsidRPr="00234AC9">
        <w:rPr>
          <w:rFonts w:ascii="宋体" w:hAnsi="宋体"/>
          <w:color w:val="000000" w:themeColor="text1"/>
          <w:sz w:val="28"/>
          <w:szCs w:val="28"/>
        </w:rPr>
        <w:t>证券监督管理委员会《</w:t>
      </w:r>
      <w:r w:rsidRPr="00234AC9">
        <w:rPr>
          <w:rFonts w:ascii="宋体" w:hAnsi="宋体" w:hint="eastAsia"/>
          <w:color w:val="000000" w:themeColor="text1"/>
          <w:sz w:val="28"/>
          <w:szCs w:val="28"/>
        </w:rPr>
        <w:t>上市公司监管指引第2号——上市公司募集资金管理和使用的监管要求（2</w:t>
      </w:r>
      <w:r w:rsidRPr="00234AC9">
        <w:rPr>
          <w:rFonts w:ascii="宋体" w:hAnsi="宋体"/>
          <w:color w:val="000000" w:themeColor="text1"/>
          <w:sz w:val="28"/>
          <w:szCs w:val="28"/>
        </w:rPr>
        <w:t>022</w:t>
      </w:r>
      <w:r w:rsidRPr="00234AC9">
        <w:rPr>
          <w:rFonts w:ascii="宋体" w:hAnsi="宋体" w:hint="eastAsia"/>
          <w:color w:val="000000" w:themeColor="text1"/>
          <w:sz w:val="28"/>
          <w:szCs w:val="28"/>
        </w:rPr>
        <w:t>年修订）》、深圳证券交易所发布的《</w:t>
      </w:r>
      <w:r w:rsidRPr="00234AC9">
        <w:rPr>
          <w:rFonts w:ascii="宋体" w:hAnsi="宋体" w:cs="宋体" w:hint="eastAsia"/>
          <w:color w:val="000000" w:themeColor="text1"/>
          <w:sz w:val="28"/>
          <w:szCs w:val="28"/>
        </w:rPr>
        <w:t>深圳证券交易所上市公司自律监管指引第2号——创业板上市公司规范运作》</w:t>
      </w:r>
      <w:r w:rsidRPr="00234AC9">
        <w:rPr>
          <w:rFonts w:ascii="宋体" w:hAnsi="宋体" w:hint="eastAsia"/>
          <w:color w:val="000000" w:themeColor="text1"/>
          <w:sz w:val="28"/>
          <w:szCs w:val="28"/>
        </w:rPr>
        <w:t>及</w:t>
      </w:r>
      <w:r w:rsidRPr="00234AC9">
        <w:rPr>
          <w:rFonts w:ascii="宋体" w:hAnsi="宋体"/>
          <w:color w:val="000000" w:themeColor="text1"/>
          <w:sz w:val="28"/>
          <w:szCs w:val="28"/>
        </w:rPr>
        <w:t>相关格式指引</w:t>
      </w:r>
      <w:r w:rsidRPr="00234AC9">
        <w:rPr>
          <w:rFonts w:ascii="宋体" w:hAnsi="宋体" w:hint="eastAsia"/>
          <w:color w:val="000000" w:themeColor="text1"/>
          <w:sz w:val="28"/>
          <w:szCs w:val="28"/>
        </w:rPr>
        <w:t>编制，在所有重大方面公允反映了广生堂公司2024年度募集资金存放与使用情况。</w:t>
      </w:r>
    </w:p>
    <w:p w14:paraId="4B388826" w14:textId="77777777" w:rsidR="00C81C0C" w:rsidRPr="00234AC9" w:rsidRDefault="00000000">
      <w:pPr>
        <w:numPr>
          <w:ilvl w:val="0"/>
          <w:numId w:val="1"/>
        </w:numPr>
        <w:adjustRightInd w:val="0"/>
        <w:snapToGrid w:val="0"/>
        <w:spacing w:line="360" w:lineRule="auto"/>
        <w:ind w:left="0" w:firstLineChars="200" w:firstLine="562"/>
        <w:rPr>
          <w:rFonts w:ascii="宋体" w:hAnsi="宋体" w:hint="eastAsia"/>
          <w:b/>
          <w:color w:val="000000" w:themeColor="text1"/>
          <w:sz w:val="28"/>
          <w:szCs w:val="28"/>
        </w:rPr>
      </w:pPr>
      <w:r w:rsidRPr="00234AC9">
        <w:rPr>
          <w:rFonts w:ascii="宋体" w:hAnsi="宋体" w:hint="eastAsia"/>
          <w:b/>
          <w:color w:val="000000" w:themeColor="text1"/>
          <w:sz w:val="28"/>
          <w:szCs w:val="28"/>
        </w:rPr>
        <w:t>对报告使用者和使用目的的限定</w:t>
      </w:r>
    </w:p>
    <w:p w14:paraId="4B388827" w14:textId="684947C5" w:rsidR="00C81C0C" w:rsidRPr="00234AC9" w:rsidRDefault="00000000">
      <w:pPr>
        <w:adjustRightInd w:val="0"/>
        <w:snapToGrid w:val="0"/>
        <w:spacing w:line="360" w:lineRule="auto"/>
        <w:ind w:firstLineChars="200" w:firstLine="560"/>
        <w:rPr>
          <w:rFonts w:ascii="宋体" w:hAnsi="宋体" w:hint="eastAsia"/>
          <w:color w:val="000000" w:themeColor="text1"/>
          <w:sz w:val="28"/>
          <w:szCs w:val="28"/>
        </w:rPr>
      </w:pPr>
      <w:r w:rsidRPr="00234AC9">
        <w:rPr>
          <w:rFonts w:ascii="宋体" w:hAnsi="宋体" w:hint="eastAsia"/>
          <w:color w:val="000000" w:themeColor="text1"/>
          <w:sz w:val="28"/>
          <w:szCs w:val="28"/>
        </w:rPr>
        <w:t>本报告</w:t>
      </w:r>
      <w:proofErr w:type="gramStart"/>
      <w:r w:rsidRPr="00234AC9">
        <w:rPr>
          <w:rFonts w:ascii="宋体" w:hAnsi="宋体" w:hint="eastAsia"/>
          <w:color w:val="000000" w:themeColor="text1"/>
          <w:sz w:val="28"/>
          <w:szCs w:val="28"/>
        </w:rPr>
        <w:t>仅供广生</w:t>
      </w:r>
      <w:proofErr w:type="gramEnd"/>
      <w:r w:rsidRPr="00234AC9">
        <w:rPr>
          <w:rFonts w:ascii="宋体" w:hAnsi="宋体" w:hint="eastAsia"/>
          <w:color w:val="000000" w:themeColor="text1"/>
          <w:sz w:val="28"/>
          <w:szCs w:val="28"/>
        </w:rPr>
        <w:t>堂公司年度报告披露之目的使用，不得用作任何其他目的。我们同意将本报告作为广生堂公司年度报告的必备文件，随其他文件一起报送并对外披露。</w:t>
      </w:r>
    </w:p>
    <w:p w14:paraId="4B388829" w14:textId="77777777" w:rsidR="00C81C0C" w:rsidRPr="00234AC9" w:rsidRDefault="00C81C0C">
      <w:pPr>
        <w:adjustRightInd w:val="0"/>
        <w:snapToGrid w:val="0"/>
        <w:spacing w:line="360" w:lineRule="auto"/>
        <w:ind w:firstLineChars="200" w:firstLine="560"/>
        <w:rPr>
          <w:rFonts w:ascii="宋体" w:hAnsi="宋体" w:hint="eastAsia"/>
          <w:color w:val="000000" w:themeColor="text1"/>
          <w:sz w:val="28"/>
          <w:szCs w:val="28"/>
        </w:rPr>
      </w:pPr>
    </w:p>
    <w:p w14:paraId="4B388842" w14:textId="77777777" w:rsidR="00C81C0C" w:rsidRDefault="00C81C0C">
      <w:pPr>
        <w:snapToGrid w:val="0"/>
        <w:spacing w:line="360" w:lineRule="auto"/>
        <w:rPr>
          <w:rFonts w:ascii="宋体" w:hAnsi="宋体" w:cs="宋体" w:hint="eastAsia"/>
          <w:color w:val="000000" w:themeColor="text1"/>
          <w:kern w:val="0"/>
          <w:sz w:val="22"/>
          <w:szCs w:val="22"/>
        </w:rPr>
      </w:pPr>
    </w:p>
    <w:p w14:paraId="2757665D" w14:textId="77777777" w:rsidR="00234AC9" w:rsidRDefault="00234AC9">
      <w:pPr>
        <w:snapToGrid w:val="0"/>
        <w:spacing w:line="360" w:lineRule="auto"/>
        <w:rPr>
          <w:rFonts w:ascii="宋体" w:hAnsi="宋体" w:cs="宋体" w:hint="eastAsia"/>
          <w:color w:val="000000" w:themeColor="text1"/>
          <w:kern w:val="0"/>
          <w:sz w:val="22"/>
          <w:szCs w:val="22"/>
        </w:rPr>
      </w:pPr>
    </w:p>
    <w:p w14:paraId="0D761A0F" w14:textId="77777777" w:rsidR="00234AC9" w:rsidRDefault="00234AC9">
      <w:pPr>
        <w:snapToGrid w:val="0"/>
        <w:spacing w:line="360" w:lineRule="auto"/>
        <w:rPr>
          <w:rFonts w:ascii="宋体" w:hAnsi="宋体" w:cs="宋体" w:hint="eastAsia"/>
          <w:color w:val="000000" w:themeColor="text1"/>
          <w:kern w:val="0"/>
          <w:sz w:val="22"/>
          <w:szCs w:val="22"/>
        </w:rPr>
      </w:pPr>
    </w:p>
    <w:p w14:paraId="31EF05D4" w14:textId="77777777" w:rsidR="00234AC9" w:rsidRDefault="00234AC9">
      <w:pPr>
        <w:snapToGrid w:val="0"/>
        <w:spacing w:line="360" w:lineRule="auto"/>
        <w:rPr>
          <w:rFonts w:ascii="宋体" w:hAnsi="宋体" w:cs="宋体" w:hint="eastAsia"/>
          <w:color w:val="000000" w:themeColor="text1"/>
          <w:kern w:val="0"/>
          <w:sz w:val="22"/>
          <w:szCs w:val="22"/>
        </w:rPr>
      </w:pPr>
    </w:p>
    <w:tbl>
      <w:tblPr>
        <w:tblW w:w="5631" w:type="pct"/>
        <w:tblInd w:w="-572" w:type="dxa"/>
        <w:tblLook w:val="04A0" w:firstRow="1" w:lastRow="0" w:firstColumn="1" w:lastColumn="0" w:noHBand="0" w:noVBand="1"/>
      </w:tblPr>
      <w:tblGrid>
        <w:gridCol w:w="5677"/>
        <w:gridCol w:w="3685"/>
      </w:tblGrid>
      <w:tr w:rsidR="00234AC9" w:rsidRPr="00D623B2" w14:paraId="11B6CBFE" w14:textId="77777777" w:rsidTr="00655AD7">
        <w:trPr>
          <w:trHeight w:hRule="exact" w:val="567"/>
        </w:trPr>
        <w:tc>
          <w:tcPr>
            <w:tcW w:w="3032" w:type="pct"/>
            <w:vAlign w:val="center"/>
          </w:tcPr>
          <w:p w14:paraId="54E59633" w14:textId="77777777" w:rsidR="00234AC9" w:rsidRPr="00D623B2" w:rsidRDefault="00234AC9" w:rsidP="00655AD7">
            <w:pPr>
              <w:spacing w:line="360" w:lineRule="auto"/>
              <w:jc w:val="center"/>
              <w:rPr>
                <w:rFonts w:ascii="宋体" w:hAnsi="宋体" w:hint="eastAsia"/>
                <w:kern w:val="0"/>
                <w:sz w:val="28"/>
                <w:szCs w:val="28"/>
              </w:rPr>
            </w:pPr>
            <w:bookmarkStart w:id="0" w:name="_Hlk66095096"/>
            <w:r w:rsidRPr="00E1693C">
              <w:rPr>
                <w:rFonts w:ascii="宋体" w:hAnsi="宋体" w:hint="eastAsia"/>
                <w:kern w:val="0"/>
                <w:sz w:val="28"/>
                <w:szCs w:val="28"/>
              </w:rPr>
              <w:t>北京德</w:t>
            </w:r>
            <w:proofErr w:type="gramStart"/>
            <w:r w:rsidRPr="00E1693C">
              <w:rPr>
                <w:rFonts w:ascii="宋体" w:hAnsi="宋体" w:hint="eastAsia"/>
                <w:kern w:val="0"/>
                <w:sz w:val="28"/>
                <w:szCs w:val="28"/>
              </w:rPr>
              <w:t>皓</w:t>
            </w:r>
            <w:proofErr w:type="gramEnd"/>
            <w:r w:rsidRPr="00E1693C">
              <w:rPr>
                <w:rFonts w:ascii="宋体" w:hAnsi="宋体" w:hint="eastAsia"/>
                <w:kern w:val="0"/>
                <w:sz w:val="28"/>
                <w:szCs w:val="28"/>
              </w:rPr>
              <w:t>国际会计师事务所(特殊普通合伙)</w:t>
            </w:r>
          </w:p>
        </w:tc>
        <w:tc>
          <w:tcPr>
            <w:tcW w:w="1968" w:type="pct"/>
            <w:vAlign w:val="center"/>
          </w:tcPr>
          <w:p w14:paraId="06C01373" w14:textId="77777777" w:rsidR="00234AC9" w:rsidRPr="00D623B2" w:rsidRDefault="00234AC9" w:rsidP="00655AD7">
            <w:pPr>
              <w:spacing w:line="360" w:lineRule="auto"/>
              <w:rPr>
                <w:rFonts w:ascii="宋体" w:hAnsi="宋体" w:hint="eastAsia"/>
                <w:kern w:val="0"/>
                <w:sz w:val="28"/>
                <w:szCs w:val="28"/>
              </w:rPr>
            </w:pPr>
            <w:r w:rsidRPr="00D623B2">
              <w:rPr>
                <w:rFonts w:ascii="宋体" w:hAnsi="宋体"/>
                <w:kern w:val="0"/>
                <w:sz w:val="28"/>
                <w:szCs w:val="28"/>
              </w:rPr>
              <w:t>中国注册会计师</w:t>
            </w:r>
            <w:r w:rsidRPr="00D623B2">
              <w:rPr>
                <w:rFonts w:ascii="宋体" w:hAnsi="宋体" w:hint="eastAsia"/>
                <w:kern w:val="0"/>
                <w:sz w:val="28"/>
                <w:szCs w:val="28"/>
              </w:rPr>
              <w:t>：</w:t>
            </w:r>
            <w:r w:rsidRPr="00D623B2">
              <w:rPr>
                <w:rFonts w:ascii="宋体" w:hAnsi="宋体" w:hint="eastAsia"/>
                <w:kern w:val="0"/>
                <w:sz w:val="28"/>
                <w:szCs w:val="28"/>
                <w:u w:val="single"/>
              </w:rPr>
              <w:t xml:space="preserve"> </w:t>
            </w:r>
            <w:r w:rsidRPr="00D623B2">
              <w:rPr>
                <w:rFonts w:ascii="宋体" w:hAnsi="宋体"/>
                <w:kern w:val="0"/>
                <w:sz w:val="28"/>
                <w:szCs w:val="28"/>
                <w:u w:val="single"/>
              </w:rPr>
              <w:t xml:space="preserve">          </w:t>
            </w:r>
            <w:r w:rsidRPr="00D623B2">
              <w:rPr>
                <w:rFonts w:ascii="宋体" w:hAnsi="宋体"/>
                <w:kern w:val="0"/>
                <w:sz w:val="28"/>
                <w:szCs w:val="28"/>
              </w:rPr>
              <w:t xml:space="preserve">   </w:t>
            </w:r>
          </w:p>
        </w:tc>
      </w:tr>
      <w:tr w:rsidR="00234AC9" w:rsidRPr="00D623B2" w14:paraId="65DE4717" w14:textId="77777777" w:rsidTr="00655AD7">
        <w:trPr>
          <w:trHeight w:hRule="exact" w:val="567"/>
        </w:trPr>
        <w:tc>
          <w:tcPr>
            <w:tcW w:w="3032" w:type="pct"/>
            <w:vMerge w:val="restart"/>
            <w:vAlign w:val="center"/>
          </w:tcPr>
          <w:p w14:paraId="2CBC7F01" w14:textId="77777777" w:rsidR="00234AC9" w:rsidRPr="00D623B2" w:rsidRDefault="00234AC9" w:rsidP="00655AD7">
            <w:pPr>
              <w:spacing w:line="360" w:lineRule="auto"/>
              <w:jc w:val="center"/>
              <w:rPr>
                <w:rFonts w:ascii="宋体" w:hAnsi="宋体" w:hint="eastAsia"/>
                <w:kern w:val="0"/>
                <w:sz w:val="28"/>
                <w:szCs w:val="28"/>
              </w:rPr>
            </w:pPr>
            <w:r w:rsidRPr="00D623B2">
              <w:rPr>
                <w:rFonts w:ascii="宋体" w:hAnsi="宋体"/>
                <w:sz w:val="28"/>
                <w:szCs w:val="28"/>
              </w:rPr>
              <w:t>中国</w:t>
            </w:r>
            <w:r w:rsidRPr="00D623B2">
              <w:rPr>
                <w:rFonts w:ascii="宋体" w:hAnsi="宋体"/>
                <w:b/>
                <w:sz w:val="28"/>
                <w:szCs w:val="28"/>
              </w:rPr>
              <w:t>·</w:t>
            </w:r>
            <w:r w:rsidRPr="00D623B2">
              <w:rPr>
                <w:rFonts w:ascii="宋体" w:hAnsi="宋体"/>
                <w:sz w:val="28"/>
                <w:szCs w:val="28"/>
              </w:rPr>
              <w:t>北京</w:t>
            </w:r>
          </w:p>
        </w:tc>
        <w:tc>
          <w:tcPr>
            <w:tcW w:w="1968" w:type="pct"/>
          </w:tcPr>
          <w:p w14:paraId="566117E3" w14:textId="1C6D8794" w:rsidR="00234AC9" w:rsidRPr="00D623B2" w:rsidRDefault="00234AC9" w:rsidP="00C758E4">
            <w:pPr>
              <w:wordWrap w:val="0"/>
              <w:spacing w:line="360" w:lineRule="auto"/>
              <w:ind w:right="280"/>
              <w:jc w:val="right"/>
              <w:rPr>
                <w:rFonts w:ascii="宋体" w:hAnsi="宋体" w:hint="eastAsia"/>
                <w:kern w:val="0"/>
                <w:sz w:val="28"/>
                <w:szCs w:val="28"/>
              </w:rPr>
            </w:pPr>
            <w:r w:rsidRPr="00D623B2">
              <w:rPr>
                <w:rFonts w:ascii="宋体" w:hAnsi="宋体" w:hint="eastAsia"/>
                <w:kern w:val="0"/>
                <w:sz w:val="28"/>
                <w:szCs w:val="28"/>
              </w:rPr>
              <w:t xml:space="preserve"> </w:t>
            </w:r>
            <w:proofErr w:type="gramStart"/>
            <w:r>
              <w:rPr>
                <w:rFonts w:ascii="宋体" w:hAnsi="宋体" w:hint="eastAsia"/>
                <w:kern w:val="0"/>
                <w:sz w:val="28"/>
                <w:szCs w:val="28"/>
              </w:rPr>
              <w:t>郑基</w:t>
            </w:r>
            <w:proofErr w:type="gramEnd"/>
          </w:p>
        </w:tc>
      </w:tr>
      <w:tr w:rsidR="00234AC9" w:rsidRPr="00D623B2" w14:paraId="326CEF6F" w14:textId="77777777" w:rsidTr="00655AD7">
        <w:trPr>
          <w:trHeight w:hRule="exact" w:val="567"/>
        </w:trPr>
        <w:tc>
          <w:tcPr>
            <w:tcW w:w="3032" w:type="pct"/>
            <w:vMerge/>
            <w:vAlign w:val="center"/>
          </w:tcPr>
          <w:p w14:paraId="1B5A1F37" w14:textId="77777777" w:rsidR="00234AC9" w:rsidRPr="00D623B2" w:rsidRDefault="00234AC9" w:rsidP="00655AD7">
            <w:pPr>
              <w:spacing w:line="360" w:lineRule="auto"/>
              <w:jc w:val="center"/>
              <w:rPr>
                <w:rFonts w:ascii="宋体" w:hAnsi="宋体" w:hint="eastAsia"/>
                <w:kern w:val="0"/>
                <w:sz w:val="28"/>
                <w:szCs w:val="28"/>
              </w:rPr>
            </w:pPr>
          </w:p>
        </w:tc>
        <w:tc>
          <w:tcPr>
            <w:tcW w:w="1968" w:type="pct"/>
            <w:vAlign w:val="center"/>
          </w:tcPr>
          <w:p w14:paraId="6B6C3CFF" w14:textId="77777777" w:rsidR="00234AC9" w:rsidRPr="00D623B2" w:rsidRDefault="00234AC9" w:rsidP="00655AD7">
            <w:pPr>
              <w:spacing w:line="360" w:lineRule="auto"/>
              <w:rPr>
                <w:rFonts w:ascii="宋体" w:hAnsi="宋体" w:hint="eastAsia"/>
                <w:kern w:val="0"/>
                <w:sz w:val="28"/>
                <w:szCs w:val="28"/>
              </w:rPr>
            </w:pPr>
          </w:p>
        </w:tc>
      </w:tr>
      <w:tr w:rsidR="00234AC9" w:rsidRPr="00D623B2" w14:paraId="11861D49" w14:textId="77777777" w:rsidTr="00655AD7">
        <w:trPr>
          <w:trHeight w:hRule="exact" w:val="567"/>
        </w:trPr>
        <w:tc>
          <w:tcPr>
            <w:tcW w:w="3032" w:type="pct"/>
            <w:vAlign w:val="center"/>
          </w:tcPr>
          <w:p w14:paraId="182A4547" w14:textId="77777777" w:rsidR="00234AC9" w:rsidRPr="00D623B2" w:rsidRDefault="00234AC9" w:rsidP="00655AD7">
            <w:pPr>
              <w:spacing w:line="360" w:lineRule="auto"/>
              <w:jc w:val="center"/>
              <w:rPr>
                <w:rFonts w:ascii="宋体" w:hAnsi="宋体" w:hint="eastAsia"/>
                <w:kern w:val="0"/>
                <w:sz w:val="28"/>
                <w:szCs w:val="28"/>
              </w:rPr>
            </w:pPr>
          </w:p>
        </w:tc>
        <w:tc>
          <w:tcPr>
            <w:tcW w:w="1968" w:type="pct"/>
            <w:vAlign w:val="center"/>
          </w:tcPr>
          <w:p w14:paraId="28B06101" w14:textId="77777777" w:rsidR="00234AC9" w:rsidRPr="00D623B2" w:rsidRDefault="00234AC9" w:rsidP="00655AD7">
            <w:pPr>
              <w:spacing w:line="360" w:lineRule="auto"/>
              <w:rPr>
                <w:rFonts w:ascii="宋体" w:hAnsi="宋体" w:hint="eastAsia"/>
                <w:kern w:val="0"/>
                <w:sz w:val="28"/>
                <w:szCs w:val="28"/>
              </w:rPr>
            </w:pPr>
            <w:r w:rsidRPr="00D623B2">
              <w:rPr>
                <w:rFonts w:ascii="宋体" w:hAnsi="宋体"/>
                <w:kern w:val="0"/>
                <w:sz w:val="28"/>
                <w:szCs w:val="28"/>
              </w:rPr>
              <w:t>中国注册会计师</w:t>
            </w:r>
            <w:r w:rsidRPr="00D623B2">
              <w:rPr>
                <w:rFonts w:ascii="宋体" w:hAnsi="宋体" w:hint="eastAsia"/>
                <w:kern w:val="0"/>
                <w:sz w:val="28"/>
                <w:szCs w:val="28"/>
              </w:rPr>
              <w:t>：</w:t>
            </w:r>
            <w:r w:rsidRPr="00D623B2">
              <w:rPr>
                <w:rFonts w:ascii="宋体" w:hAnsi="宋体" w:hint="eastAsia"/>
                <w:kern w:val="0"/>
                <w:sz w:val="28"/>
                <w:szCs w:val="28"/>
                <w:u w:val="single"/>
              </w:rPr>
              <w:t xml:space="preserve"> </w:t>
            </w:r>
            <w:r w:rsidRPr="00D623B2">
              <w:rPr>
                <w:rFonts w:ascii="宋体" w:hAnsi="宋体"/>
                <w:kern w:val="0"/>
                <w:sz w:val="28"/>
                <w:szCs w:val="28"/>
                <w:u w:val="single"/>
              </w:rPr>
              <w:t xml:space="preserve">         </w:t>
            </w:r>
          </w:p>
        </w:tc>
      </w:tr>
      <w:tr w:rsidR="00234AC9" w:rsidRPr="00D623B2" w14:paraId="727B973C" w14:textId="77777777" w:rsidTr="00655AD7">
        <w:trPr>
          <w:trHeight w:hRule="exact" w:val="567"/>
        </w:trPr>
        <w:tc>
          <w:tcPr>
            <w:tcW w:w="3032" w:type="pct"/>
            <w:vAlign w:val="center"/>
          </w:tcPr>
          <w:p w14:paraId="611E3CA7" w14:textId="77777777" w:rsidR="00234AC9" w:rsidRPr="00D623B2" w:rsidRDefault="00234AC9" w:rsidP="00655AD7">
            <w:pPr>
              <w:spacing w:line="360" w:lineRule="auto"/>
              <w:jc w:val="center"/>
              <w:rPr>
                <w:rFonts w:ascii="宋体" w:hAnsi="宋体" w:hint="eastAsia"/>
                <w:kern w:val="0"/>
                <w:sz w:val="28"/>
                <w:szCs w:val="28"/>
              </w:rPr>
            </w:pPr>
          </w:p>
        </w:tc>
        <w:tc>
          <w:tcPr>
            <w:tcW w:w="1968" w:type="pct"/>
          </w:tcPr>
          <w:p w14:paraId="6009C947" w14:textId="6403F797" w:rsidR="00234AC9" w:rsidRPr="00D623B2" w:rsidRDefault="00234AC9" w:rsidP="00C758E4">
            <w:pPr>
              <w:spacing w:line="360" w:lineRule="auto"/>
              <w:ind w:right="280"/>
              <w:jc w:val="right"/>
              <w:rPr>
                <w:rFonts w:ascii="宋体" w:hAnsi="宋体" w:hint="eastAsia"/>
                <w:kern w:val="0"/>
                <w:sz w:val="28"/>
                <w:szCs w:val="28"/>
              </w:rPr>
            </w:pPr>
            <w:proofErr w:type="gramStart"/>
            <w:r>
              <w:rPr>
                <w:rFonts w:ascii="宋体" w:hAnsi="宋体" w:hint="eastAsia"/>
                <w:kern w:val="0"/>
                <w:sz w:val="28"/>
                <w:szCs w:val="28"/>
              </w:rPr>
              <w:t>赖镇业</w:t>
            </w:r>
            <w:proofErr w:type="gramEnd"/>
          </w:p>
        </w:tc>
      </w:tr>
      <w:tr w:rsidR="00234AC9" w:rsidRPr="00D623B2" w14:paraId="5F286065" w14:textId="77777777" w:rsidTr="00655AD7">
        <w:trPr>
          <w:trHeight w:hRule="exact" w:val="567"/>
        </w:trPr>
        <w:tc>
          <w:tcPr>
            <w:tcW w:w="3032" w:type="pct"/>
            <w:vAlign w:val="center"/>
          </w:tcPr>
          <w:p w14:paraId="0A65CEF6" w14:textId="77777777" w:rsidR="00234AC9" w:rsidRPr="00D623B2" w:rsidRDefault="00234AC9" w:rsidP="00655AD7">
            <w:pPr>
              <w:spacing w:line="360" w:lineRule="auto"/>
              <w:jc w:val="center"/>
              <w:rPr>
                <w:rFonts w:ascii="宋体" w:hAnsi="宋体" w:hint="eastAsia"/>
                <w:kern w:val="0"/>
                <w:sz w:val="28"/>
                <w:szCs w:val="28"/>
              </w:rPr>
            </w:pPr>
          </w:p>
        </w:tc>
        <w:tc>
          <w:tcPr>
            <w:tcW w:w="1968" w:type="pct"/>
            <w:vAlign w:val="center"/>
          </w:tcPr>
          <w:p w14:paraId="7EC17813" w14:textId="3D1EAB43" w:rsidR="00234AC9" w:rsidRPr="00D623B2" w:rsidRDefault="00234AC9" w:rsidP="00655AD7">
            <w:pPr>
              <w:spacing w:line="360" w:lineRule="auto"/>
              <w:jc w:val="center"/>
              <w:rPr>
                <w:rFonts w:ascii="宋体" w:hAnsi="宋体" w:hint="eastAsia"/>
                <w:kern w:val="0"/>
                <w:sz w:val="28"/>
                <w:szCs w:val="28"/>
              </w:rPr>
            </w:pPr>
            <w:r w:rsidRPr="00D623B2">
              <w:rPr>
                <w:rFonts w:ascii="宋体" w:hAnsi="宋体"/>
                <w:kern w:val="0"/>
                <w:sz w:val="28"/>
                <w:szCs w:val="28"/>
              </w:rPr>
              <w:t>二〇二</w:t>
            </w:r>
            <w:r>
              <w:rPr>
                <w:rFonts w:ascii="宋体" w:hAnsi="宋体" w:hint="eastAsia"/>
                <w:kern w:val="0"/>
                <w:sz w:val="28"/>
                <w:szCs w:val="28"/>
              </w:rPr>
              <w:t>五</w:t>
            </w:r>
            <w:r w:rsidRPr="00D623B2">
              <w:rPr>
                <w:rFonts w:ascii="宋体" w:hAnsi="宋体"/>
                <w:sz w:val="28"/>
                <w:szCs w:val="28"/>
              </w:rPr>
              <w:t>年</w:t>
            </w:r>
            <w:r>
              <w:rPr>
                <w:rFonts w:ascii="宋体" w:hAnsi="宋体" w:hint="eastAsia"/>
                <w:sz w:val="28"/>
                <w:szCs w:val="28"/>
              </w:rPr>
              <w:t>四</w:t>
            </w:r>
            <w:r w:rsidRPr="0087085F">
              <w:rPr>
                <w:rFonts w:ascii="宋体" w:hAnsi="宋体" w:hint="eastAsia"/>
                <w:sz w:val="28"/>
                <w:szCs w:val="28"/>
              </w:rPr>
              <w:t>月</w:t>
            </w:r>
            <w:r>
              <w:rPr>
                <w:rFonts w:ascii="宋体" w:hAnsi="宋体" w:hint="eastAsia"/>
                <w:sz w:val="28"/>
                <w:szCs w:val="28"/>
              </w:rPr>
              <w:t>十六</w:t>
            </w:r>
            <w:r w:rsidRPr="0087085F">
              <w:rPr>
                <w:rFonts w:ascii="宋体" w:hAnsi="宋体" w:hint="eastAsia"/>
                <w:sz w:val="28"/>
                <w:szCs w:val="28"/>
              </w:rPr>
              <w:t>日</w:t>
            </w:r>
          </w:p>
        </w:tc>
      </w:tr>
      <w:bookmarkEnd w:id="0"/>
    </w:tbl>
    <w:p w14:paraId="792FEC7B" w14:textId="77777777" w:rsidR="00234AC9" w:rsidRDefault="00234AC9">
      <w:pPr>
        <w:snapToGrid w:val="0"/>
        <w:spacing w:line="360" w:lineRule="auto"/>
        <w:rPr>
          <w:rFonts w:ascii="宋体" w:hAnsi="宋体" w:cs="宋体" w:hint="eastAsia"/>
          <w:color w:val="000000" w:themeColor="text1"/>
          <w:kern w:val="0"/>
          <w:sz w:val="22"/>
          <w:szCs w:val="22"/>
        </w:rPr>
      </w:pPr>
    </w:p>
    <w:p w14:paraId="58027C28" w14:textId="77777777" w:rsidR="00C81C0C" w:rsidRPr="00234AC9" w:rsidRDefault="00C81C0C">
      <w:pPr>
        <w:snapToGrid w:val="0"/>
        <w:spacing w:line="360" w:lineRule="auto"/>
        <w:rPr>
          <w:rFonts w:ascii="宋体" w:hAnsi="宋体" w:cs="宋体" w:hint="eastAsia"/>
          <w:color w:val="000000" w:themeColor="text1"/>
          <w:kern w:val="0"/>
          <w:sz w:val="22"/>
          <w:szCs w:val="22"/>
        </w:rPr>
        <w:sectPr w:rsidR="00C81C0C" w:rsidRPr="00234AC9" w:rsidSect="00040FB7">
          <w:headerReference w:type="default" r:id="rId14"/>
          <w:footerReference w:type="default" r:id="rId15"/>
          <w:footerReference w:type="first" r:id="rId16"/>
          <w:pgSz w:w="11907" w:h="16840"/>
          <w:pgMar w:top="1724" w:right="1797" w:bottom="1440" w:left="1797" w:header="567" w:footer="992" w:gutter="0"/>
          <w:pgNumType w:start="1"/>
          <w:cols w:space="720"/>
          <w:titlePg/>
          <w:docGrid w:linePitch="435"/>
        </w:sectPr>
      </w:pPr>
    </w:p>
    <w:p w14:paraId="4B388844" w14:textId="1C6FBE5A" w:rsidR="00C81C0C" w:rsidRPr="00234AC9" w:rsidRDefault="00000000">
      <w:pPr>
        <w:snapToGrid w:val="0"/>
        <w:spacing w:line="360" w:lineRule="auto"/>
        <w:jc w:val="center"/>
        <w:rPr>
          <w:rFonts w:ascii="宋体" w:hAnsi="宋体" w:cs="宋体" w:hint="eastAsia"/>
          <w:b/>
          <w:color w:val="000000" w:themeColor="text1"/>
          <w:kern w:val="0"/>
          <w:sz w:val="30"/>
          <w:szCs w:val="30"/>
        </w:rPr>
      </w:pPr>
      <w:r w:rsidRPr="00234AC9">
        <w:rPr>
          <w:rFonts w:ascii="宋体" w:hAnsi="宋体" w:cs="宋体" w:hint="eastAsia"/>
          <w:b/>
          <w:color w:val="000000" w:themeColor="text1"/>
          <w:kern w:val="0"/>
          <w:sz w:val="30"/>
          <w:szCs w:val="30"/>
        </w:rPr>
        <w:lastRenderedPageBreak/>
        <w:t>福建广生堂药业股份有限公司</w:t>
      </w:r>
    </w:p>
    <w:p w14:paraId="4B388845" w14:textId="77777777" w:rsidR="00C81C0C" w:rsidRPr="00234AC9" w:rsidRDefault="00000000">
      <w:pPr>
        <w:snapToGrid w:val="0"/>
        <w:spacing w:line="360" w:lineRule="auto"/>
        <w:jc w:val="center"/>
        <w:rPr>
          <w:rFonts w:ascii="宋体" w:hAnsi="宋体" w:cs="宋体" w:hint="eastAsia"/>
          <w:b/>
          <w:color w:val="000000" w:themeColor="text1"/>
          <w:kern w:val="0"/>
          <w:sz w:val="30"/>
          <w:szCs w:val="30"/>
        </w:rPr>
      </w:pPr>
      <w:r w:rsidRPr="00234AC9">
        <w:rPr>
          <w:rFonts w:ascii="宋体" w:hAnsi="宋体" w:cs="宋体" w:hint="eastAsia"/>
          <w:b/>
          <w:color w:val="000000" w:themeColor="text1"/>
          <w:kern w:val="0"/>
          <w:sz w:val="30"/>
          <w:szCs w:val="30"/>
        </w:rPr>
        <w:t>2024年度募集资金存放与使用情况的专项报告</w:t>
      </w:r>
    </w:p>
    <w:p w14:paraId="4B388846" w14:textId="77777777" w:rsidR="00C81C0C" w:rsidRPr="00234AC9" w:rsidRDefault="00C81C0C">
      <w:pPr>
        <w:snapToGrid w:val="0"/>
        <w:spacing w:line="360" w:lineRule="auto"/>
        <w:ind w:left="420"/>
        <w:rPr>
          <w:rFonts w:ascii="宋体" w:hAnsi="宋体" w:cs="宋体" w:hint="eastAsia"/>
          <w:color w:val="000000" w:themeColor="text1"/>
          <w:kern w:val="0"/>
          <w:sz w:val="22"/>
          <w:szCs w:val="22"/>
        </w:rPr>
      </w:pPr>
    </w:p>
    <w:p w14:paraId="4B388847" w14:textId="77777777" w:rsidR="00C81C0C" w:rsidRPr="00234AC9" w:rsidRDefault="00000000">
      <w:pPr>
        <w:numPr>
          <w:ilvl w:val="0"/>
          <w:numId w:val="2"/>
        </w:numPr>
        <w:snapToGrid w:val="0"/>
        <w:spacing w:line="360" w:lineRule="auto"/>
        <w:rPr>
          <w:rFonts w:ascii="宋体" w:hAnsi="宋体" w:cs="宋体" w:hint="eastAsia"/>
          <w:b/>
          <w:color w:val="000000" w:themeColor="text1"/>
          <w:kern w:val="0"/>
          <w:szCs w:val="21"/>
        </w:rPr>
      </w:pPr>
      <w:r w:rsidRPr="00234AC9">
        <w:rPr>
          <w:rFonts w:ascii="宋体" w:hAnsi="宋体" w:cs="宋体"/>
          <w:b/>
          <w:color w:val="000000" w:themeColor="text1"/>
          <w:kern w:val="0"/>
          <w:szCs w:val="21"/>
        </w:rPr>
        <w:t>募集资金基本情况</w:t>
      </w:r>
    </w:p>
    <w:p w14:paraId="4B388849" w14:textId="77777777" w:rsidR="00C81C0C" w:rsidRPr="00234AC9" w:rsidRDefault="00000000">
      <w:pPr>
        <w:snapToGrid w:val="0"/>
        <w:spacing w:line="360" w:lineRule="auto"/>
        <w:ind w:firstLineChars="200" w:firstLine="420"/>
        <w:rPr>
          <w:rFonts w:ascii="宋体" w:hAnsi="宋体" w:hint="eastAsia"/>
          <w:color w:val="000000" w:themeColor="text1"/>
          <w:szCs w:val="21"/>
        </w:rPr>
      </w:pPr>
      <w:r w:rsidRPr="00234AC9">
        <w:rPr>
          <w:rFonts w:ascii="宋体" w:hAnsi="宋体" w:hint="eastAsia"/>
          <w:color w:val="000000" w:themeColor="text1"/>
          <w:szCs w:val="21"/>
        </w:rPr>
        <w:t>经中国证券监督管理委员会证监许可[2020]2748号核准，并经深圳证券交易所同意， 本公司由主承销商中信证券股份有限公司于</w:t>
      </w:r>
      <w:r w:rsidRPr="00234AC9">
        <w:rPr>
          <w:rFonts w:ascii="宋体" w:hAnsi="宋体"/>
          <w:color w:val="000000" w:themeColor="text1"/>
          <w:szCs w:val="21"/>
        </w:rPr>
        <w:t>2021</w:t>
      </w:r>
      <w:r w:rsidRPr="00234AC9">
        <w:rPr>
          <w:rFonts w:ascii="宋体" w:hAnsi="宋体" w:hint="eastAsia"/>
          <w:color w:val="000000" w:themeColor="text1"/>
          <w:szCs w:val="21"/>
        </w:rPr>
        <w:t>年</w:t>
      </w:r>
      <w:r w:rsidRPr="00234AC9">
        <w:rPr>
          <w:rFonts w:ascii="宋体" w:hAnsi="宋体"/>
          <w:color w:val="000000" w:themeColor="text1"/>
          <w:szCs w:val="21"/>
        </w:rPr>
        <w:t>6</w:t>
      </w:r>
      <w:r w:rsidRPr="00234AC9">
        <w:rPr>
          <w:rFonts w:ascii="宋体" w:hAnsi="宋体" w:hint="eastAsia"/>
          <w:color w:val="000000" w:themeColor="text1"/>
          <w:szCs w:val="21"/>
        </w:rPr>
        <w:t>月向特定对象发行普通股（A 股）股票</w:t>
      </w:r>
      <w:r w:rsidRPr="00234AC9">
        <w:rPr>
          <w:rFonts w:ascii="宋体" w:hAnsi="宋体"/>
          <w:color w:val="000000" w:themeColor="text1"/>
          <w:szCs w:val="21"/>
        </w:rPr>
        <w:t>1,877.70</w:t>
      </w:r>
      <w:r w:rsidRPr="00234AC9">
        <w:rPr>
          <w:rFonts w:ascii="宋体" w:hAnsi="宋体" w:hint="eastAsia"/>
          <w:color w:val="000000" w:themeColor="text1"/>
          <w:szCs w:val="21"/>
        </w:rPr>
        <w:t>万股，每股面值1元，每股发行价人民币</w:t>
      </w:r>
      <w:r w:rsidRPr="00234AC9">
        <w:rPr>
          <w:rFonts w:ascii="宋体" w:hAnsi="宋体"/>
          <w:color w:val="000000" w:themeColor="text1"/>
          <w:szCs w:val="21"/>
        </w:rPr>
        <w:t>27.40</w:t>
      </w:r>
      <w:r w:rsidRPr="00234AC9">
        <w:rPr>
          <w:rFonts w:ascii="宋体" w:hAnsi="宋体" w:hint="eastAsia"/>
          <w:color w:val="000000" w:themeColor="text1"/>
          <w:szCs w:val="21"/>
        </w:rPr>
        <w:t>元。截至</w:t>
      </w:r>
      <w:r w:rsidRPr="00234AC9">
        <w:rPr>
          <w:rFonts w:ascii="宋体" w:hAnsi="宋体"/>
          <w:color w:val="000000" w:themeColor="text1"/>
          <w:szCs w:val="21"/>
        </w:rPr>
        <w:t>2021</w:t>
      </w:r>
      <w:r w:rsidRPr="00234AC9">
        <w:rPr>
          <w:rFonts w:ascii="宋体" w:hAnsi="宋体" w:hint="eastAsia"/>
          <w:color w:val="000000" w:themeColor="text1"/>
          <w:szCs w:val="21"/>
        </w:rPr>
        <w:t>年</w:t>
      </w:r>
      <w:r w:rsidRPr="00234AC9">
        <w:rPr>
          <w:rFonts w:ascii="宋体" w:hAnsi="宋体"/>
          <w:color w:val="000000" w:themeColor="text1"/>
          <w:szCs w:val="21"/>
        </w:rPr>
        <w:t>6</w:t>
      </w:r>
      <w:r w:rsidRPr="00234AC9">
        <w:rPr>
          <w:rFonts w:ascii="宋体" w:hAnsi="宋体" w:hint="eastAsia"/>
          <w:color w:val="000000" w:themeColor="text1"/>
          <w:szCs w:val="21"/>
        </w:rPr>
        <w:t>月</w:t>
      </w:r>
      <w:r w:rsidRPr="00234AC9">
        <w:rPr>
          <w:rFonts w:ascii="宋体" w:hAnsi="宋体"/>
          <w:color w:val="000000" w:themeColor="text1"/>
          <w:szCs w:val="21"/>
        </w:rPr>
        <w:t>21</w:t>
      </w:r>
      <w:r w:rsidRPr="00234AC9">
        <w:rPr>
          <w:rFonts w:ascii="宋体" w:hAnsi="宋体" w:hint="eastAsia"/>
          <w:color w:val="000000" w:themeColor="text1"/>
          <w:szCs w:val="21"/>
        </w:rPr>
        <w:t>日止，本公司共募集资金5</w:t>
      </w:r>
      <w:r w:rsidRPr="00234AC9">
        <w:rPr>
          <w:rFonts w:ascii="宋体" w:hAnsi="宋体"/>
          <w:color w:val="000000" w:themeColor="text1"/>
          <w:szCs w:val="21"/>
        </w:rPr>
        <w:t>14,489,800.00</w:t>
      </w:r>
      <w:r w:rsidRPr="00234AC9">
        <w:rPr>
          <w:rFonts w:ascii="宋体" w:hAnsi="宋体" w:hint="eastAsia"/>
          <w:color w:val="000000" w:themeColor="text1"/>
          <w:szCs w:val="21"/>
        </w:rPr>
        <w:t>元，扣除发行费用（不含税）</w:t>
      </w:r>
      <w:r w:rsidRPr="00234AC9">
        <w:rPr>
          <w:rFonts w:ascii="宋体" w:hAnsi="宋体"/>
          <w:color w:val="000000" w:themeColor="text1"/>
          <w:szCs w:val="21"/>
        </w:rPr>
        <w:t>14,905,660.38</w:t>
      </w:r>
      <w:r w:rsidRPr="00234AC9">
        <w:rPr>
          <w:rFonts w:ascii="宋体" w:hAnsi="宋体" w:hint="eastAsia"/>
          <w:color w:val="000000" w:themeColor="text1"/>
          <w:szCs w:val="21"/>
        </w:rPr>
        <w:t>元，募集资金净额</w:t>
      </w:r>
      <w:r w:rsidRPr="00234AC9">
        <w:rPr>
          <w:rFonts w:ascii="宋体" w:hAnsi="宋体"/>
          <w:color w:val="000000" w:themeColor="text1"/>
          <w:szCs w:val="21"/>
        </w:rPr>
        <w:t>499,584,139.62</w:t>
      </w:r>
      <w:r w:rsidRPr="00234AC9">
        <w:rPr>
          <w:rFonts w:ascii="宋体" w:hAnsi="宋体" w:hint="eastAsia"/>
          <w:color w:val="000000" w:themeColor="text1"/>
          <w:szCs w:val="21"/>
        </w:rPr>
        <w:t>元。</w:t>
      </w:r>
    </w:p>
    <w:p w14:paraId="3BF421A4" w14:textId="77777777" w:rsidR="00C81C0C" w:rsidRPr="00234AC9" w:rsidRDefault="00000000">
      <w:pPr>
        <w:snapToGrid w:val="0"/>
        <w:spacing w:line="360" w:lineRule="auto"/>
        <w:ind w:firstLineChars="200" w:firstLine="420"/>
        <w:rPr>
          <w:rFonts w:ascii="宋体" w:hAnsi="宋体" w:hint="eastAsia"/>
          <w:color w:val="000000" w:themeColor="text1"/>
          <w:szCs w:val="21"/>
        </w:rPr>
      </w:pPr>
      <w:r w:rsidRPr="00234AC9">
        <w:rPr>
          <w:rFonts w:ascii="宋体" w:hAnsi="宋体" w:hint="eastAsia"/>
          <w:color w:val="000000" w:themeColor="text1"/>
          <w:szCs w:val="21"/>
        </w:rPr>
        <w:t>截止</w:t>
      </w:r>
      <w:r w:rsidRPr="00234AC9">
        <w:rPr>
          <w:rFonts w:ascii="宋体" w:hAnsi="宋体"/>
          <w:color w:val="000000" w:themeColor="text1"/>
          <w:szCs w:val="21"/>
        </w:rPr>
        <w:t>2021</w:t>
      </w:r>
      <w:r w:rsidRPr="00234AC9">
        <w:rPr>
          <w:rFonts w:ascii="宋体" w:hAnsi="宋体" w:hint="eastAsia"/>
          <w:color w:val="000000" w:themeColor="text1"/>
          <w:szCs w:val="21"/>
        </w:rPr>
        <w:t>年</w:t>
      </w:r>
      <w:r w:rsidRPr="00234AC9">
        <w:rPr>
          <w:rFonts w:ascii="宋体" w:hAnsi="宋体"/>
          <w:color w:val="000000" w:themeColor="text1"/>
          <w:szCs w:val="21"/>
        </w:rPr>
        <w:t>6</w:t>
      </w:r>
      <w:r w:rsidRPr="00234AC9">
        <w:rPr>
          <w:rFonts w:ascii="宋体" w:hAnsi="宋体" w:hint="eastAsia"/>
          <w:color w:val="000000" w:themeColor="text1"/>
          <w:szCs w:val="21"/>
        </w:rPr>
        <w:t>月</w:t>
      </w:r>
      <w:r w:rsidRPr="00234AC9">
        <w:rPr>
          <w:rFonts w:ascii="宋体" w:hAnsi="宋体"/>
          <w:color w:val="000000" w:themeColor="text1"/>
          <w:szCs w:val="21"/>
        </w:rPr>
        <w:t>21</w:t>
      </w:r>
      <w:r w:rsidRPr="00234AC9">
        <w:rPr>
          <w:rFonts w:ascii="宋体" w:hAnsi="宋体" w:hint="eastAsia"/>
          <w:color w:val="000000" w:themeColor="text1"/>
          <w:szCs w:val="21"/>
        </w:rPr>
        <w:t>日，上述募集资金已全部到位，</w:t>
      </w:r>
      <w:proofErr w:type="gramStart"/>
      <w:r w:rsidRPr="00234AC9">
        <w:rPr>
          <w:rFonts w:ascii="宋体" w:hAnsi="宋体" w:hint="eastAsia"/>
          <w:color w:val="000000" w:themeColor="text1"/>
          <w:szCs w:val="21"/>
        </w:rPr>
        <w:t>业经大</w:t>
      </w:r>
      <w:proofErr w:type="gramEnd"/>
      <w:r w:rsidRPr="00234AC9">
        <w:rPr>
          <w:rFonts w:ascii="宋体" w:hAnsi="宋体" w:hint="eastAsia"/>
          <w:color w:val="000000" w:themeColor="text1"/>
          <w:szCs w:val="21"/>
        </w:rPr>
        <w:t>华会计师事务所（特殊普通合伙）以“大华验字[2021]000437号”验资报告验证确认。</w:t>
      </w:r>
    </w:p>
    <w:p w14:paraId="50EB1178" w14:textId="77777777" w:rsidR="00C81C0C" w:rsidRPr="00234AC9" w:rsidRDefault="00000000">
      <w:pPr>
        <w:snapToGrid w:val="0"/>
        <w:spacing w:line="360" w:lineRule="auto"/>
        <w:ind w:firstLineChars="200" w:firstLine="420"/>
        <w:rPr>
          <w:rFonts w:ascii="宋体" w:hAnsi="宋体" w:hint="eastAsia"/>
          <w:color w:val="000000" w:themeColor="text1"/>
          <w:szCs w:val="21"/>
        </w:rPr>
      </w:pPr>
      <w:r w:rsidRPr="00234AC9">
        <w:rPr>
          <w:rFonts w:ascii="宋体" w:hAnsi="宋体" w:hint="eastAsia"/>
          <w:color w:val="000000" w:themeColor="text1"/>
          <w:szCs w:val="21"/>
        </w:rPr>
        <w:t>截止20</w:t>
      </w:r>
      <w:r w:rsidRPr="00234AC9">
        <w:rPr>
          <w:rFonts w:ascii="宋体" w:hAnsi="宋体"/>
          <w:color w:val="000000" w:themeColor="text1"/>
          <w:szCs w:val="21"/>
        </w:rPr>
        <w:t>2</w:t>
      </w:r>
      <w:r w:rsidRPr="00234AC9">
        <w:rPr>
          <w:rFonts w:ascii="宋体" w:hAnsi="宋体" w:hint="eastAsia"/>
          <w:color w:val="000000" w:themeColor="text1"/>
          <w:szCs w:val="21"/>
        </w:rPr>
        <w:t>4年12月31日，公司对募集资金项目累计投入</w:t>
      </w:r>
      <w:r w:rsidRPr="00234AC9">
        <w:rPr>
          <w:rFonts w:ascii="宋体" w:hAnsi="宋体"/>
          <w:color w:val="000000" w:themeColor="text1"/>
          <w:szCs w:val="21"/>
        </w:rPr>
        <w:t>507</w:t>
      </w:r>
      <w:r w:rsidRPr="00234AC9">
        <w:rPr>
          <w:rFonts w:ascii="宋体" w:hAnsi="宋体" w:hint="eastAsia"/>
          <w:color w:val="000000" w:themeColor="text1"/>
          <w:szCs w:val="21"/>
        </w:rPr>
        <w:t>,</w:t>
      </w:r>
      <w:r w:rsidRPr="00234AC9">
        <w:rPr>
          <w:rFonts w:ascii="宋体" w:hAnsi="宋体"/>
          <w:color w:val="000000" w:themeColor="text1"/>
          <w:szCs w:val="21"/>
        </w:rPr>
        <w:t>872</w:t>
      </w:r>
      <w:r w:rsidRPr="00234AC9">
        <w:rPr>
          <w:rFonts w:ascii="宋体" w:hAnsi="宋体" w:hint="eastAsia"/>
          <w:color w:val="000000" w:themeColor="text1"/>
          <w:szCs w:val="21"/>
        </w:rPr>
        <w:t>,</w:t>
      </w:r>
      <w:r w:rsidRPr="00234AC9">
        <w:rPr>
          <w:rFonts w:ascii="宋体" w:hAnsi="宋体"/>
          <w:color w:val="000000" w:themeColor="text1"/>
          <w:szCs w:val="21"/>
        </w:rPr>
        <w:t>135.96</w:t>
      </w:r>
      <w:r w:rsidRPr="00234AC9">
        <w:rPr>
          <w:rFonts w:ascii="宋体" w:hAnsi="宋体" w:hint="eastAsia"/>
          <w:color w:val="000000" w:themeColor="text1"/>
          <w:szCs w:val="21"/>
        </w:rPr>
        <w:t>元，其中：公司于募集资金到位之前利用自有资金先期投入募集资金项目人民币</w:t>
      </w:r>
      <w:r w:rsidRPr="00234AC9">
        <w:rPr>
          <w:rFonts w:ascii="宋体" w:hAnsi="宋体"/>
          <w:color w:val="000000" w:themeColor="text1"/>
          <w:szCs w:val="21"/>
        </w:rPr>
        <w:t>53,166,737.48</w:t>
      </w:r>
      <w:r w:rsidRPr="00234AC9">
        <w:rPr>
          <w:rFonts w:ascii="宋体" w:hAnsi="宋体" w:hint="eastAsia"/>
          <w:color w:val="000000" w:themeColor="text1"/>
          <w:szCs w:val="21"/>
        </w:rPr>
        <w:t>元。2</w:t>
      </w:r>
      <w:r w:rsidRPr="00234AC9">
        <w:rPr>
          <w:rFonts w:ascii="宋体" w:hAnsi="宋体"/>
          <w:color w:val="000000" w:themeColor="text1"/>
          <w:szCs w:val="21"/>
        </w:rPr>
        <w:t>021</w:t>
      </w:r>
      <w:r w:rsidRPr="00234AC9">
        <w:rPr>
          <w:rFonts w:ascii="宋体" w:hAnsi="宋体" w:hint="eastAsia"/>
          <w:color w:val="000000" w:themeColor="text1"/>
          <w:szCs w:val="21"/>
        </w:rPr>
        <w:t>年6月2</w:t>
      </w:r>
      <w:r w:rsidRPr="00234AC9">
        <w:rPr>
          <w:rFonts w:ascii="宋体" w:hAnsi="宋体"/>
          <w:color w:val="000000" w:themeColor="text1"/>
          <w:szCs w:val="21"/>
        </w:rPr>
        <w:t>1</w:t>
      </w:r>
      <w:r w:rsidRPr="00234AC9">
        <w:rPr>
          <w:rFonts w:ascii="宋体" w:hAnsi="宋体" w:hint="eastAsia"/>
          <w:color w:val="000000" w:themeColor="text1"/>
          <w:szCs w:val="21"/>
        </w:rPr>
        <w:t>日至2</w:t>
      </w:r>
      <w:r w:rsidRPr="00234AC9">
        <w:rPr>
          <w:rFonts w:ascii="宋体" w:hAnsi="宋体"/>
          <w:color w:val="000000" w:themeColor="text1"/>
          <w:szCs w:val="21"/>
        </w:rPr>
        <w:t>02</w:t>
      </w:r>
      <w:r w:rsidRPr="00234AC9">
        <w:rPr>
          <w:rFonts w:ascii="宋体" w:hAnsi="宋体" w:hint="eastAsia"/>
          <w:color w:val="000000" w:themeColor="text1"/>
          <w:szCs w:val="21"/>
        </w:rPr>
        <w:t>3年1</w:t>
      </w:r>
      <w:r w:rsidRPr="00234AC9">
        <w:rPr>
          <w:rFonts w:ascii="宋体" w:hAnsi="宋体"/>
          <w:color w:val="000000" w:themeColor="text1"/>
          <w:szCs w:val="21"/>
        </w:rPr>
        <w:t>2</w:t>
      </w:r>
      <w:r w:rsidRPr="00234AC9">
        <w:rPr>
          <w:rFonts w:ascii="宋体" w:hAnsi="宋体" w:hint="eastAsia"/>
          <w:color w:val="000000" w:themeColor="text1"/>
          <w:szCs w:val="21"/>
        </w:rPr>
        <w:t>月3</w:t>
      </w:r>
      <w:r w:rsidRPr="00234AC9">
        <w:rPr>
          <w:rFonts w:ascii="宋体" w:hAnsi="宋体"/>
          <w:color w:val="000000" w:themeColor="text1"/>
          <w:szCs w:val="21"/>
        </w:rPr>
        <w:t>1</w:t>
      </w:r>
      <w:r w:rsidRPr="00234AC9">
        <w:rPr>
          <w:rFonts w:ascii="宋体" w:hAnsi="宋体" w:hint="eastAsia"/>
          <w:color w:val="000000" w:themeColor="text1"/>
          <w:szCs w:val="21"/>
        </w:rPr>
        <w:t>日</w:t>
      </w:r>
      <w:proofErr w:type="gramStart"/>
      <w:r w:rsidRPr="00234AC9">
        <w:rPr>
          <w:rFonts w:ascii="宋体" w:hAnsi="宋体" w:hint="eastAsia"/>
          <w:color w:val="000000" w:themeColor="text1"/>
          <w:szCs w:val="21"/>
        </w:rPr>
        <w:t>止</w:t>
      </w:r>
      <w:proofErr w:type="gramEnd"/>
      <w:r w:rsidRPr="00234AC9">
        <w:rPr>
          <w:rFonts w:ascii="宋体" w:hAnsi="宋体" w:hint="eastAsia"/>
          <w:color w:val="000000" w:themeColor="text1"/>
          <w:szCs w:val="21"/>
        </w:rPr>
        <w:t>使用募集资金人民币</w:t>
      </w:r>
      <w:r w:rsidRPr="00234AC9">
        <w:rPr>
          <w:rFonts w:ascii="宋体" w:hAnsi="宋体"/>
          <w:color w:val="000000" w:themeColor="text1"/>
          <w:szCs w:val="21"/>
        </w:rPr>
        <w:t>3</w:t>
      </w:r>
      <w:r w:rsidRPr="00234AC9">
        <w:rPr>
          <w:rFonts w:ascii="宋体" w:hAnsi="宋体" w:hint="eastAsia"/>
          <w:color w:val="000000" w:themeColor="text1"/>
          <w:szCs w:val="21"/>
        </w:rPr>
        <w:t>8</w:t>
      </w:r>
      <w:r w:rsidRPr="00234AC9">
        <w:rPr>
          <w:rFonts w:ascii="宋体" w:hAnsi="宋体"/>
          <w:color w:val="000000" w:themeColor="text1"/>
          <w:szCs w:val="21"/>
        </w:rPr>
        <w:t>0,</w:t>
      </w:r>
      <w:r w:rsidRPr="00234AC9">
        <w:rPr>
          <w:rFonts w:ascii="宋体" w:hAnsi="宋体" w:hint="eastAsia"/>
          <w:color w:val="000000" w:themeColor="text1"/>
          <w:szCs w:val="21"/>
        </w:rPr>
        <w:t>194</w:t>
      </w:r>
      <w:r w:rsidRPr="00234AC9">
        <w:rPr>
          <w:rFonts w:ascii="宋体" w:hAnsi="宋体"/>
          <w:color w:val="000000" w:themeColor="text1"/>
          <w:szCs w:val="21"/>
        </w:rPr>
        <w:t>,</w:t>
      </w:r>
      <w:r w:rsidRPr="00234AC9">
        <w:rPr>
          <w:rFonts w:ascii="宋体" w:hAnsi="宋体" w:hint="eastAsia"/>
          <w:color w:val="000000" w:themeColor="text1"/>
          <w:szCs w:val="21"/>
        </w:rPr>
        <w:t>892</w:t>
      </w:r>
      <w:r w:rsidRPr="00234AC9">
        <w:rPr>
          <w:rFonts w:ascii="宋体" w:hAnsi="宋体"/>
          <w:color w:val="000000" w:themeColor="text1"/>
          <w:szCs w:val="21"/>
        </w:rPr>
        <w:t>.7</w:t>
      </w:r>
      <w:r w:rsidRPr="00234AC9">
        <w:rPr>
          <w:rFonts w:ascii="宋体" w:hAnsi="宋体" w:hint="eastAsia"/>
          <w:color w:val="000000" w:themeColor="text1"/>
          <w:szCs w:val="21"/>
        </w:rPr>
        <w:t>2元；本年度使用募集资金人民币127</w:t>
      </w:r>
      <w:r w:rsidRPr="00234AC9">
        <w:rPr>
          <w:rFonts w:ascii="宋体" w:hAnsi="宋体"/>
          <w:color w:val="000000" w:themeColor="text1"/>
          <w:szCs w:val="21"/>
        </w:rPr>
        <w:t>,</w:t>
      </w:r>
      <w:r w:rsidRPr="00234AC9">
        <w:rPr>
          <w:rFonts w:ascii="宋体" w:hAnsi="宋体" w:hint="eastAsia"/>
          <w:color w:val="000000" w:themeColor="text1"/>
          <w:szCs w:val="21"/>
        </w:rPr>
        <w:t>677</w:t>
      </w:r>
      <w:r w:rsidRPr="00234AC9">
        <w:rPr>
          <w:rFonts w:ascii="宋体" w:hAnsi="宋体"/>
          <w:color w:val="000000" w:themeColor="text1"/>
          <w:szCs w:val="21"/>
        </w:rPr>
        <w:t>,</w:t>
      </w:r>
      <w:r w:rsidRPr="00234AC9">
        <w:rPr>
          <w:rFonts w:ascii="宋体" w:hAnsi="宋体" w:hint="eastAsia"/>
          <w:color w:val="000000" w:themeColor="text1"/>
          <w:szCs w:val="21"/>
        </w:rPr>
        <w:t>243</w:t>
      </w:r>
      <w:r w:rsidRPr="00234AC9">
        <w:rPr>
          <w:rFonts w:ascii="宋体" w:hAnsi="宋体"/>
          <w:color w:val="000000" w:themeColor="text1"/>
          <w:szCs w:val="21"/>
        </w:rPr>
        <w:t>.</w:t>
      </w:r>
      <w:r w:rsidRPr="00234AC9">
        <w:rPr>
          <w:rFonts w:ascii="宋体" w:hAnsi="宋体" w:hint="eastAsia"/>
          <w:color w:val="000000" w:themeColor="text1"/>
          <w:szCs w:val="21"/>
        </w:rPr>
        <w:t>24元，其中：永久补充流动资金</w:t>
      </w:r>
      <w:r w:rsidRPr="00234AC9">
        <w:rPr>
          <w:rFonts w:ascii="宋体" w:hAnsi="宋体"/>
          <w:color w:val="000000" w:themeColor="text1"/>
          <w:szCs w:val="21"/>
        </w:rPr>
        <w:t>123</w:t>
      </w:r>
      <w:r w:rsidRPr="00234AC9">
        <w:rPr>
          <w:rFonts w:ascii="宋体" w:hAnsi="宋体" w:hint="eastAsia"/>
          <w:color w:val="000000" w:themeColor="text1"/>
          <w:szCs w:val="21"/>
        </w:rPr>
        <w:t>,</w:t>
      </w:r>
      <w:r w:rsidRPr="00234AC9">
        <w:rPr>
          <w:rFonts w:ascii="宋体" w:hAnsi="宋体"/>
          <w:color w:val="000000" w:themeColor="text1"/>
          <w:szCs w:val="21"/>
        </w:rPr>
        <w:t>122</w:t>
      </w:r>
      <w:r w:rsidRPr="00234AC9">
        <w:rPr>
          <w:rFonts w:ascii="宋体" w:hAnsi="宋体" w:hint="eastAsia"/>
          <w:color w:val="000000" w:themeColor="text1"/>
          <w:szCs w:val="21"/>
        </w:rPr>
        <w:t>,</w:t>
      </w:r>
      <w:r w:rsidRPr="00234AC9">
        <w:rPr>
          <w:rFonts w:ascii="宋体" w:hAnsi="宋体"/>
          <w:color w:val="000000" w:themeColor="text1"/>
          <w:szCs w:val="21"/>
        </w:rPr>
        <w:t>600.85</w:t>
      </w:r>
      <w:r w:rsidRPr="00234AC9">
        <w:rPr>
          <w:rFonts w:ascii="宋体" w:hAnsi="宋体" w:hint="eastAsia"/>
          <w:color w:val="000000" w:themeColor="text1"/>
          <w:szCs w:val="21"/>
        </w:rPr>
        <w:t>元；</w:t>
      </w:r>
    </w:p>
    <w:p w14:paraId="4200B91B" w14:textId="77777777" w:rsidR="00C81C0C" w:rsidRPr="00234AC9" w:rsidRDefault="00000000">
      <w:pPr>
        <w:snapToGrid w:val="0"/>
        <w:spacing w:line="360" w:lineRule="auto"/>
        <w:ind w:firstLineChars="200" w:firstLine="420"/>
        <w:rPr>
          <w:rFonts w:ascii="宋体" w:hAnsi="宋体" w:hint="eastAsia"/>
          <w:color w:val="000000" w:themeColor="text1"/>
          <w:szCs w:val="21"/>
        </w:rPr>
      </w:pPr>
      <w:r w:rsidRPr="00234AC9">
        <w:rPr>
          <w:rFonts w:ascii="宋体" w:hAnsi="宋体" w:hint="eastAsia"/>
          <w:color w:val="000000" w:themeColor="text1"/>
          <w:szCs w:val="21"/>
        </w:rPr>
        <w:t>2</w:t>
      </w:r>
      <w:r w:rsidRPr="00234AC9">
        <w:rPr>
          <w:rFonts w:ascii="宋体" w:hAnsi="宋体"/>
          <w:color w:val="000000" w:themeColor="text1"/>
          <w:szCs w:val="21"/>
        </w:rPr>
        <w:t>021</w:t>
      </w:r>
      <w:r w:rsidRPr="00234AC9">
        <w:rPr>
          <w:rFonts w:ascii="宋体" w:hAnsi="宋体" w:hint="eastAsia"/>
          <w:color w:val="000000" w:themeColor="text1"/>
          <w:szCs w:val="21"/>
        </w:rPr>
        <w:t>年6月2</w:t>
      </w:r>
      <w:r w:rsidRPr="00234AC9">
        <w:rPr>
          <w:rFonts w:ascii="宋体" w:hAnsi="宋体"/>
          <w:color w:val="000000" w:themeColor="text1"/>
          <w:szCs w:val="21"/>
        </w:rPr>
        <w:t>1</w:t>
      </w:r>
      <w:r w:rsidRPr="00234AC9">
        <w:rPr>
          <w:rFonts w:ascii="宋体" w:hAnsi="宋体" w:hint="eastAsia"/>
          <w:color w:val="000000" w:themeColor="text1"/>
          <w:szCs w:val="21"/>
        </w:rPr>
        <w:t>日至2</w:t>
      </w:r>
      <w:r w:rsidRPr="00234AC9">
        <w:rPr>
          <w:rFonts w:ascii="宋体" w:hAnsi="宋体"/>
          <w:color w:val="000000" w:themeColor="text1"/>
          <w:szCs w:val="21"/>
        </w:rPr>
        <w:t>02</w:t>
      </w:r>
      <w:r w:rsidRPr="00234AC9">
        <w:rPr>
          <w:rFonts w:ascii="宋体" w:hAnsi="宋体" w:hint="eastAsia"/>
          <w:color w:val="000000" w:themeColor="text1"/>
          <w:szCs w:val="21"/>
        </w:rPr>
        <w:t>4年1</w:t>
      </w:r>
      <w:r w:rsidRPr="00234AC9">
        <w:rPr>
          <w:rFonts w:ascii="宋体" w:hAnsi="宋体"/>
          <w:color w:val="000000" w:themeColor="text1"/>
          <w:szCs w:val="21"/>
        </w:rPr>
        <w:t>2</w:t>
      </w:r>
      <w:r w:rsidRPr="00234AC9">
        <w:rPr>
          <w:rFonts w:ascii="宋体" w:hAnsi="宋体" w:hint="eastAsia"/>
          <w:color w:val="000000" w:themeColor="text1"/>
          <w:szCs w:val="21"/>
        </w:rPr>
        <w:t>月3</w:t>
      </w:r>
      <w:r w:rsidRPr="00234AC9">
        <w:rPr>
          <w:rFonts w:ascii="宋体" w:hAnsi="宋体"/>
          <w:color w:val="000000" w:themeColor="text1"/>
          <w:szCs w:val="21"/>
        </w:rPr>
        <w:t>1</w:t>
      </w:r>
      <w:r w:rsidRPr="00234AC9">
        <w:rPr>
          <w:rFonts w:ascii="宋体" w:hAnsi="宋体" w:hint="eastAsia"/>
          <w:color w:val="000000" w:themeColor="text1"/>
          <w:szCs w:val="21"/>
        </w:rPr>
        <w:t>日</w:t>
      </w:r>
      <w:proofErr w:type="gramStart"/>
      <w:r w:rsidRPr="00234AC9">
        <w:rPr>
          <w:rFonts w:ascii="宋体" w:hAnsi="宋体" w:hint="eastAsia"/>
          <w:color w:val="000000" w:themeColor="text1"/>
          <w:szCs w:val="21"/>
        </w:rPr>
        <w:t>止</w:t>
      </w:r>
      <w:proofErr w:type="gramEnd"/>
      <w:r w:rsidRPr="00234AC9">
        <w:rPr>
          <w:rFonts w:ascii="宋体" w:hAnsi="宋体" w:hint="eastAsia"/>
          <w:color w:val="000000" w:themeColor="text1"/>
          <w:szCs w:val="21"/>
        </w:rPr>
        <w:t>募集资金累计利息收入扣除银行手续费支出等后的净额8,287,996.34元，截止20</w:t>
      </w:r>
      <w:r w:rsidRPr="00234AC9">
        <w:rPr>
          <w:rFonts w:ascii="宋体" w:hAnsi="宋体"/>
          <w:color w:val="000000" w:themeColor="text1"/>
          <w:szCs w:val="21"/>
        </w:rPr>
        <w:t>2</w:t>
      </w:r>
      <w:r w:rsidRPr="00234AC9">
        <w:rPr>
          <w:rFonts w:ascii="宋体" w:hAnsi="宋体" w:hint="eastAsia"/>
          <w:color w:val="000000" w:themeColor="text1"/>
          <w:szCs w:val="21"/>
        </w:rPr>
        <w:t>4年12月31日，已全部使用完毕，募集资金专户已注销。</w:t>
      </w:r>
    </w:p>
    <w:p w14:paraId="4B38884C" w14:textId="77777777" w:rsidR="00C81C0C" w:rsidRPr="00234AC9" w:rsidRDefault="00C81C0C">
      <w:pPr>
        <w:snapToGrid w:val="0"/>
        <w:spacing w:line="360" w:lineRule="auto"/>
        <w:ind w:firstLineChars="200" w:firstLine="420"/>
        <w:rPr>
          <w:rFonts w:ascii="宋体" w:hAnsi="宋体" w:hint="eastAsia"/>
          <w:color w:val="000000" w:themeColor="text1"/>
          <w:szCs w:val="21"/>
        </w:rPr>
      </w:pPr>
    </w:p>
    <w:p w14:paraId="4B38884D" w14:textId="77777777" w:rsidR="00C81C0C" w:rsidRPr="00234AC9" w:rsidRDefault="00000000">
      <w:pPr>
        <w:snapToGrid w:val="0"/>
        <w:spacing w:line="360" w:lineRule="auto"/>
        <w:ind w:firstLineChars="200" w:firstLine="422"/>
        <w:rPr>
          <w:rFonts w:ascii="宋体" w:hAnsi="宋体" w:cs="宋体" w:hint="eastAsia"/>
          <w:b/>
          <w:color w:val="000000" w:themeColor="text1"/>
          <w:kern w:val="0"/>
          <w:szCs w:val="21"/>
        </w:rPr>
      </w:pPr>
      <w:r w:rsidRPr="00234AC9">
        <w:rPr>
          <w:rFonts w:ascii="宋体" w:hAnsi="宋体" w:cs="宋体" w:hint="eastAsia"/>
          <w:b/>
          <w:color w:val="000000" w:themeColor="text1"/>
          <w:kern w:val="0"/>
          <w:szCs w:val="21"/>
        </w:rPr>
        <w:t>二、</w:t>
      </w:r>
      <w:r w:rsidRPr="00234AC9">
        <w:rPr>
          <w:rFonts w:ascii="宋体" w:hAnsi="宋体" w:cs="宋体"/>
          <w:b/>
          <w:color w:val="000000" w:themeColor="text1"/>
          <w:kern w:val="0"/>
          <w:szCs w:val="21"/>
        </w:rPr>
        <w:t>募集资金的管理情况</w:t>
      </w:r>
    </w:p>
    <w:p w14:paraId="2C732C5D" w14:textId="6C93FAD5" w:rsidR="00C81C0C" w:rsidRPr="00234AC9" w:rsidRDefault="00000000">
      <w:pPr>
        <w:snapToGrid w:val="0"/>
        <w:spacing w:line="360" w:lineRule="auto"/>
        <w:ind w:firstLineChars="200" w:firstLine="420"/>
        <w:rPr>
          <w:rFonts w:ascii="宋体" w:hAnsi="宋体" w:hint="eastAsia"/>
          <w:color w:val="000000" w:themeColor="text1"/>
          <w:szCs w:val="21"/>
        </w:rPr>
      </w:pPr>
      <w:r w:rsidRPr="00234AC9">
        <w:rPr>
          <w:rFonts w:ascii="宋体" w:hAnsi="宋体" w:hint="eastAsia"/>
          <w:color w:val="000000" w:themeColor="text1"/>
          <w:szCs w:val="21"/>
        </w:rPr>
        <w:t>为了规范募集资金的管理和使用，保护投资者权益，本公司依照《中华人民共和国公司法》、《中华人民共和国证券法》、《上市公司监管指引第2号——上市公司募集资金管理和使用的监管要求》、《深圳证券交易所股票上市规则》、《深圳证券交易所上市公司自律监管指引第2号——创业板上市公司规范运作》等法律法规，结合公司实际情况，制定了《福建广生堂药业股份有限公司募集资金管理</w:t>
      </w:r>
      <w:r w:rsidR="00360F6D">
        <w:rPr>
          <w:rFonts w:ascii="宋体" w:hAnsi="宋体" w:hint="eastAsia"/>
          <w:color w:val="000000" w:themeColor="text1"/>
          <w:szCs w:val="21"/>
        </w:rPr>
        <w:t>办法</w:t>
      </w:r>
      <w:r w:rsidRPr="00234AC9">
        <w:rPr>
          <w:rFonts w:ascii="宋体" w:hAnsi="宋体" w:hint="eastAsia"/>
          <w:color w:val="000000" w:themeColor="text1"/>
          <w:szCs w:val="21"/>
        </w:rPr>
        <w:t>》（以下简称“管理</w:t>
      </w:r>
      <w:r w:rsidR="00360F6D">
        <w:rPr>
          <w:rFonts w:ascii="宋体" w:hAnsi="宋体" w:hint="eastAsia"/>
          <w:color w:val="000000" w:themeColor="text1"/>
          <w:szCs w:val="21"/>
        </w:rPr>
        <w:t>办法</w:t>
      </w:r>
      <w:r w:rsidRPr="00234AC9">
        <w:rPr>
          <w:rFonts w:ascii="宋体" w:hAnsi="宋体" w:hint="eastAsia"/>
          <w:color w:val="000000" w:themeColor="text1"/>
          <w:szCs w:val="21"/>
        </w:rPr>
        <w:t>”），该《管理办法》于2022年 5月13日2021年年度股东大会修订通过。</w:t>
      </w:r>
    </w:p>
    <w:p w14:paraId="76C0B100" w14:textId="77777777" w:rsidR="00C81C0C" w:rsidRPr="00234AC9" w:rsidRDefault="00000000">
      <w:pPr>
        <w:snapToGrid w:val="0"/>
        <w:spacing w:line="360" w:lineRule="auto"/>
        <w:ind w:firstLineChars="200" w:firstLine="420"/>
        <w:jc w:val="left"/>
        <w:rPr>
          <w:rFonts w:ascii="宋体" w:hAnsi="宋体" w:hint="eastAsia"/>
          <w:color w:val="000000" w:themeColor="text1"/>
          <w:szCs w:val="21"/>
        </w:rPr>
      </w:pPr>
      <w:r w:rsidRPr="00234AC9">
        <w:rPr>
          <w:rFonts w:ascii="宋体" w:hAnsi="宋体" w:hint="eastAsia"/>
          <w:color w:val="000000" w:themeColor="text1"/>
          <w:szCs w:val="21"/>
        </w:rPr>
        <w:t>根据《管理办法》的要求，并结合公司经营需要，本公司在兴业银行</w:t>
      </w:r>
      <w:r w:rsidRPr="00234AC9">
        <w:rPr>
          <w:rFonts w:ascii="宋体" w:hAnsi="宋体"/>
          <w:color w:val="000000" w:themeColor="text1"/>
          <w:szCs w:val="21"/>
        </w:rPr>
        <w:t>开设</w:t>
      </w:r>
      <w:r w:rsidRPr="00234AC9">
        <w:rPr>
          <w:rFonts w:ascii="宋体" w:hAnsi="宋体" w:hint="eastAsia"/>
          <w:color w:val="000000" w:themeColor="text1"/>
          <w:szCs w:val="21"/>
        </w:rPr>
        <w:t>募集</w:t>
      </w:r>
      <w:r w:rsidRPr="00234AC9">
        <w:rPr>
          <w:rFonts w:ascii="宋体" w:hAnsi="宋体"/>
          <w:color w:val="000000" w:themeColor="text1"/>
          <w:szCs w:val="21"/>
        </w:rPr>
        <w:t>资金</w:t>
      </w:r>
      <w:r w:rsidRPr="00234AC9">
        <w:rPr>
          <w:rFonts w:ascii="宋体" w:hAnsi="宋体" w:hint="eastAsia"/>
          <w:color w:val="000000" w:themeColor="text1"/>
          <w:szCs w:val="21"/>
        </w:rPr>
        <w:t>专</w:t>
      </w:r>
      <w:r w:rsidRPr="00234AC9">
        <w:rPr>
          <w:rFonts w:ascii="宋体" w:hAnsi="宋体"/>
          <w:color w:val="000000" w:themeColor="text1"/>
          <w:szCs w:val="21"/>
        </w:rPr>
        <w:t>项账户</w:t>
      </w:r>
      <w:r w:rsidRPr="00234AC9">
        <w:rPr>
          <w:rFonts w:ascii="宋体" w:hAnsi="宋体" w:hint="eastAsia"/>
          <w:color w:val="000000" w:themeColor="text1"/>
          <w:szCs w:val="21"/>
        </w:rPr>
        <w:t>，</w:t>
      </w:r>
      <w:r w:rsidRPr="00234AC9">
        <w:rPr>
          <w:rFonts w:ascii="宋体" w:hAnsi="宋体"/>
          <w:color w:val="000000" w:themeColor="text1"/>
          <w:szCs w:val="21"/>
        </w:rPr>
        <w:t>并</w:t>
      </w:r>
      <w:r w:rsidRPr="00234AC9">
        <w:rPr>
          <w:rFonts w:ascii="宋体" w:hAnsi="宋体" w:hint="eastAsia"/>
          <w:color w:val="000000" w:themeColor="text1"/>
          <w:szCs w:val="21"/>
        </w:rPr>
        <w:t>于</w:t>
      </w:r>
      <w:r w:rsidRPr="00234AC9">
        <w:rPr>
          <w:rFonts w:ascii="宋体" w:hAnsi="宋体"/>
          <w:color w:val="000000" w:themeColor="text1"/>
          <w:szCs w:val="21"/>
        </w:rPr>
        <w:t>2021</w:t>
      </w:r>
      <w:r w:rsidRPr="00234AC9">
        <w:rPr>
          <w:rFonts w:ascii="宋体" w:hAnsi="宋体" w:hint="eastAsia"/>
          <w:color w:val="000000" w:themeColor="text1"/>
          <w:szCs w:val="21"/>
        </w:rPr>
        <w:t>年</w:t>
      </w:r>
      <w:r w:rsidRPr="00234AC9">
        <w:rPr>
          <w:rFonts w:ascii="宋体" w:hAnsi="宋体"/>
          <w:color w:val="000000" w:themeColor="text1"/>
          <w:szCs w:val="21"/>
        </w:rPr>
        <w:t>7</w:t>
      </w:r>
      <w:r w:rsidRPr="00234AC9">
        <w:rPr>
          <w:rFonts w:ascii="宋体" w:hAnsi="宋体" w:hint="eastAsia"/>
          <w:color w:val="000000" w:themeColor="text1"/>
          <w:szCs w:val="21"/>
        </w:rPr>
        <w:t>月</w:t>
      </w:r>
      <w:r w:rsidRPr="00234AC9">
        <w:rPr>
          <w:rFonts w:ascii="宋体" w:hAnsi="宋体"/>
          <w:color w:val="000000" w:themeColor="text1"/>
          <w:szCs w:val="21"/>
        </w:rPr>
        <w:t>5</w:t>
      </w:r>
      <w:r w:rsidRPr="00234AC9">
        <w:rPr>
          <w:rFonts w:ascii="宋体" w:hAnsi="宋体" w:hint="eastAsia"/>
          <w:color w:val="000000" w:themeColor="text1"/>
          <w:szCs w:val="21"/>
        </w:rPr>
        <w:t>日</w:t>
      </w:r>
      <w:r w:rsidRPr="00234AC9">
        <w:rPr>
          <w:rFonts w:ascii="宋体" w:hAnsi="宋体"/>
          <w:color w:val="000000" w:themeColor="text1"/>
          <w:szCs w:val="21"/>
        </w:rPr>
        <w:t>与</w:t>
      </w:r>
      <w:r w:rsidRPr="00234AC9">
        <w:rPr>
          <w:rFonts w:ascii="宋体" w:hAnsi="宋体" w:hint="eastAsia"/>
          <w:color w:val="000000" w:themeColor="text1"/>
          <w:szCs w:val="21"/>
        </w:rPr>
        <w:t>中信证券股份有限公司</w:t>
      </w:r>
      <w:r w:rsidRPr="00234AC9">
        <w:rPr>
          <w:rFonts w:ascii="宋体" w:hAnsi="宋体"/>
          <w:color w:val="000000" w:themeColor="text1"/>
          <w:szCs w:val="21"/>
        </w:rPr>
        <w:t>、</w:t>
      </w:r>
      <w:r w:rsidRPr="00234AC9">
        <w:rPr>
          <w:rFonts w:ascii="宋体" w:hAnsi="宋体" w:hint="eastAsia"/>
          <w:color w:val="000000" w:themeColor="text1"/>
          <w:szCs w:val="21"/>
        </w:rPr>
        <w:t>兴业银行股份有限公司福州环球支行</w:t>
      </w:r>
      <w:r w:rsidRPr="00234AC9">
        <w:rPr>
          <w:rFonts w:ascii="宋体" w:hAnsi="宋体"/>
          <w:color w:val="000000" w:themeColor="text1"/>
          <w:szCs w:val="21"/>
        </w:rPr>
        <w:t>签署了</w:t>
      </w:r>
      <w:r w:rsidRPr="00234AC9">
        <w:rPr>
          <w:rFonts w:ascii="宋体" w:hAnsi="宋体" w:hint="eastAsia"/>
          <w:color w:val="000000" w:themeColor="text1"/>
          <w:szCs w:val="21"/>
        </w:rPr>
        <w:t>《募集</w:t>
      </w:r>
      <w:r w:rsidRPr="00234AC9">
        <w:rPr>
          <w:rFonts w:ascii="宋体" w:hAnsi="宋体"/>
          <w:color w:val="000000" w:themeColor="text1"/>
          <w:szCs w:val="21"/>
        </w:rPr>
        <w:t>资金三方监管协议》</w:t>
      </w:r>
      <w:r w:rsidRPr="00234AC9">
        <w:rPr>
          <w:rFonts w:ascii="宋体" w:hAnsi="宋体" w:hint="eastAsia"/>
          <w:color w:val="000000" w:themeColor="text1"/>
          <w:szCs w:val="21"/>
        </w:rPr>
        <w:t>；为保障公司向特定对象发行股票</w:t>
      </w:r>
      <w:proofErr w:type="gramStart"/>
      <w:r w:rsidRPr="00234AC9">
        <w:rPr>
          <w:rFonts w:ascii="宋体" w:hAnsi="宋体" w:hint="eastAsia"/>
          <w:color w:val="000000" w:themeColor="text1"/>
          <w:szCs w:val="21"/>
        </w:rPr>
        <w:t>募投项目</w:t>
      </w:r>
      <w:proofErr w:type="gramEnd"/>
      <w:r w:rsidRPr="00234AC9">
        <w:rPr>
          <w:rFonts w:ascii="宋体" w:hAnsi="宋体" w:hint="eastAsia"/>
          <w:color w:val="000000" w:themeColor="text1"/>
          <w:szCs w:val="21"/>
        </w:rPr>
        <w:t>的顺利实施，基于</w:t>
      </w:r>
      <w:proofErr w:type="gramStart"/>
      <w:r w:rsidRPr="00234AC9">
        <w:rPr>
          <w:rFonts w:ascii="宋体" w:hAnsi="宋体" w:hint="eastAsia"/>
          <w:color w:val="000000" w:themeColor="text1"/>
          <w:szCs w:val="21"/>
        </w:rPr>
        <w:t>募投项目</w:t>
      </w:r>
      <w:proofErr w:type="gramEnd"/>
      <w:r w:rsidRPr="00234AC9">
        <w:rPr>
          <w:rFonts w:ascii="宋体" w:hAnsi="宋体" w:hint="eastAsia"/>
          <w:color w:val="000000" w:themeColor="text1"/>
          <w:szCs w:val="21"/>
        </w:rPr>
        <w:t>实施主体情况及项目建设的实际需要，公司使用部分募集资金对全资子公司福建广生堂金塘药业有限公司（简称“金塘药业”）</w:t>
      </w:r>
      <w:r w:rsidRPr="00234AC9">
        <w:rPr>
          <w:rFonts w:ascii="宋体" w:hAnsi="宋体"/>
          <w:color w:val="000000" w:themeColor="text1"/>
          <w:szCs w:val="21"/>
        </w:rPr>
        <w:t>和控股子公司江苏中兴药业有</w:t>
      </w:r>
      <w:r w:rsidRPr="00234AC9">
        <w:rPr>
          <w:rFonts w:ascii="宋体" w:hAnsi="宋体"/>
          <w:color w:val="000000" w:themeColor="text1"/>
          <w:szCs w:val="21"/>
        </w:rPr>
        <w:lastRenderedPageBreak/>
        <w:t>限公司（简称“中兴药业”）进行增资</w:t>
      </w:r>
      <w:r w:rsidRPr="00234AC9">
        <w:rPr>
          <w:rFonts w:ascii="宋体" w:hAnsi="宋体" w:hint="eastAsia"/>
          <w:color w:val="000000" w:themeColor="text1"/>
          <w:szCs w:val="21"/>
        </w:rPr>
        <w:t>。金塘药业在招商银行开设募集资金专项账户，并于2</w:t>
      </w:r>
      <w:r w:rsidRPr="00234AC9">
        <w:rPr>
          <w:rFonts w:ascii="宋体" w:hAnsi="宋体"/>
          <w:color w:val="000000" w:themeColor="text1"/>
          <w:szCs w:val="21"/>
        </w:rPr>
        <w:t>021</w:t>
      </w:r>
      <w:r w:rsidRPr="00234AC9">
        <w:rPr>
          <w:rFonts w:ascii="宋体" w:hAnsi="宋体" w:hint="eastAsia"/>
          <w:color w:val="000000" w:themeColor="text1"/>
          <w:szCs w:val="21"/>
        </w:rPr>
        <w:t>年7月2</w:t>
      </w:r>
      <w:r w:rsidRPr="00234AC9">
        <w:rPr>
          <w:rFonts w:ascii="宋体" w:hAnsi="宋体"/>
          <w:color w:val="000000" w:themeColor="text1"/>
          <w:szCs w:val="21"/>
        </w:rPr>
        <w:t>0</w:t>
      </w:r>
      <w:r w:rsidRPr="00234AC9">
        <w:rPr>
          <w:rFonts w:ascii="宋体" w:hAnsi="宋体" w:hint="eastAsia"/>
          <w:color w:val="000000" w:themeColor="text1"/>
          <w:szCs w:val="21"/>
        </w:rPr>
        <w:t>日与广生堂、中信证券股份有限公司、招商银行股份有限公司福州分行</w:t>
      </w:r>
      <w:r w:rsidRPr="00234AC9">
        <w:rPr>
          <w:rFonts w:ascii="宋体" w:hAnsi="宋体"/>
          <w:color w:val="000000" w:themeColor="text1"/>
          <w:szCs w:val="21"/>
        </w:rPr>
        <w:t>签署了</w:t>
      </w:r>
      <w:r w:rsidRPr="00234AC9">
        <w:rPr>
          <w:rFonts w:ascii="宋体" w:hAnsi="宋体" w:hint="eastAsia"/>
          <w:color w:val="000000" w:themeColor="text1"/>
          <w:szCs w:val="21"/>
        </w:rPr>
        <w:t>《募集</w:t>
      </w:r>
      <w:r w:rsidRPr="00234AC9">
        <w:rPr>
          <w:rFonts w:ascii="宋体" w:hAnsi="宋体"/>
          <w:color w:val="000000" w:themeColor="text1"/>
          <w:szCs w:val="21"/>
        </w:rPr>
        <w:t>资金</w:t>
      </w:r>
      <w:r w:rsidRPr="00234AC9">
        <w:rPr>
          <w:rFonts w:ascii="宋体" w:hAnsi="宋体" w:hint="eastAsia"/>
          <w:color w:val="000000" w:themeColor="text1"/>
          <w:szCs w:val="21"/>
        </w:rPr>
        <w:t>四</w:t>
      </w:r>
      <w:r w:rsidRPr="00234AC9">
        <w:rPr>
          <w:rFonts w:ascii="宋体" w:hAnsi="宋体"/>
          <w:color w:val="000000" w:themeColor="text1"/>
          <w:szCs w:val="21"/>
        </w:rPr>
        <w:t>方监管协议》</w:t>
      </w:r>
      <w:r w:rsidRPr="00234AC9">
        <w:rPr>
          <w:rFonts w:ascii="宋体" w:hAnsi="宋体" w:hint="eastAsia"/>
          <w:color w:val="000000" w:themeColor="text1"/>
          <w:szCs w:val="21"/>
        </w:rPr>
        <w:t>；</w:t>
      </w:r>
      <w:r w:rsidRPr="00234AC9">
        <w:rPr>
          <w:color w:val="000000" w:themeColor="text1"/>
        </w:rPr>
        <w:t>中兴药业</w:t>
      </w:r>
      <w:r w:rsidRPr="00234AC9">
        <w:rPr>
          <w:rFonts w:ascii="宋体" w:hAnsi="宋体" w:hint="eastAsia"/>
          <w:color w:val="000000" w:themeColor="text1"/>
          <w:szCs w:val="21"/>
        </w:rPr>
        <w:t>在中国民生银行开设募集资金专项账户，并于2</w:t>
      </w:r>
      <w:r w:rsidRPr="00234AC9">
        <w:rPr>
          <w:rFonts w:ascii="宋体" w:hAnsi="宋体"/>
          <w:color w:val="000000" w:themeColor="text1"/>
          <w:szCs w:val="21"/>
        </w:rPr>
        <w:t>021</w:t>
      </w:r>
      <w:r w:rsidRPr="00234AC9">
        <w:rPr>
          <w:rFonts w:ascii="宋体" w:hAnsi="宋体" w:hint="eastAsia"/>
          <w:color w:val="000000" w:themeColor="text1"/>
          <w:szCs w:val="21"/>
        </w:rPr>
        <w:t>年7月2</w:t>
      </w:r>
      <w:r w:rsidRPr="00234AC9">
        <w:rPr>
          <w:rFonts w:ascii="宋体" w:hAnsi="宋体"/>
          <w:color w:val="000000" w:themeColor="text1"/>
          <w:szCs w:val="21"/>
        </w:rPr>
        <w:t>0</w:t>
      </w:r>
      <w:r w:rsidRPr="00234AC9">
        <w:rPr>
          <w:rFonts w:ascii="宋体" w:hAnsi="宋体" w:hint="eastAsia"/>
          <w:color w:val="000000" w:themeColor="text1"/>
          <w:szCs w:val="21"/>
        </w:rPr>
        <w:t>日与广生堂、中信证券股份有限公司、中国民生银行股份有限公司福州分行</w:t>
      </w:r>
      <w:r w:rsidRPr="00234AC9">
        <w:rPr>
          <w:rFonts w:ascii="宋体" w:hAnsi="宋体"/>
          <w:color w:val="000000" w:themeColor="text1"/>
          <w:szCs w:val="21"/>
        </w:rPr>
        <w:t>签署了</w:t>
      </w:r>
      <w:r w:rsidRPr="00234AC9">
        <w:rPr>
          <w:rFonts w:ascii="宋体" w:hAnsi="宋体" w:hint="eastAsia"/>
          <w:color w:val="000000" w:themeColor="text1"/>
          <w:szCs w:val="21"/>
        </w:rPr>
        <w:t>《募集</w:t>
      </w:r>
      <w:r w:rsidRPr="00234AC9">
        <w:rPr>
          <w:rFonts w:ascii="宋体" w:hAnsi="宋体"/>
          <w:color w:val="000000" w:themeColor="text1"/>
          <w:szCs w:val="21"/>
        </w:rPr>
        <w:t>资金</w:t>
      </w:r>
      <w:r w:rsidRPr="00234AC9">
        <w:rPr>
          <w:rFonts w:ascii="宋体" w:hAnsi="宋体" w:hint="eastAsia"/>
          <w:color w:val="000000" w:themeColor="text1"/>
          <w:szCs w:val="21"/>
        </w:rPr>
        <w:t>四</w:t>
      </w:r>
      <w:r w:rsidRPr="00234AC9">
        <w:rPr>
          <w:rFonts w:ascii="宋体" w:hAnsi="宋体"/>
          <w:color w:val="000000" w:themeColor="text1"/>
          <w:szCs w:val="21"/>
        </w:rPr>
        <w:t>方监管协议》</w:t>
      </w:r>
      <w:r w:rsidRPr="00234AC9">
        <w:rPr>
          <w:rFonts w:ascii="宋体" w:hAnsi="宋体" w:hint="eastAsia"/>
          <w:color w:val="000000" w:themeColor="text1"/>
          <w:szCs w:val="21"/>
        </w:rPr>
        <w:t>；对募集资金的使用实行严格的审批手续，以保证专款专用；授权保荐代表人可以随时到开设募集资金专户的银行查询募集资金专户资料，并要求保荐代表人每季度对募集资金管理和使用情况至少进行现场调查一次。</w:t>
      </w:r>
    </w:p>
    <w:p w14:paraId="4B388853" w14:textId="77777777" w:rsidR="00C81C0C" w:rsidRPr="00234AC9" w:rsidRDefault="00000000">
      <w:pPr>
        <w:snapToGrid w:val="0"/>
        <w:spacing w:line="360" w:lineRule="auto"/>
        <w:ind w:firstLineChars="200" w:firstLine="420"/>
        <w:rPr>
          <w:rFonts w:ascii="宋体" w:hAnsi="宋体" w:hint="eastAsia"/>
          <w:color w:val="000000" w:themeColor="text1"/>
          <w:szCs w:val="21"/>
        </w:rPr>
      </w:pPr>
      <w:r w:rsidRPr="00234AC9">
        <w:rPr>
          <w:rFonts w:ascii="宋体" w:hAnsi="宋体" w:hint="eastAsia"/>
          <w:color w:val="000000" w:themeColor="text1"/>
          <w:szCs w:val="21"/>
        </w:rPr>
        <w:t>协议相关签署时间如下：</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811"/>
        <w:gridCol w:w="2389"/>
        <w:gridCol w:w="2113"/>
      </w:tblGrid>
      <w:tr w:rsidR="00234AC9" w:rsidRPr="00C758E4" w14:paraId="3AD22B93" w14:textId="77777777">
        <w:trPr>
          <w:trHeight w:val="340"/>
          <w:tblHeader/>
        </w:trPr>
        <w:tc>
          <w:tcPr>
            <w:tcW w:w="2292" w:type="pct"/>
            <w:vAlign w:val="center"/>
          </w:tcPr>
          <w:p w14:paraId="1B14D513" w14:textId="77777777" w:rsidR="00C81C0C" w:rsidRPr="00C758E4" w:rsidRDefault="00000000">
            <w:pPr>
              <w:snapToGrid w:val="0"/>
              <w:jc w:val="center"/>
              <w:rPr>
                <w:rFonts w:ascii="宋体" w:hAnsi="宋体" w:hint="eastAsia"/>
                <w:color w:val="000000" w:themeColor="text1"/>
                <w:kern w:val="0"/>
                <w:sz w:val="18"/>
                <w:szCs w:val="18"/>
              </w:rPr>
            </w:pPr>
            <w:r w:rsidRPr="00C758E4">
              <w:rPr>
                <w:rFonts w:ascii="宋体" w:hAnsi="宋体"/>
                <w:color w:val="000000" w:themeColor="text1"/>
                <w:kern w:val="0"/>
                <w:sz w:val="18"/>
                <w:szCs w:val="18"/>
              </w:rPr>
              <w:t>银行名称</w:t>
            </w:r>
          </w:p>
        </w:tc>
        <w:tc>
          <w:tcPr>
            <w:tcW w:w="1437" w:type="pct"/>
            <w:vAlign w:val="center"/>
          </w:tcPr>
          <w:p w14:paraId="093EFAB8" w14:textId="77777777" w:rsidR="00C81C0C" w:rsidRPr="00C758E4" w:rsidRDefault="00000000">
            <w:pPr>
              <w:snapToGrid w:val="0"/>
              <w:jc w:val="center"/>
              <w:rPr>
                <w:rFonts w:ascii="宋体" w:hAnsi="宋体" w:hint="eastAsia"/>
                <w:color w:val="000000" w:themeColor="text1"/>
                <w:kern w:val="0"/>
                <w:sz w:val="18"/>
                <w:szCs w:val="18"/>
              </w:rPr>
            </w:pPr>
            <w:r w:rsidRPr="00C758E4">
              <w:rPr>
                <w:rFonts w:ascii="宋体" w:hAnsi="宋体"/>
                <w:color w:val="000000" w:themeColor="text1"/>
                <w:kern w:val="0"/>
                <w:sz w:val="18"/>
                <w:szCs w:val="18"/>
              </w:rPr>
              <w:t>账号</w:t>
            </w:r>
          </w:p>
        </w:tc>
        <w:tc>
          <w:tcPr>
            <w:tcW w:w="1271" w:type="pct"/>
            <w:vAlign w:val="center"/>
          </w:tcPr>
          <w:p w14:paraId="50251CE4" w14:textId="77777777" w:rsidR="00C81C0C" w:rsidRPr="00C758E4" w:rsidRDefault="00000000">
            <w:pPr>
              <w:snapToGrid w:val="0"/>
              <w:jc w:val="center"/>
              <w:rPr>
                <w:rFonts w:ascii="宋体" w:hAnsi="宋体" w:hint="eastAsia"/>
                <w:color w:val="000000" w:themeColor="text1"/>
                <w:kern w:val="0"/>
                <w:sz w:val="18"/>
                <w:szCs w:val="18"/>
              </w:rPr>
            </w:pPr>
            <w:r w:rsidRPr="00C758E4">
              <w:rPr>
                <w:rFonts w:ascii="宋体" w:hAnsi="宋体"/>
                <w:color w:val="000000" w:themeColor="text1"/>
                <w:kern w:val="0"/>
                <w:sz w:val="18"/>
                <w:szCs w:val="18"/>
              </w:rPr>
              <w:t>协议签署日期</w:t>
            </w:r>
          </w:p>
        </w:tc>
      </w:tr>
      <w:tr w:rsidR="00234AC9" w:rsidRPr="00C758E4" w14:paraId="67A9A236" w14:textId="77777777">
        <w:trPr>
          <w:trHeight w:val="454"/>
        </w:trPr>
        <w:tc>
          <w:tcPr>
            <w:tcW w:w="2292" w:type="pct"/>
            <w:vAlign w:val="center"/>
          </w:tcPr>
          <w:p w14:paraId="2BDE6A97" w14:textId="77777777" w:rsidR="00C81C0C" w:rsidRPr="00C758E4" w:rsidRDefault="00000000">
            <w:pPr>
              <w:snapToGrid w:val="0"/>
              <w:jc w:val="left"/>
              <w:rPr>
                <w:rFonts w:ascii="宋体" w:hAnsi="宋体" w:hint="eastAsia"/>
                <w:color w:val="000000" w:themeColor="text1"/>
                <w:kern w:val="0"/>
                <w:sz w:val="18"/>
                <w:szCs w:val="18"/>
              </w:rPr>
            </w:pPr>
            <w:r w:rsidRPr="00C758E4">
              <w:rPr>
                <w:rFonts w:ascii="宋体" w:hAnsi="宋体"/>
                <w:color w:val="000000" w:themeColor="text1"/>
                <w:kern w:val="0"/>
                <w:sz w:val="18"/>
                <w:szCs w:val="18"/>
              </w:rPr>
              <w:t>兴业银行股份有限公司福州环球支行</w:t>
            </w:r>
          </w:p>
        </w:tc>
        <w:tc>
          <w:tcPr>
            <w:tcW w:w="1437" w:type="pct"/>
            <w:vAlign w:val="center"/>
          </w:tcPr>
          <w:p w14:paraId="0EABE193" w14:textId="77777777" w:rsidR="00C81C0C" w:rsidRPr="00C758E4" w:rsidRDefault="00000000" w:rsidP="00D92756">
            <w:pPr>
              <w:snapToGrid w:val="0"/>
              <w:ind w:rightChars="50" w:right="105"/>
              <w:jc w:val="left"/>
              <w:rPr>
                <w:rFonts w:ascii="宋体" w:hAnsi="宋体" w:hint="eastAsia"/>
                <w:color w:val="000000" w:themeColor="text1"/>
                <w:kern w:val="0"/>
                <w:sz w:val="18"/>
                <w:szCs w:val="18"/>
              </w:rPr>
            </w:pPr>
            <w:r w:rsidRPr="00C758E4">
              <w:rPr>
                <w:rFonts w:ascii="宋体" w:hAnsi="宋体"/>
                <w:color w:val="000000" w:themeColor="text1"/>
                <w:kern w:val="0"/>
                <w:sz w:val="18"/>
                <w:szCs w:val="18"/>
              </w:rPr>
              <w:t>118110100100257142</w:t>
            </w:r>
          </w:p>
        </w:tc>
        <w:tc>
          <w:tcPr>
            <w:tcW w:w="1271" w:type="pct"/>
            <w:vAlign w:val="center"/>
          </w:tcPr>
          <w:p w14:paraId="72F97926" w14:textId="77777777" w:rsidR="00C81C0C" w:rsidRPr="00C758E4" w:rsidRDefault="00000000">
            <w:pPr>
              <w:snapToGrid w:val="0"/>
              <w:ind w:rightChars="50" w:right="105"/>
              <w:jc w:val="center"/>
              <w:rPr>
                <w:rFonts w:ascii="宋体" w:hAnsi="宋体" w:hint="eastAsia"/>
                <w:color w:val="000000" w:themeColor="text1"/>
                <w:kern w:val="0"/>
                <w:sz w:val="18"/>
                <w:szCs w:val="18"/>
              </w:rPr>
            </w:pPr>
            <w:r w:rsidRPr="00C758E4">
              <w:rPr>
                <w:rFonts w:ascii="宋体" w:hAnsi="宋体"/>
                <w:color w:val="000000" w:themeColor="text1"/>
                <w:kern w:val="0"/>
                <w:sz w:val="18"/>
                <w:szCs w:val="18"/>
              </w:rPr>
              <w:t>2021年7月5日</w:t>
            </w:r>
          </w:p>
        </w:tc>
      </w:tr>
      <w:tr w:rsidR="00234AC9" w:rsidRPr="00C758E4" w14:paraId="7063ADA8" w14:textId="77777777">
        <w:trPr>
          <w:trHeight w:val="454"/>
        </w:trPr>
        <w:tc>
          <w:tcPr>
            <w:tcW w:w="2292" w:type="pct"/>
            <w:vAlign w:val="center"/>
          </w:tcPr>
          <w:p w14:paraId="71C0D1BF" w14:textId="77777777" w:rsidR="00C81C0C" w:rsidRPr="00C758E4" w:rsidRDefault="00000000">
            <w:pPr>
              <w:snapToGrid w:val="0"/>
              <w:jc w:val="left"/>
              <w:rPr>
                <w:rFonts w:ascii="宋体" w:hAnsi="宋体" w:hint="eastAsia"/>
                <w:color w:val="000000" w:themeColor="text1"/>
                <w:kern w:val="0"/>
                <w:sz w:val="18"/>
                <w:szCs w:val="18"/>
              </w:rPr>
            </w:pPr>
            <w:r w:rsidRPr="00C758E4">
              <w:rPr>
                <w:rFonts w:ascii="宋体" w:hAnsi="宋体"/>
                <w:color w:val="000000" w:themeColor="text1"/>
                <w:kern w:val="0"/>
                <w:sz w:val="18"/>
                <w:szCs w:val="18"/>
              </w:rPr>
              <w:t>招商银行股份有限公司福州分行</w:t>
            </w:r>
          </w:p>
        </w:tc>
        <w:tc>
          <w:tcPr>
            <w:tcW w:w="1437" w:type="pct"/>
            <w:vAlign w:val="center"/>
          </w:tcPr>
          <w:p w14:paraId="0D3B8E51" w14:textId="77777777" w:rsidR="00C81C0C" w:rsidRPr="00C758E4" w:rsidRDefault="00000000" w:rsidP="00D92756">
            <w:pPr>
              <w:snapToGrid w:val="0"/>
              <w:ind w:rightChars="50" w:right="105"/>
              <w:jc w:val="left"/>
              <w:rPr>
                <w:rFonts w:ascii="宋体" w:hAnsi="宋体" w:hint="eastAsia"/>
                <w:color w:val="000000" w:themeColor="text1"/>
                <w:kern w:val="0"/>
                <w:sz w:val="18"/>
                <w:szCs w:val="18"/>
              </w:rPr>
            </w:pPr>
            <w:r w:rsidRPr="00C758E4">
              <w:rPr>
                <w:rFonts w:ascii="宋体" w:hAnsi="宋体"/>
                <w:color w:val="000000" w:themeColor="text1"/>
                <w:kern w:val="0"/>
                <w:sz w:val="18"/>
                <w:szCs w:val="18"/>
              </w:rPr>
              <w:t>591907429610301</w:t>
            </w:r>
          </w:p>
        </w:tc>
        <w:tc>
          <w:tcPr>
            <w:tcW w:w="1271" w:type="pct"/>
            <w:vAlign w:val="center"/>
          </w:tcPr>
          <w:p w14:paraId="40CF6BB4" w14:textId="77777777" w:rsidR="00C81C0C" w:rsidRPr="00C758E4" w:rsidRDefault="00000000">
            <w:pPr>
              <w:snapToGrid w:val="0"/>
              <w:ind w:rightChars="50" w:right="105"/>
              <w:jc w:val="center"/>
              <w:rPr>
                <w:rFonts w:ascii="宋体" w:hAnsi="宋体" w:hint="eastAsia"/>
                <w:color w:val="000000" w:themeColor="text1"/>
                <w:kern w:val="0"/>
                <w:sz w:val="18"/>
                <w:szCs w:val="18"/>
              </w:rPr>
            </w:pPr>
            <w:r w:rsidRPr="00C758E4">
              <w:rPr>
                <w:rFonts w:ascii="宋体" w:hAnsi="宋体"/>
                <w:color w:val="000000" w:themeColor="text1"/>
                <w:kern w:val="0"/>
                <w:sz w:val="18"/>
                <w:szCs w:val="18"/>
              </w:rPr>
              <w:t>2021年7月20日</w:t>
            </w:r>
          </w:p>
        </w:tc>
      </w:tr>
      <w:tr w:rsidR="00234AC9" w:rsidRPr="00C758E4" w14:paraId="4541A63F" w14:textId="77777777">
        <w:trPr>
          <w:trHeight w:val="454"/>
        </w:trPr>
        <w:tc>
          <w:tcPr>
            <w:tcW w:w="2292" w:type="pct"/>
            <w:vAlign w:val="center"/>
          </w:tcPr>
          <w:p w14:paraId="3B09FAFF" w14:textId="77777777" w:rsidR="00C81C0C" w:rsidRPr="00C758E4" w:rsidRDefault="00000000">
            <w:pPr>
              <w:snapToGrid w:val="0"/>
              <w:jc w:val="left"/>
              <w:rPr>
                <w:rFonts w:ascii="宋体" w:hAnsi="宋体" w:hint="eastAsia"/>
                <w:color w:val="000000" w:themeColor="text1"/>
                <w:kern w:val="0"/>
                <w:sz w:val="18"/>
                <w:szCs w:val="18"/>
              </w:rPr>
            </w:pPr>
            <w:r w:rsidRPr="00C758E4">
              <w:rPr>
                <w:rFonts w:ascii="宋体" w:hAnsi="宋体"/>
                <w:color w:val="000000" w:themeColor="text1"/>
                <w:kern w:val="0"/>
                <w:sz w:val="18"/>
                <w:szCs w:val="18"/>
              </w:rPr>
              <w:t>中国民生银行股份有限公司福州分行</w:t>
            </w:r>
          </w:p>
        </w:tc>
        <w:tc>
          <w:tcPr>
            <w:tcW w:w="1437" w:type="pct"/>
            <w:vAlign w:val="center"/>
          </w:tcPr>
          <w:p w14:paraId="08EED0F2" w14:textId="77777777" w:rsidR="00C81C0C" w:rsidRPr="00C758E4" w:rsidRDefault="00000000" w:rsidP="00D92756">
            <w:pPr>
              <w:snapToGrid w:val="0"/>
              <w:ind w:rightChars="50" w:right="105"/>
              <w:jc w:val="left"/>
              <w:rPr>
                <w:rFonts w:ascii="宋体" w:hAnsi="宋体" w:hint="eastAsia"/>
                <w:color w:val="000000" w:themeColor="text1"/>
                <w:kern w:val="0"/>
                <w:sz w:val="18"/>
                <w:szCs w:val="18"/>
              </w:rPr>
            </w:pPr>
            <w:r w:rsidRPr="00C758E4">
              <w:rPr>
                <w:rFonts w:ascii="宋体" w:hAnsi="宋体"/>
                <w:color w:val="000000" w:themeColor="text1"/>
                <w:kern w:val="0"/>
                <w:sz w:val="18"/>
                <w:szCs w:val="18"/>
              </w:rPr>
              <w:t>632533893</w:t>
            </w:r>
          </w:p>
        </w:tc>
        <w:tc>
          <w:tcPr>
            <w:tcW w:w="1271" w:type="pct"/>
            <w:vAlign w:val="center"/>
          </w:tcPr>
          <w:p w14:paraId="4CD29241" w14:textId="77777777" w:rsidR="00C81C0C" w:rsidRPr="00C758E4" w:rsidRDefault="00000000">
            <w:pPr>
              <w:snapToGrid w:val="0"/>
              <w:ind w:rightChars="50" w:right="105"/>
              <w:jc w:val="center"/>
              <w:rPr>
                <w:rFonts w:ascii="宋体" w:hAnsi="宋体" w:hint="eastAsia"/>
                <w:color w:val="000000" w:themeColor="text1"/>
                <w:kern w:val="0"/>
                <w:sz w:val="18"/>
                <w:szCs w:val="18"/>
              </w:rPr>
            </w:pPr>
            <w:r w:rsidRPr="00C758E4">
              <w:rPr>
                <w:rFonts w:ascii="宋体" w:hAnsi="宋体"/>
                <w:color w:val="000000" w:themeColor="text1"/>
                <w:kern w:val="0"/>
                <w:sz w:val="18"/>
                <w:szCs w:val="18"/>
              </w:rPr>
              <w:t>2021年7月20日</w:t>
            </w:r>
          </w:p>
        </w:tc>
      </w:tr>
    </w:tbl>
    <w:p w14:paraId="1D8686AB" w14:textId="77777777" w:rsidR="00C81C0C" w:rsidRPr="00234AC9" w:rsidRDefault="00C81C0C">
      <w:pPr>
        <w:snapToGrid w:val="0"/>
        <w:spacing w:line="360" w:lineRule="auto"/>
        <w:ind w:firstLineChars="200" w:firstLine="420"/>
        <w:rPr>
          <w:rFonts w:ascii="宋体" w:hAnsi="宋体" w:hint="eastAsia"/>
          <w:color w:val="000000" w:themeColor="text1"/>
          <w:szCs w:val="21"/>
        </w:rPr>
      </w:pPr>
    </w:p>
    <w:p w14:paraId="174E1E16" w14:textId="77777777" w:rsidR="00C81C0C" w:rsidRPr="00234AC9" w:rsidRDefault="00000000">
      <w:pPr>
        <w:snapToGrid w:val="0"/>
        <w:spacing w:line="360" w:lineRule="auto"/>
        <w:ind w:firstLineChars="200" w:firstLine="420"/>
        <w:rPr>
          <w:rFonts w:ascii="宋体" w:hAnsi="宋体" w:hint="eastAsia"/>
          <w:color w:val="000000" w:themeColor="text1"/>
          <w:szCs w:val="21"/>
        </w:rPr>
      </w:pPr>
      <w:r w:rsidRPr="00234AC9">
        <w:rPr>
          <w:rFonts w:ascii="宋体" w:hAnsi="宋体" w:hint="eastAsia"/>
          <w:color w:val="000000" w:themeColor="text1"/>
          <w:szCs w:val="21"/>
        </w:rPr>
        <w:t>根据本公司（包括金塘药业、中兴药业）与中信证券股份有限公司签订的《保荐协议》、前述协议及管理制度，公司管理制度</w:t>
      </w:r>
      <w:proofErr w:type="gramStart"/>
      <w:r w:rsidRPr="00234AC9">
        <w:rPr>
          <w:rFonts w:ascii="宋体" w:hAnsi="宋体" w:hint="eastAsia"/>
          <w:color w:val="000000" w:themeColor="text1"/>
          <w:szCs w:val="21"/>
        </w:rPr>
        <w:t>修订前单次</w:t>
      </w:r>
      <w:proofErr w:type="gramEnd"/>
      <w:r w:rsidRPr="00234AC9">
        <w:rPr>
          <w:rFonts w:ascii="宋体" w:hAnsi="宋体" w:hint="eastAsia"/>
          <w:color w:val="000000" w:themeColor="text1"/>
          <w:szCs w:val="21"/>
        </w:rPr>
        <w:t>或十二个月内累计从募集资金存款户中支取的金额达到人民币 1,000万元或募集资金净额的 10%的（</w:t>
      </w:r>
      <w:proofErr w:type="gramStart"/>
      <w:r w:rsidRPr="00234AC9">
        <w:rPr>
          <w:rFonts w:ascii="宋体" w:hAnsi="宋体" w:hint="eastAsia"/>
          <w:color w:val="000000" w:themeColor="text1"/>
          <w:szCs w:val="21"/>
        </w:rPr>
        <w:t>以孰低</w:t>
      </w:r>
      <w:proofErr w:type="gramEnd"/>
      <w:r w:rsidRPr="00234AC9">
        <w:rPr>
          <w:rFonts w:ascii="宋体" w:hAnsi="宋体" w:hint="eastAsia"/>
          <w:color w:val="000000" w:themeColor="text1"/>
          <w:szCs w:val="21"/>
        </w:rPr>
        <w:t>为准），管理制度修订后单次或十二个月内累计从募集资金存款户中支取的金额达到人民币</w:t>
      </w:r>
      <w:r w:rsidRPr="00234AC9">
        <w:rPr>
          <w:rFonts w:ascii="宋体" w:hAnsi="宋体"/>
          <w:color w:val="000000" w:themeColor="text1"/>
          <w:szCs w:val="21"/>
        </w:rPr>
        <w:t>5,000</w:t>
      </w:r>
      <w:r w:rsidRPr="00234AC9">
        <w:rPr>
          <w:rFonts w:ascii="宋体" w:hAnsi="宋体" w:hint="eastAsia"/>
          <w:color w:val="000000" w:themeColor="text1"/>
          <w:szCs w:val="21"/>
        </w:rPr>
        <w:t>万元或募集资金净额的</w:t>
      </w:r>
      <w:r w:rsidRPr="00234AC9">
        <w:rPr>
          <w:rFonts w:ascii="宋体" w:hAnsi="宋体"/>
          <w:color w:val="000000" w:themeColor="text1"/>
          <w:szCs w:val="21"/>
        </w:rPr>
        <w:t>20%</w:t>
      </w:r>
      <w:r w:rsidRPr="00234AC9">
        <w:rPr>
          <w:rFonts w:ascii="宋体" w:hAnsi="宋体" w:hint="eastAsia"/>
          <w:color w:val="000000" w:themeColor="text1"/>
          <w:szCs w:val="21"/>
        </w:rPr>
        <w:t>的（</w:t>
      </w:r>
      <w:proofErr w:type="gramStart"/>
      <w:r w:rsidRPr="00234AC9">
        <w:rPr>
          <w:rFonts w:ascii="宋体" w:hAnsi="宋体" w:hint="eastAsia"/>
          <w:color w:val="000000" w:themeColor="text1"/>
          <w:szCs w:val="21"/>
        </w:rPr>
        <w:t>以孰低</w:t>
      </w:r>
      <w:proofErr w:type="gramEnd"/>
      <w:r w:rsidRPr="00234AC9">
        <w:rPr>
          <w:rFonts w:ascii="宋体" w:hAnsi="宋体" w:hint="eastAsia"/>
          <w:color w:val="000000" w:themeColor="text1"/>
          <w:szCs w:val="21"/>
        </w:rPr>
        <w:t>为准），公司应当及时通知中信证券股份有限公司。监管协议与深圳证券交易所监管协议范本不存在重大差异，监管协议得到了切实履行。</w:t>
      </w:r>
    </w:p>
    <w:p w14:paraId="2AE4F26F" w14:textId="79A3F6D5" w:rsidR="00C81C0C" w:rsidRPr="00234AC9" w:rsidRDefault="00000000">
      <w:pPr>
        <w:snapToGrid w:val="0"/>
        <w:spacing w:line="360" w:lineRule="auto"/>
        <w:ind w:firstLineChars="200" w:firstLine="420"/>
        <w:rPr>
          <w:rFonts w:ascii="宋体" w:hAnsi="宋体" w:hint="eastAsia"/>
          <w:color w:val="000000" w:themeColor="text1"/>
          <w:szCs w:val="21"/>
        </w:rPr>
      </w:pPr>
      <w:r w:rsidRPr="00234AC9">
        <w:rPr>
          <w:rFonts w:ascii="宋体" w:hAnsi="宋体" w:hint="eastAsia"/>
          <w:color w:val="000000" w:themeColor="text1"/>
          <w:szCs w:val="21"/>
        </w:rPr>
        <w:t>2</w:t>
      </w:r>
      <w:r w:rsidRPr="00234AC9">
        <w:rPr>
          <w:rFonts w:ascii="宋体" w:hAnsi="宋体"/>
          <w:color w:val="000000" w:themeColor="text1"/>
          <w:szCs w:val="21"/>
        </w:rPr>
        <w:t>023</w:t>
      </w:r>
      <w:r w:rsidRPr="00234AC9">
        <w:rPr>
          <w:rFonts w:ascii="宋体" w:hAnsi="宋体" w:hint="eastAsia"/>
          <w:color w:val="000000" w:themeColor="text1"/>
          <w:szCs w:val="21"/>
        </w:rPr>
        <w:t>年3月1日，</w:t>
      </w:r>
      <w:r w:rsidRPr="00234AC9">
        <w:rPr>
          <w:rFonts w:ascii="宋体" w:hAnsi="宋体"/>
          <w:color w:val="000000" w:themeColor="text1"/>
          <w:szCs w:val="21"/>
        </w:rPr>
        <w:t>鉴于公司保荐机构已发生更换，公司及子公司金塘药业和中兴药业与兴业证券以及募集资金存储银行兴业银行股份有限公司福州环球支行、招商银行股份有限公司福州分行及中国民生银行股份有限公司福州分行分别重新签署了《募集资金三方监管协议》、《募集资金四方监管协议》</w:t>
      </w:r>
      <w:r w:rsidRPr="00234AC9">
        <w:rPr>
          <w:rFonts w:ascii="宋体" w:hAnsi="宋体" w:hint="eastAsia"/>
          <w:color w:val="000000" w:themeColor="text1"/>
          <w:szCs w:val="21"/>
        </w:rPr>
        <w:t>，相关签署时间如下</w:t>
      </w:r>
      <w:r w:rsidRPr="00234AC9">
        <w:rPr>
          <w:rFonts w:ascii="宋体" w:hAnsi="宋体"/>
          <w:color w:val="000000" w:themeColor="text1"/>
          <w:szCs w:val="21"/>
        </w:rPr>
        <w:t>：</w:t>
      </w:r>
    </w:p>
    <w:tbl>
      <w:tblPr>
        <w:tblW w:w="5000"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683"/>
        <w:gridCol w:w="2376"/>
        <w:gridCol w:w="2254"/>
      </w:tblGrid>
      <w:tr w:rsidR="00234AC9" w:rsidRPr="00C758E4" w14:paraId="63387880" w14:textId="77777777">
        <w:trPr>
          <w:trHeight w:val="340"/>
          <w:tblHeader/>
        </w:trPr>
        <w:tc>
          <w:tcPr>
            <w:tcW w:w="2215" w:type="pct"/>
            <w:vAlign w:val="center"/>
          </w:tcPr>
          <w:p w14:paraId="2C3547E5" w14:textId="77777777" w:rsidR="00C81C0C" w:rsidRPr="00C758E4" w:rsidRDefault="00000000">
            <w:pPr>
              <w:snapToGrid w:val="0"/>
              <w:jc w:val="center"/>
              <w:rPr>
                <w:rFonts w:ascii="宋体" w:hAnsi="宋体" w:hint="eastAsia"/>
                <w:color w:val="000000" w:themeColor="text1"/>
                <w:kern w:val="0"/>
                <w:sz w:val="18"/>
                <w:szCs w:val="18"/>
              </w:rPr>
            </w:pPr>
            <w:r w:rsidRPr="00C758E4">
              <w:rPr>
                <w:rFonts w:ascii="宋体" w:hAnsi="宋体"/>
                <w:color w:val="000000" w:themeColor="text1"/>
                <w:kern w:val="0"/>
                <w:sz w:val="18"/>
                <w:szCs w:val="18"/>
              </w:rPr>
              <w:t>银行名称</w:t>
            </w:r>
          </w:p>
        </w:tc>
        <w:tc>
          <w:tcPr>
            <w:tcW w:w="1429" w:type="pct"/>
            <w:vAlign w:val="center"/>
          </w:tcPr>
          <w:p w14:paraId="1313DF2E" w14:textId="77777777" w:rsidR="00C81C0C" w:rsidRPr="00C758E4" w:rsidRDefault="00000000">
            <w:pPr>
              <w:snapToGrid w:val="0"/>
              <w:jc w:val="center"/>
              <w:rPr>
                <w:rFonts w:ascii="宋体" w:hAnsi="宋体" w:hint="eastAsia"/>
                <w:color w:val="000000" w:themeColor="text1"/>
                <w:kern w:val="0"/>
                <w:sz w:val="18"/>
                <w:szCs w:val="18"/>
              </w:rPr>
            </w:pPr>
            <w:r w:rsidRPr="00C758E4">
              <w:rPr>
                <w:rFonts w:ascii="宋体" w:hAnsi="宋体"/>
                <w:color w:val="000000" w:themeColor="text1"/>
                <w:kern w:val="0"/>
                <w:sz w:val="18"/>
                <w:szCs w:val="18"/>
              </w:rPr>
              <w:t>账号</w:t>
            </w:r>
          </w:p>
        </w:tc>
        <w:tc>
          <w:tcPr>
            <w:tcW w:w="1356" w:type="pct"/>
            <w:vAlign w:val="center"/>
          </w:tcPr>
          <w:p w14:paraId="7C65AA05" w14:textId="77777777" w:rsidR="00C81C0C" w:rsidRPr="00C758E4" w:rsidRDefault="00000000">
            <w:pPr>
              <w:snapToGrid w:val="0"/>
              <w:jc w:val="center"/>
              <w:rPr>
                <w:rFonts w:ascii="宋体" w:hAnsi="宋体" w:hint="eastAsia"/>
                <w:color w:val="000000" w:themeColor="text1"/>
                <w:kern w:val="0"/>
                <w:sz w:val="18"/>
                <w:szCs w:val="18"/>
              </w:rPr>
            </w:pPr>
            <w:r w:rsidRPr="00C758E4">
              <w:rPr>
                <w:rFonts w:ascii="宋体" w:hAnsi="宋体"/>
                <w:color w:val="000000" w:themeColor="text1"/>
                <w:kern w:val="0"/>
                <w:sz w:val="18"/>
                <w:szCs w:val="18"/>
              </w:rPr>
              <w:t>协议签署日期</w:t>
            </w:r>
          </w:p>
        </w:tc>
      </w:tr>
      <w:tr w:rsidR="00234AC9" w:rsidRPr="00C758E4" w14:paraId="4F1B9FEB" w14:textId="77777777">
        <w:trPr>
          <w:trHeight w:val="454"/>
        </w:trPr>
        <w:tc>
          <w:tcPr>
            <w:tcW w:w="2215" w:type="pct"/>
            <w:vAlign w:val="center"/>
          </w:tcPr>
          <w:p w14:paraId="0873BBEB" w14:textId="77777777" w:rsidR="00C81C0C" w:rsidRPr="00C758E4" w:rsidRDefault="00000000">
            <w:pPr>
              <w:snapToGrid w:val="0"/>
              <w:jc w:val="left"/>
              <w:rPr>
                <w:rFonts w:ascii="宋体" w:hAnsi="宋体" w:hint="eastAsia"/>
                <w:color w:val="000000" w:themeColor="text1"/>
                <w:kern w:val="0"/>
                <w:sz w:val="18"/>
                <w:szCs w:val="18"/>
              </w:rPr>
            </w:pPr>
            <w:r w:rsidRPr="00C758E4">
              <w:rPr>
                <w:rFonts w:ascii="宋体" w:hAnsi="宋体"/>
                <w:color w:val="000000" w:themeColor="text1"/>
                <w:kern w:val="0"/>
                <w:sz w:val="18"/>
                <w:szCs w:val="18"/>
              </w:rPr>
              <w:t>兴业银行股份有限公司福州环球支行</w:t>
            </w:r>
          </w:p>
        </w:tc>
        <w:tc>
          <w:tcPr>
            <w:tcW w:w="1429" w:type="pct"/>
            <w:vAlign w:val="center"/>
          </w:tcPr>
          <w:p w14:paraId="5AFCCBAF" w14:textId="77777777" w:rsidR="00C81C0C" w:rsidRPr="00C758E4" w:rsidRDefault="00000000" w:rsidP="00D92756">
            <w:pPr>
              <w:snapToGrid w:val="0"/>
              <w:ind w:rightChars="50" w:right="105"/>
              <w:jc w:val="left"/>
              <w:rPr>
                <w:rFonts w:ascii="宋体" w:hAnsi="宋体" w:hint="eastAsia"/>
                <w:color w:val="000000" w:themeColor="text1"/>
                <w:kern w:val="0"/>
                <w:sz w:val="18"/>
                <w:szCs w:val="18"/>
              </w:rPr>
            </w:pPr>
            <w:r w:rsidRPr="00C758E4">
              <w:rPr>
                <w:rFonts w:ascii="宋体" w:hAnsi="宋体"/>
                <w:color w:val="000000" w:themeColor="text1"/>
                <w:kern w:val="0"/>
                <w:sz w:val="18"/>
                <w:szCs w:val="18"/>
              </w:rPr>
              <w:t>118110100100257142</w:t>
            </w:r>
          </w:p>
        </w:tc>
        <w:tc>
          <w:tcPr>
            <w:tcW w:w="1356" w:type="pct"/>
            <w:vAlign w:val="center"/>
          </w:tcPr>
          <w:p w14:paraId="2F1EE3F3" w14:textId="77777777" w:rsidR="00C81C0C" w:rsidRPr="00C758E4" w:rsidRDefault="00000000">
            <w:pPr>
              <w:snapToGrid w:val="0"/>
              <w:ind w:rightChars="50" w:right="105"/>
              <w:jc w:val="center"/>
              <w:rPr>
                <w:rFonts w:ascii="宋体" w:hAnsi="宋体" w:hint="eastAsia"/>
                <w:color w:val="000000" w:themeColor="text1"/>
                <w:kern w:val="0"/>
                <w:sz w:val="18"/>
                <w:szCs w:val="18"/>
              </w:rPr>
            </w:pPr>
            <w:r w:rsidRPr="00C758E4">
              <w:rPr>
                <w:rFonts w:ascii="宋体" w:hAnsi="宋体"/>
                <w:color w:val="000000" w:themeColor="text1"/>
                <w:kern w:val="0"/>
                <w:sz w:val="18"/>
                <w:szCs w:val="18"/>
              </w:rPr>
              <w:t>2023年3月1日</w:t>
            </w:r>
          </w:p>
        </w:tc>
      </w:tr>
      <w:tr w:rsidR="00234AC9" w:rsidRPr="00C758E4" w14:paraId="3AF580FD" w14:textId="77777777">
        <w:trPr>
          <w:trHeight w:val="454"/>
        </w:trPr>
        <w:tc>
          <w:tcPr>
            <w:tcW w:w="2215" w:type="pct"/>
            <w:vAlign w:val="center"/>
          </w:tcPr>
          <w:p w14:paraId="71D2CE83" w14:textId="77777777" w:rsidR="00C81C0C" w:rsidRPr="00C758E4" w:rsidRDefault="00000000">
            <w:pPr>
              <w:snapToGrid w:val="0"/>
              <w:jc w:val="left"/>
              <w:rPr>
                <w:rFonts w:ascii="宋体" w:hAnsi="宋体" w:hint="eastAsia"/>
                <w:color w:val="000000" w:themeColor="text1"/>
                <w:kern w:val="0"/>
                <w:sz w:val="18"/>
                <w:szCs w:val="18"/>
              </w:rPr>
            </w:pPr>
            <w:r w:rsidRPr="00C758E4">
              <w:rPr>
                <w:rFonts w:ascii="宋体" w:hAnsi="宋体"/>
                <w:color w:val="000000" w:themeColor="text1"/>
                <w:kern w:val="0"/>
                <w:sz w:val="18"/>
                <w:szCs w:val="18"/>
              </w:rPr>
              <w:t>招商银行股份有限公司福州分行</w:t>
            </w:r>
          </w:p>
        </w:tc>
        <w:tc>
          <w:tcPr>
            <w:tcW w:w="1429" w:type="pct"/>
            <w:vAlign w:val="center"/>
          </w:tcPr>
          <w:p w14:paraId="3F49771E" w14:textId="77777777" w:rsidR="00C81C0C" w:rsidRPr="00C758E4" w:rsidRDefault="00000000" w:rsidP="00D92756">
            <w:pPr>
              <w:snapToGrid w:val="0"/>
              <w:ind w:rightChars="50" w:right="105"/>
              <w:jc w:val="left"/>
              <w:rPr>
                <w:rFonts w:ascii="宋体" w:hAnsi="宋体" w:hint="eastAsia"/>
                <w:color w:val="000000" w:themeColor="text1"/>
                <w:kern w:val="0"/>
                <w:sz w:val="18"/>
                <w:szCs w:val="18"/>
              </w:rPr>
            </w:pPr>
            <w:r w:rsidRPr="00C758E4">
              <w:rPr>
                <w:rFonts w:ascii="宋体" w:hAnsi="宋体"/>
                <w:color w:val="000000" w:themeColor="text1"/>
                <w:kern w:val="0"/>
                <w:sz w:val="18"/>
                <w:szCs w:val="18"/>
              </w:rPr>
              <w:t>591907429610301</w:t>
            </w:r>
          </w:p>
        </w:tc>
        <w:tc>
          <w:tcPr>
            <w:tcW w:w="1356" w:type="pct"/>
            <w:vAlign w:val="center"/>
          </w:tcPr>
          <w:p w14:paraId="006B99BC" w14:textId="77777777" w:rsidR="00C81C0C" w:rsidRPr="00C758E4" w:rsidRDefault="00000000">
            <w:pPr>
              <w:snapToGrid w:val="0"/>
              <w:ind w:rightChars="50" w:right="105"/>
              <w:jc w:val="center"/>
              <w:rPr>
                <w:rFonts w:ascii="宋体" w:hAnsi="宋体" w:hint="eastAsia"/>
                <w:color w:val="000000" w:themeColor="text1"/>
                <w:kern w:val="0"/>
                <w:sz w:val="18"/>
                <w:szCs w:val="18"/>
              </w:rPr>
            </w:pPr>
            <w:r w:rsidRPr="00C758E4">
              <w:rPr>
                <w:rFonts w:ascii="宋体" w:hAnsi="宋体"/>
                <w:color w:val="000000" w:themeColor="text1"/>
                <w:kern w:val="0"/>
                <w:sz w:val="18"/>
                <w:szCs w:val="18"/>
              </w:rPr>
              <w:t>2023年3月1日</w:t>
            </w:r>
          </w:p>
        </w:tc>
      </w:tr>
      <w:tr w:rsidR="00234AC9" w:rsidRPr="00C758E4" w14:paraId="30F598A3" w14:textId="77777777">
        <w:trPr>
          <w:trHeight w:val="454"/>
        </w:trPr>
        <w:tc>
          <w:tcPr>
            <w:tcW w:w="2215" w:type="pct"/>
            <w:vAlign w:val="center"/>
          </w:tcPr>
          <w:p w14:paraId="77622C85" w14:textId="77777777" w:rsidR="00C81C0C" w:rsidRPr="00C758E4" w:rsidRDefault="00000000">
            <w:pPr>
              <w:snapToGrid w:val="0"/>
              <w:jc w:val="left"/>
              <w:rPr>
                <w:rFonts w:ascii="宋体" w:hAnsi="宋体" w:hint="eastAsia"/>
                <w:color w:val="000000" w:themeColor="text1"/>
                <w:kern w:val="0"/>
                <w:sz w:val="18"/>
                <w:szCs w:val="18"/>
              </w:rPr>
            </w:pPr>
            <w:r w:rsidRPr="00C758E4">
              <w:rPr>
                <w:rFonts w:ascii="宋体" w:hAnsi="宋体"/>
                <w:color w:val="000000" w:themeColor="text1"/>
                <w:kern w:val="0"/>
                <w:sz w:val="18"/>
                <w:szCs w:val="18"/>
              </w:rPr>
              <w:t>中国民生银行股份有限公司福州分行</w:t>
            </w:r>
          </w:p>
        </w:tc>
        <w:tc>
          <w:tcPr>
            <w:tcW w:w="1429" w:type="pct"/>
            <w:vAlign w:val="center"/>
          </w:tcPr>
          <w:p w14:paraId="0C52E1FB" w14:textId="77777777" w:rsidR="00C81C0C" w:rsidRPr="00C758E4" w:rsidRDefault="00000000" w:rsidP="00D92756">
            <w:pPr>
              <w:snapToGrid w:val="0"/>
              <w:ind w:rightChars="50" w:right="105"/>
              <w:jc w:val="left"/>
              <w:rPr>
                <w:rFonts w:ascii="宋体" w:hAnsi="宋体" w:hint="eastAsia"/>
                <w:color w:val="000000" w:themeColor="text1"/>
                <w:kern w:val="0"/>
                <w:sz w:val="18"/>
                <w:szCs w:val="18"/>
              </w:rPr>
            </w:pPr>
            <w:r w:rsidRPr="00C758E4">
              <w:rPr>
                <w:rFonts w:ascii="宋体" w:hAnsi="宋体"/>
                <w:color w:val="000000" w:themeColor="text1"/>
                <w:kern w:val="0"/>
                <w:sz w:val="18"/>
                <w:szCs w:val="18"/>
              </w:rPr>
              <w:t>632533893</w:t>
            </w:r>
          </w:p>
        </w:tc>
        <w:tc>
          <w:tcPr>
            <w:tcW w:w="1356" w:type="pct"/>
            <w:vAlign w:val="center"/>
          </w:tcPr>
          <w:p w14:paraId="62B410CE" w14:textId="77777777" w:rsidR="00C81C0C" w:rsidRPr="00C758E4" w:rsidRDefault="00000000">
            <w:pPr>
              <w:snapToGrid w:val="0"/>
              <w:ind w:rightChars="50" w:right="105"/>
              <w:jc w:val="center"/>
              <w:rPr>
                <w:rFonts w:ascii="宋体" w:hAnsi="宋体" w:hint="eastAsia"/>
                <w:color w:val="000000" w:themeColor="text1"/>
                <w:kern w:val="0"/>
                <w:sz w:val="18"/>
                <w:szCs w:val="18"/>
              </w:rPr>
            </w:pPr>
            <w:r w:rsidRPr="00C758E4">
              <w:rPr>
                <w:rFonts w:ascii="宋体" w:hAnsi="宋体"/>
                <w:color w:val="000000" w:themeColor="text1"/>
                <w:kern w:val="0"/>
                <w:sz w:val="18"/>
                <w:szCs w:val="18"/>
              </w:rPr>
              <w:t>2023年3月1日</w:t>
            </w:r>
          </w:p>
        </w:tc>
      </w:tr>
    </w:tbl>
    <w:p w14:paraId="0EF05B2D" w14:textId="3E124E78" w:rsidR="00C81C0C" w:rsidRPr="00627F05" w:rsidRDefault="00000000">
      <w:pPr>
        <w:snapToGrid w:val="0"/>
        <w:spacing w:line="360" w:lineRule="auto"/>
        <w:ind w:firstLineChars="200" w:firstLine="420"/>
        <w:rPr>
          <w:rFonts w:ascii="宋体" w:hAnsi="宋体" w:hint="eastAsia"/>
          <w:color w:val="000000" w:themeColor="text1"/>
          <w:szCs w:val="21"/>
        </w:rPr>
      </w:pPr>
      <w:r w:rsidRPr="00627F05">
        <w:rPr>
          <w:rFonts w:ascii="宋体" w:hAnsi="宋体" w:hint="eastAsia"/>
          <w:color w:val="000000" w:themeColor="text1"/>
          <w:szCs w:val="21"/>
        </w:rPr>
        <w:t>2023年12月29日，公司召开第四届董事会第二十七次会议和第四届监事会第二十四次会议，审议通过了《关于终止部分募集资金投资项目并将剩余募集资金永久补充流动资金的议案》，</w:t>
      </w:r>
      <w:r w:rsidR="00D609F2" w:rsidRPr="00097418">
        <w:rPr>
          <w:rFonts w:hint="eastAsia"/>
        </w:rPr>
        <w:t>剩余的募集资金</w:t>
      </w:r>
      <w:r w:rsidR="00D609F2" w:rsidRPr="00097418">
        <w:rPr>
          <w:rFonts w:hint="eastAsia"/>
        </w:rPr>
        <w:t>8,543.49</w:t>
      </w:r>
      <w:r w:rsidR="00D609F2" w:rsidRPr="00097418">
        <w:rPr>
          <w:rFonts w:hint="eastAsia"/>
        </w:rPr>
        <w:t>万元（最终金额以资金转出当日银行结息金额为准）永久补充流动资金</w:t>
      </w:r>
      <w:r w:rsidRPr="00627F05">
        <w:rPr>
          <w:rFonts w:ascii="宋体" w:hAnsi="宋体" w:hint="eastAsia"/>
          <w:color w:val="000000" w:themeColor="text1"/>
          <w:szCs w:val="21"/>
        </w:rPr>
        <w:t>。资金划转完成后，相关募集资金专户已于2024年5月进行销户处理</w:t>
      </w:r>
      <w:r w:rsidR="00070971">
        <w:rPr>
          <w:rFonts w:ascii="宋体" w:hAnsi="宋体" w:hint="eastAsia"/>
          <w:color w:val="000000" w:themeColor="text1"/>
          <w:szCs w:val="21"/>
        </w:rPr>
        <w:t>。</w:t>
      </w:r>
      <w:r w:rsidRPr="00627F05">
        <w:rPr>
          <w:rFonts w:ascii="宋体" w:hAnsi="宋体" w:hint="eastAsia"/>
          <w:color w:val="000000" w:themeColor="text1"/>
          <w:szCs w:val="21"/>
        </w:rPr>
        <w:t>2024</w:t>
      </w:r>
      <w:r w:rsidRPr="00627F05">
        <w:rPr>
          <w:rFonts w:ascii="宋体" w:hAnsi="宋体" w:hint="eastAsia"/>
          <w:color w:val="000000" w:themeColor="text1"/>
          <w:szCs w:val="21"/>
        </w:rPr>
        <w:lastRenderedPageBreak/>
        <w:t>年7月30日，公司召开第五届董事会第二次会议和第五届监事会第二次会议，审议通过了《关于部分募投项目结项并将节余募集资金永久补充流动资金的议案》，节余募集资金共计 3,844.45 万元（包括利息收入，实际金额以资金转出当日专户余额为准）永久性补充流动资金，资金划转完成后，相关募集资金专户已于2024年9月进行销户处理，对应的</w:t>
      </w:r>
      <w:r w:rsidRPr="00234AC9">
        <w:rPr>
          <w:rFonts w:ascii="宋体" w:hAnsi="宋体"/>
          <w:color w:val="000000" w:themeColor="text1"/>
          <w:szCs w:val="21"/>
        </w:rPr>
        <w:t>《募集资金三方监管协议》、</w:t>
      </w:r>
      <w:r w:rsidRPr="00627F05">
        <w:rPr>
          <w:rFonts w:ascii="宋体" w:hAnsi="宋体" w:hint="eastAsia"/>
          <w:color w:val="000000" w:themeColor="text1"/>
          <w:szCs w:val="21"/>
        </w:rPr>
        <w:t>《募集资金四方监管协议》亦随之终止。</w:t>
      </w:r>
    </w:p>
    <w:p w14:paraId="272DB06B" w14:textId="77777777" w:rsidR="00C81C0C" w:rsidRPr="00234AC9" w:rsidRDefault="00000000">
      <w:pPr>
        <w:snapToGrid w:val="0"/>
        <w:spacing w:line="360" w:lineRule="auto"/>
        <w:ind w:firstLineChars="200" w:firstLine="420"/>
        <w:rPr>
          <w:rFonts w:ascii="宋体" w:hAnsi="宋体" w:hint="eastAsia"/>
          <w:color w:val="000000" w:themeColor="text1"/>
          <w:szCs w:val="21"/>
        </w:rPr>
      </w:pPr>
      <w:r w:rsidRPr="00234AC9">
        <w:rPr>
          <w:rFonts w:ascii="宋体" w:hAnsi="宋体" w:hint="eastAsia"/>
          <w:color w:val="000000" w:themeColor="text1"/>
          <w:szCs w:val="21"/>
        </w:rPr>
        <w:t>截至2024年12月31日止，募集资金的存储情况列示如下：</w:t>
      </w:r>
    </w:p>
    <w:p w14:paraId="47657A62" w14:textId="77777777" w:rsidR="00C81C0C" w:rsidRPr="00234AC9" w:rsidRDefault="00000000" w:rsidP="00C758E4">
      <w:pPr>
        <w:snapToGrid w:val="0"/>
        <w:ind w:firstLineChars="2950" w:firstLine="6195"/>
        <w:rPr>
          <w:rFonts w:ascii="宋体" w:hAnsi="宋体" w:hint="eastAsia"/>
          <w:color w:val="000000" w:themeColor="text1"/>
          <w:szCs w:val="21"/>
        </w:rPr>
      </w:pPr>
      <w:r w:rsidRPr="00234AC9">
        <w:rPr>
          <w:rFonts w:ascii="宋体" w:hAnsi="宋体" w:hint="eastAsia"/>
          <w:color w:val="000000" w:themeColor="text1"/>
          <w:szCs w:val="21"/>
        </w:rPr>
        <w:t>金额单位：人民币元</w:t>
      </w:r>
    </w:p>
    <w:tbl>
      <w:tblPr>
        <w:tblW w:w="8364" w:type="dxa"/>
        <w:tblInd w:w="-142"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1843"/>
        <w:gridCol w:w="1985"/>
        <w:gridCol w:w="1701"/>
        <w:gridCol w:w="1276"/>
        <w:gridCol w:w="1559"/>
      </w:tblGrid>
      <w:tr w:rsidR="00234AC9" w:rsidRPr="00234AC9" w14:paraId="6390925E" w14:textId="77777777" w:rsidTr="00C758E4">
        <w:trPr>
          <w:trHeight w:val="340"/>
          <w:tblHeader/>
        </w:trPr>
        <w:tc>
          <w:tcPr>
            <w:tcW w:w="1843" w:type="dxa"/>
            <w:vAlign w:val="center"/>
          </w:tcPr>
          <w:p w14:paraId="4B934A79" w14:textId="77777777" w:rsidR="00C81C0C" w:rsidRPr="00234AC9" w:rsidRDefault="00000000">
            <w:pPr>
              <w:snapToGrid w:val="0"/>
              <w:jc w:val="center"/>
              <w:rPr>
                <w:rFonts w:ascii="宋体"/>
                <w:color w:val="000000" w:themeColor="text1"/>
                <w:kern w:val="0"/>
                <w:sz w:val="18"/>
                <w:szCs w:val="18"/>
              </w:rPr>
            </w:pPr>
            <w:r w:rsidRPr="00234AC9">
              <w:rPr>
                <w:rFonts w:ascii="宋体" w:hAnsi="宋体" w:hint="eastAsia"/>
                <w:color w:val="000000" w:themeColor="text1"/>
                <w:kern w:val="0"/>
                <w:sz w:val="18"/>
                <w:szCs w:val="18"/>
              </w:rPr>
              <w:t>银行名称</w:t>
            </w:r>
          </w:p>
        </w:tc>
        <w:tc>
          <w:tcPr>
            <w:tcW w:w="1985" w:type="dxa"/>
            <w:vAlign w:val="center"/>
          </w:tcPr>
          <w:p w14:paraId="6C9CD314" w14:textId="77777777" w:rsidR="00C81C0C" w:rsidRPr="00234AC9" w:rsidRDefault="00000000">
            <w:pPr>
              <w:snapToGrid w:val="0"/>
              <w:jc w:val="center"/>
              <w:rPr>
                <w:rFonts w:ascii="宋体"/>
                <w:color w:val="000000" w:themeColor="text1"/>
                <w:kern w:val="0"/>
                <w:sz w:val="18"/>
                <w:szCs w:val="18"/>
              </w:rPr>
            </w:pPr>
            <w:r w:rsidRPr="00234AC9">
              <w:rPr>
                <w:rFonts w:ascii="宋体" w:hAnsi="宋体" w:hint="eastAsia"/>
                <w:color w:val="000000" w:themeColor="text1"/>
                <w:kern w:val="0"/>
                <w:sz w:val="18"/>
                <w:szCs w:val="18"/>
              </w:rPr>
              <w:t>账号</w:t>
            </w:r>
          </w:p>
        </w:tc>
        <w:tc>
          <w:tcPr>
            <w:tcW w:w="1701" w:type="dxa"/>
            <w:vAlign w:val="center"/>
          </w:tcPr>
          <w:p w14:paraId="575A9F46" w14:textId="77777777" w:rsidR="00C81C0C" w:rsidRPr="00234AC9" w:rsidRDefault="00000000">
            <w:pPr>
              <w:snapToGrid w:val="0"/>
              <w:jc w:val="center"/>
              <w:rPr>
                <w:rFonts w:ascii="宋体"/>
                <w:color w:val="000000" w:themeColor="text1"/>
                <w:kern w:val="0"/>
                <w:sz w:val="18"/>
                <w:szCs w:val="18"/>
              </w:rPr>
            </w:pPr>
            <w:r w:rsidRPr="00234AC9">
              <w:rPr>
                <w:rFonts w:ascii="宋体" w:hAnsi="宋体" w:hint="eastAsia"/>
                <w:color w:val="000000" w:themeColor="text1"/>
                <w:kern w:val="0"/>
                <w:sz w:val="18"/>
                <w:szCs w:val="18"/>
              </w:rPr>
              <w:t>初时存放金额</w:t>
            </w:r>
          </w:p>
        </w:tc>
        <w:tc>
          <w:tcPr>
            <w:tcW w:w="1276" w:type="dxa"/>
            <w:vAlign w:val="center"/>
          </w:tcPr>
          <w:p w14:paraId="4A9D27C1" w14:textId="77777777" w:rsidR="00C81C0C" w:rsidRPr="00234AC9" w:rsidRDefault="00000000">
            <w:pPr>
              <w:snapToGrid w:val="0"/>
              <w:jc w:val="center"/>
              <w:rPr>
                <w:rFonts w:ascii="宋体"/>
                <w:color w:val="000000" w:themeColor="text1"/>
                <w:kern w:val="0"/>
                <w:sz w:val="18"/>
                <w:szCs w:val="18"/>
              </w:rPr>
            </w:pPr>
            <w:r w:rsidRPr="00234AC9">
              <w:rPr>
                <w:rFonts w:ascii="宋体" w:hAnsi="宋体" w:hint="eastAsia"/>
                <w:color w:val="000000" w:themeColor="text1"/>
                <w:kern w:val="0"/>
                <w:sz w:val="18"/>
                <w:szCs w:val="18"/>
              </w:rPr>
              <w:t>截止日余额</w:t>
            </w:r>
          </w:p>
        </w:tc>
        <w:tc>
          <w:tcPr>
            <w:tcW w:w="1559" w:type="dxa"/>
            <w:vAlign w:val="center"/>
          </w:tcPr>
          <w:p w14:paraId="0A0B0377" w14:textId="77777777" w:rsidR="00C81C0C" w:rsidRPr="00234AC9" w:rsidRDefault="00000000">
            <w:pPr>
              <w:snapToGrid w:val="0"/>
              <w:jc w:val="center"/>
              <w:rPr>
                <w:rFonts w:ascii="宋体"/>
                <w:color w:val="000000" w:themeColor="text1"/>
                <w:kern w:val="0"/>
                <w:sz w:val="18"/>
                <w:szCs w:val="18"/>
              </w:rPr>
            </w:pPr>
            <w:r w:rsidRPr="00234AC9">
              <w:rPr>
                <w:rFonts w:ascii="宋体" w:hAnsi="宋体" w:hint="eastAsia"/>
                <w:color w:val="000000" w:themeColor="text1"/>
                <w:kern w:val="0"/>
                <w:sz w:val="18"/>
                <w:szCs w:val="18"/>
              </w:rPr>
              <w:t>备注</w:t>
            </w:r>
          </w:p>
        </w:tc>
      </w:tr>
      <w:tr w:rsidR="00234AC9" w:rsidRPr="00234AC9" w14:paraId="0751156F" w14:textId="77777777" w:rsidTr="00C758E4">
        <w:trPr>
          <w:trHeight w:val="340"/>
        </w:trPr>
        <w:tc>
          <w:tcPr>
            <w:tcW w:w="1843" w:type="dxa"/>
            <w:vAlign w:val="center"/>
          </w:tcPr>
          <w:p w14:paraId="3C4C0B72" w14:textId="77777777" w:rsidR="00C81C0C" w:rsidRPr="00234AC9" w:rsidRDefault="00000000">
            <w:pPr>
              <w:snapToGrid w:val="0"/>
              <w:jc w:val="left"/>
              <w:rPr>
                <w:rFonts w:ascii="宋体"/>
                <w:color w:val="000000" w:themeColor="text1"/>
                <w:kern w:val="0"/>
                <w:sz w:val="18"/>
                <w:szCs w:val="18"/>
              </w:rPr>
            </w:pPr>
            <w:r w:rsidRPr="00234AC9">
              <w:rPr>
                <w:rFonts w:ascii="宋体" w:hint="eastAsia"/>
                <w:color w:val="000000" w:themeColor="text1"/>
                <w:kern w:val="0"/>
                <w:sz w:val="18"/>
                <w:szCs w:val="18"/>
              </w:rPr>
              <w:t>兴业银行股份有限公司福州环球支行</w:t>
            </w:r>
          </w:p>
        </w:tc>
        <w:tc>
          <w:tcPr>
            <w:tcW w:w="1985" w:type="dxa"/>
            <w:vAlign w:val="center"/>
          </w:tcPr>
          <w:p w14:paraId="4C5FF273" w14:textId="77777777" w:rsidR="00C81C0C" w:rsidRPr="00234AC9" w:rsidRDefault="00000000">
            <w:pPr>
              <w:snapToGrid w:val="0"/>
              <w:jc w:val="left"/>
              <w:rPr>
                <w:rFonts w:ascii="宋体"/>
                <w:color w:val="000000" w:themeColor="text1"/>
                <w:kern w:val="0"/>
                <w:sz w:val="18"/>
                <w:szCs w:val="18"/>
              </w:rPr>
            </w:pPr>
            <w:r w:rsidRPr="00234AC9">
              <w:rPr>
                <w:rFonts w:ascii="宋体"/>
                <w:color w:val="000000" w:themeColor="text1"/>
                <w:kern w:val="0"/>
                <w:sz w:val="18"/>
                <w:szCs w:val="18"/>
              </w:rPr>
              <w:t>118110100100257142</w:t>
            </w:r>
          </w:p>
        </w:tc>
        <w:tc>
          <w:tcPr>
            <w:tcW w:w="1701" w:type="dxa"/>
            <w:vAlign w:val="center"/>
          </w:tcPr>
          <w:p w14:paraId="17E4FE0C" w14:textId="77777777" w:rsidR="00C81C0C" w:rsidRPr="00234AC9" w:rsidRDefault="00000000">
            <w:pPr>
              <w:snapToGrid w:val="0"/>
              <w:ind w:rightChars="50" w:right="105"/>
              <w:jc w:val="right"/>
              <w:rPr>
                <w:rFonts w:ascii="宋体"/>
                <w:color w:val="000000" w:themeColor="text1"/>
                <w:kern w:val="0"/>
                <w:sz w:val="18"/>
                <w:szCs w:val="18"/>
              </w:rPr>
            </w:pPr>
            <w:r w:rsidRPr="00234AC9">
              <w:rPr>
                <w:rFonts w:ascii="宋体"/>
                <w:color w:val="000000" w:themeColor="text1"/>
                <w:kern w:val="0"/>
                <w:sz w:val="18"/>
                <w:szCs w:val="18"/>
              </w:rPr>
              <w:t>503,889,800.00</w:t>
            </w:r>
          </w:p>
        </w:tc>
        <w:tc>
          <w:tcPr>
            <w:tcW w:w="1276" w:type="dxa"/>
            <w:vAlign w:val="center"/>
          </w:tcPr>
          <w:p w14:paraId="46F2C4C9" w14:textId="77777777" w:rsidR="00C81C0C" w:rsidRPr="00234AC9" w:rsidRDefault="00000000">
            <w:pPr>
              <w:snapToGrid w:val="0"/>
              <w:ind w:rightChars="50" w:right="105"/>
              <w:jc w:val="right"/>
              <w:rPr>
                <w:rFonts w:ascii="宋体"/>
                <w:color w:val="000000" w:themeColor="text1"/>
                <w:kern w:val="0"/>
                <w:sz w:val="18"/>
                <w:szCs w:val="18"/>
              </w:rPr>
            </w:pPr>
            <w:r w:rsidRPr="00234AC9">
              <w:rPr>
                <w:rFonts w:ascii="宋体" w:hint="eastAsia"/>
                <w:color w:val="000000" w:themeColor="text1"/>
                <w:kern w:val="0"/>
                <w:sz w:val="18"/>
                <w:szCs w:val="18"/>
              </w:rPr>
              <w:t>-</w:t>
            </w:r>
          </w:p>
        </w:tc>
        <w:tc>
          <w:tcPr>
            <w:tcW w:w="1559" w:type="dxa"/>
            <w:vAlign w:val="center"/>
          </w:tcPr>
          <w:p w14:paraId="6A743639" w14:textId="77777777" w:rsidR="00C81C0C" w:rsidRPr="00234AC9" w:rsidRDefault="00000000">
            <w:pPr>
              <w:snapToGrid w:val="0"/>
              <w:jc w:val="center"/>
              <w:rPr>
                <w:rFonts w:ascii="宋体"/>
                <w:color w:val="000000" w:themeColor="text1"/>
                <w:kern w:val="0"/>
                <w:sz w:val="18"/>
                <w:szCs w:val="18"/>
              </w:rPr>
            </w:pPr>
            <w:r w:rsidRPr="00234AC9">
              <w:rPr>
                <w:rFonts w:ascii="宋体" w:hint="eastAsia"/>
                <w:color w:val="000000" w:themeColor="text1"/>
                <w:kern w:val="0"/>
                <w:sz w:val="18"/>
                <w:szCs w:val="18"/>
              </w:rPr>
              <w:t>2024年9月销户</w:t>
            </w:r>
          </w:p>
        </w:tc>
      </w:tr>
      <w:tr w:rsidR="00234AC9" w:rsidRPr="00234AC9" w14:paraId="3FF72EFE" w14:textId="77777777" w:rsidTr="00C758E4">
        <w:trPr>
          <w:trHeight w:val="340"/>
        </w:trPr>
        <w:tc>
          <w:tcPr>
            <w:tcW w:w="1843" w:type="dxa"/>
            <w:vAlign w:val="center"/>
          </w:tcPr>
          <w:p w14:paraId="4CAFE5F1" w14:textId="77777777" w:rsidR="00C81C0C" w:rsidRPr="00234AC9" w:rsidRDefault="00000000">
            <w:pPr>
              <w:snapToGrid w:val="0"/>
              <w:jc w:val="left"/>
              <w:rPr>
                <w:rFonts w:ascii="宋体"/>
                <w:color w:val="000000" w:themeColor="text1"/>
                <w:kern w:val="0"/>
                <w:sz w:val="18"/>
                <w:szCs w:val="18"/>
              </w:rPr>
            </w:pPr>
            <w:r w:rsidRPr="00234AC9">
              <w:rPr>
                <w:rFonts w:ascii="宋体" w:hint="eastAsia"/>
                <w:color w:val="000000" w:themeColor="text1"/>
                <w:kern w:val="0"/>
                <w:sz w:val="18"/>
                <w:szCs w:val="18"/>
              </w:rPr>
              <w:t>招商银行股份有限公司福州分行</w:t>
            </w:r>
          </w:p>
        </w:tc>
        <w:tc>
          <w:tcPr>
            <w:tcW w:w="1985" w:type="dxa"/>
            <w:vAlign w:val="center"/>
          </w:tcPr>
          <w:p w14:paraId="1315253F" w14:textId="77777777" w:rsidR="00C81C0C" w:rsidRPr="00234AC9" w:rsidRDefault="00000000">
            <w:pPr>
              <w:snapToGrid w:val="0"/>
              <w:jc w:val="left"/>
              <w:rPr>
                <w:rFonts w:ascii="宋体"/>
                <w:color w:val="000000" w:themeColor="text1"/>
                <w:kern w:val="0"/>
                <w:sz w:val="18"/>
                <w:szCs w:val="18"/>
              </w:rPr>
            </w:pPr>
            <w:r w:rsidRPr="00234AC9">
              <w:rPr>
                <w:rFonts w:ascii="宋体"/>
                <w:color w:val="000000" w:themeColor="text1"/>
                <w:kern w:val="0"/>
                <w:sz w:val="18"/>
                <w:szCs w:val="18"/>
              </w:rPr>
              <w:t>591907429610301</w:t>
            </w:r>
          </w:p>
        </w:tc>
        <w:tc>
          <w:tcPr>
            <w:tcW w:w="1701" w:type="dxa"/>
            <w:vAlign w:val="center"/>
          </w:tcPr>
          <w:p w14:paraId="2D429B6F" w14:textId="77777777" w:rsidR="00C81C0C" w:rsidRPr="00234AC9" w:rsidRDefault="00C81C0C">
            <w:pPr>
              <w:snapToGrid w:val="0"/>
              <w:ind w:rightChars="50" w:right="105"/>
              <w:jc w:val="right"/>
              <w:rPr>
                <w:rFonts w:ascii="宋体"/>
                <w:color w:val="000000" w:themeColor="text1"/>
                <w:kern w:val="0"/>
                <w:sz w:val="18"/>
                <w:szCs w:val="18"/>
              </w:rPr>
            </w:pPr>
          </w:p>
        </w:tc>
        <w:tc>
          <w:tcPr>
            <w:tcW w:w="1276" w:type="dxa"/>
            <w:vAlign w:val="center"/>
          </w:tcPr>
          <w:p w14:paraId="6F51B7FB" w14:textId="77777777" w:rsidR="00C81C0C" w:rsidRPr="00234AC9" w:rsidRDefault="00000000">
            <w:pPr>
              <w:snapToGrid w:val="0"/>
              <w:ind w:rightChars="50" w:right="105"/>
              <w:jc w:val="right"/>
              <w:rPr>
                <w:rFonts w:ascii="宋体"/>
                <w:color w:val="000000" w:themeColor="text1"/>
                <w:kern w:val="0"/>
                <w:sz w:val="18"/>
                <w:szCs w:val="18"/>
              </w:rPr>
            </w:pPr>
            <w:r w:rsidRPr="00234AC9">
              <w:rPr>
                <w:rFonts w:ascii="宋体" w:hint="eastAsia"/>
                <w:color w:val="000000" w:themeColor="text1"/>
                <w:kern w:val="0"/>
                <w:sz w:val="18"/>
                <w:szCs w:val="18"/>
              </w:rPr>
              <w:t>-</w:t>
            </w:r>
          </w:p>
        </w:tc>
        <w:tc>
          <w:tcPr>
            <w:tcW w:w="1559" w:type="dxa"/>
            <w:vAlign w:val="center"/>
          </w:tcPr>
          <w:p w14:paraId="2D0BFD0A" w14:textId="77777777" w:rsidR="00C81C0C" w:rsidRPr="00234AC9" w:rsidRDefault="00000000">
            <w:pPr>
              <w:snapToGrid w:val="0"/>
              <w:jc w:val="center"/>
              <w:rPr>
                <w:rFonts w:ascii="宋体"/>
                <w:color w:val="000000" w:themeColor="text1"/>
                <w:kern w:val="0"/>
                <w:sz w:val="18"/>
                <w:szCs w:val="18"/>
              </w:rPr>
            </w:pPr>
            <w:r w:rsidRPr="00234AC9">
              <w:rPr>
                <w:rFonts w:ascii="宋体" w:hint="eastAsia"/>
                <w:color w:val="000000" w:themeColor="text1"/>
                <w:kern w:val="0"/>
                <w:sz w:val="18"/>
                <w:szCs w:val="18"/>
              </w:rPr>
              <w:t>2024年9月销户</w:t>
            </w:r>
          </w:p>
        </w:tc>
      </w:tr>
      <w:tr w:rsidR="00234AC9" w:rsidRPr="00234AC9" w14:paraId="44C4AE0E" w14:textId="77777777" w:rsidTr="00C758E4">
        <w:trPr>
          <w:trHeight w:val="340"/>
        </w:trPr>
        <w:tc>
          <w:tcPr>
            <w:tcW w:w="1843" w:type="dxa"/>
            <w:vAlign w:val="center"/>
          </w:tcPr>
          <w:p w14:paraId="08D28F42" w14:textId="77777777" w:rsidR="00C81C0C" w:rsidRPr="00234AC9" w:rsidRDefault="00000000">
            <w:pPr>
              <w:snapToGrid w:val="0"/>
              <w:jc w:val="left"/>
              <w:rPr>
                <w:rFonts w:ascii="宋体"/>
                <w:color w:val="000000" w:themeColor="text1"/>
                <w:kern w:val="0"/>
                <w:sz w:val="18"/>
                <w:szCs w:val="18"/>
              </w:rPr>
            </w:pPr>
            <w:r w:rsidRPr="00234AC9">
              <w:rPr>
                <w:rFonts w:ascii="宋体" w:hint="eastAsia"/>
                <w:color w:val="000000" w:themeColor="text1"/>
                <w:kern w:val="0"/>
                <w:sz w:val="18"/>
                <w:szCs w:val="18"/>
              </w:rPr>
              <w:t>中国民生银行股份有限公司福州分行</w:t>
            </w:r>
          </w:p>
        </w:tc>
        <w:tc>
          <w:tcPr>
            <w:tcW w:w="1985" w:type="dxa"/>
            <w:vAlign w:val="center"/>
          </w:tcPr>
          <w:p w14:paraId="10CE874F" w14:textId="77777777" w:rsidR="00C81C0C" w:rsidRPr="00234AC9" w:rsidRDefault="00000000">
            <w:pPr>
              <w:snapToGrid w:val="0"/>
              <w:jc w:val="left"/>
              <w:rPr>
                <w:rFonts w:ascii="宋体"/>
                <w:color w:val="000000" w:themeColor="text1"/>
                <w:kern w:val="0"/>
                <w:sz w:val="18"/>
                <w:szCs w:val="18"/>
              </w:rPr>
            </w:pPr>
            <w:r w:rsidRPr="00234AC9">
              <w:rPr>
                <w:rFonts w:ascii="宋体"/>
                <w:color w:val="000000" w:themeColor="text1"/>
                <w:kern w:val="0"/>
                <w:sz w:val="18"/>
                <w:szCs w:val="18"/>
              </w:rPr>
              <w:t>632533893</w:t>
            </w:r>
          </w:p>
        </w:tc>
        <w:tc>
          <w:tcPr>
            <w:tcW w:w="1701" w:type="dxa"/>
            <w:vAlign w:val="center"/>
          </w:tcPr>
          <w:p w14:paraId="5E299B3E" w14:textId="77777777" w:rsidR="00C81C0C" w:rsidRPr="00234AC9" w:rsidRDefault="00C81C0C">
            <w:pPr>
              <w:snapToGrid w:val="0"/>
              <w:ind w:rightChars="50" w:right="105"/>
              <w:jc w:val="right"/>
              <w:rPr>
                <w:rFonts w:ascii="宋体"/>
                <w:color w:val="000000" w:themeColor="text1"/>
                <w:kern w:val="0"/>
                <w:sz w:val="18"/>
                <w:szCs w:val="18"/>
              </w:rPr>
            </w:pPr>
          </w:p>
        </w:tc>
        <w:tc>
          <w:tcPr>
            <w:tcW w:w="1276" w:type="dxa"/>
            <w:vAlign w:val="center"/>
          </w:tcPr>
          <w:p w14:paraId="7D35868A" w14:textId="77777777" w:rsidR="00C81C0C" w:rsidRPr="00234AC9" w:rsidRDefault="00000000">
            <w:pPr>
              <w:snapToGrid w:val="0"/>
              <w:ind w:rightChars="50" w:right="105"/>
              <w:jc w:val="right"/>
              <w:rPr>
                <w:rFonts w:ascii="宋体"/>
                <w:color w:val="000000" w:themeColor="text1"/>
                <w:kern w:val="0"/>
                <w:sz w:val="18"/>
                <w:szCs w:val="18"/>
              </w:rPr>
            </w:pPr>
            <w:r w:rsidRPr="00234AC9">
              <w:rPr>
                <w:rFonts w:ascii="宋体" w:hint="eastAsia"/>
                <w:color w:val="000000" w:themeColor="text1"/>
                <w:kern w:val="0"/>
                <w:sz w:val="18"/>
                <w:szCs w:val="18"/>
              </w:rPr>
              <w:t>-</w:t>
            </w:r>
          </w:p>
        </w:tc>
        <w:tc>
          <w:tcPr>
            <w:tcW w:w="1559" w:type="dxa"/>
            <w:vAlign w:val="center"/>
          </w:tcPr>
          <w:p w14:paraId="0977675A" w14:textId="77777777" w:rsidR="00C81C0C" w:rsidRPr="00234AC9" w:rsidRDefault="00000000">
            <w:pPr>
              <w:snapToGrid w:val="0"/>
              <w:jc w:val="center"/>
              <w:rPr>
                <w:rFonts w:ascii="宋体"/>
                <w:color w:val="000000" w:themeColor="text1"/>
                <w:kern w:val="0"/>
                <w:sz w:val="18"/>
                <w:szCs w:val="18"/>
              </w:rPr>
            </w:pPr>
            <w:r w:rsidRPr="00234AC9">
              <w:rPr>
                <w:rFonts w:ascii="宋体" w:hint="eastAsia"/>
                <w:color w:val="000000" w:themeColor="text1"/>
                <w:kern w:val="0"/>
                <w:sz w:val="18"/>
                <w:szCs w:val="18"/>
              </w:rPr>
              <w:t>2024年5月销户</w:t>
            </w:r>
          </w:p>
        </w:tc>
      </w:tr>
      <w:tr w:rsidR="00234AC9" w:rsidRPr="00234AC9" w14:paraId="7765F656" w14:textId="77777777" w:rsidTr="00C758E4">
        <w:trPr>
          <w:trHeight w:val="340"/>
        </w:trPr>
        <w:tc>
          <w:tcPr>
            <w:tcW w:w="1843" w:type="dxa"/>
            <w:vAlign w:val="center"/>
          </w:tcPr>
          <w:p w14:paraId="48561811" w14:textId="77777777" w:rsidR="00C81C0C" w:rsidRPr="00234AC9" w:rsidRDefault="00000000">
            <w:pPr>
              <w:snapToGrid w:val="0"/>
              <w:jc w:val="center"/>
              <w:rPr>
                <w:rFonts w:ascii="宋体"/>
                <w:color w:val="000000" w:themeColor="text1"/>
                <w:kern w:val="0"/>
                <w:sz w:val="18"/>
                <w:szCs w:val="18"/>
              </w:rPr>
            </w:pPr>
            <w:r w:rsidRPr="00234AC9">
              <w:rPr>
                <w:rFonts w:ascii="宋体" w:hAnsi="宋体" w:hint="eastAsia"/>
                <w:color w:val="000000" w:themeColor="text1"/>
                <w:kern w:val="0"/>
                <w:sz w:val="18"/>
                <w:szCs w:val="18"/>
              </w:rPr>
              <w:t>合计</w:t>
            </w:r>
          </w:p>
        </w:tc>
        <w:tc>
          <w:tcPr>
            <w:tcW w:w="1985" w:type="dxa"/>
            <w:vAlign w:val="center"/>
          </w:tcPr>
          <w:p w14:paraId="29E61ADF" w14:textId="77777777" w:rsidR="00C81C0C" w:rsidRPr="00234AC9" w:rsidRDefault="00C81C0C">
            <w:pPr>
              <w:snapToGrid w:val="0"/>
              <w:jc w:val="center"/>
              <w:rPr>
                <w:rFonts w:ascii="宋体"/>
                <w:color w:val="000000" w:themeColor="text1"/>
                <w:kern w:val="0"/>
                <w:sz w:val="18"/>
                <w:szCs w:val="18"/>
              </w:rPr>
            </w:pPr>
          </w:p>
        </w:tc>
        <w:tc>
          <w:tcPr>
            <w:tcW w:w="1701" w:type="dxa"/>
            <w:vAlign w:val="center"/>
          </w:tcPr>
          <w:p w14:paraId="7BA1968E" w14:textId="77777777" w:rsidR="00C81C0C" w:rsidRPr="00234AC9" w:rsidRDefault="00000000">
            <w:pPr>
              <w:snapToGrid w:val="0"/>
              <w:ind w:rightChars="50" w:right="105"/>
              <w:jc w:val="right"/>
              <w:rPr>
                <w:rFonts w:ascii="宋体"/>
                <w:color w:val="000000" w:themeColor="text1"/>
                <w:kern w:val="0"/>
                <w:sz w:val="18"/>
                <w:szCs w:val="18"/>
              </w:rPr>
            </w:pPr>
            <w:r w:rsidRPr="00234AC9">
              <w:rPr>
                <w:rFonts w:ascii="宋体"/>
                <w:color w:val="000000" w:themeColor="text1"/>
                <w:kern w:val="0"/>
                <w:sz w:val="18"/>
                <w:szCs w:val="18"/>
              </w:rPr>
              <w:t>503,889,800.00</w:t>
            </w:r>
          </w:p>
        </w:tc>
        <w:tc>
          <w:tcPr>
            <w:tcW w:w="1276" w:type="dxa"/>
            <w:vAlign w:val="center"/>
          </w:tcPr>
          <w:p w14:paraId="0119B29C" w14:textId="77777777" w:rsidR="00C81C0C" w:rsidRPr="00234AC9" w:rsidRDefault="00000000">
            <w:pPr>
              <w:snapToGrid w:val="0"/>
              <w:ind w:rightChars="50" w:right="105"/>
              <w:jc w:val="right"/>
              <w:rPr>
                <w:rFonts w:ascii="宋体"/>
                <w:color w:val="000000" w:themeColor="text1"/>
                <w:kern w:val="0"/>
                <w:sz w:val="18"/>
                <w:szCs w:val="18"/>
              </w:rPr>
            </w:pPr>
            <w:r w:rsidRPr="00234AC9">
              <w:rPr>
                <w:rFonts w:ascii="宋体" w:hint="eastAsia"/>
                <w:color w:val="000000" w:themeColor="text1"/>
                <w:kern w:val="0"/>
                <w:sz w:val="18"/>
                <w:szCs w:val="18"/>
              </w:rPr>
              <w:t>-</w:t>
            </w:r>
          </w:p>
        </w:tc>
        <w:tc>
          <w:tcPr>
            <w:tcW w:w="1559" w:type="dxa"/>
            <w:vAlign w:val="center"/>
          </w:tcPr>
          <w:p w14:paraId="51E5C93C" w14:textId="77777777" w:rsidR="00C81C0C" w:rsidRPr="00234AC9" w:rsidRDefault="00C81C0C">
            <w:pPr>
              <w:snapToGrid w:val="0"/>
              <w:jc w:val="center"/>
              <w:rPr>
                <w:rFonts w:ascii="宋体"/>
                <w:color w:val="000000" w:themeColor="text1"/>
                <w:kern w:val="0"/>
                <w:sz w:val="18"/>
                <w:szCs w:val="18"/>
              </w:rPr>
            </w:pPr>
          </w:p>
        </w:tc>
      </w:tr>
    </w:tbl>
    <w:p w14:paraId="4B388875" w14:textId="77777777" w:rsidR="00C81C0C" w:rsidRPr="00234AC9" w:rsidRDefault="00C81C0C">
      <w:pPr>
        <w:snapToGrid w:val="0"/>
        <w:spacing w:line="360" w:lineRule="auto"/>
        <w:ind w:firstLineChars="200" w:firstLine="420"/>
        <w:rPr>
          <w:color w:val="000000" w:themeColor="text1"/>
          <w:szCs w:val="21"/>
        </w:rPr>
      </w:pPr>
    </w:p>
    <w:p w14:paraId="4B388876" w14:textId="77777777" w:rsidR="00C81C0C" w:rsidRPr="00234AC9" w:rsidRDefault="00000000">
      <w:pPr>
        <w:snapToGrid w:val="0"/>
        <w:spacing w:line="360" w:lineRule="auto"/>
        <w:ind w:firstLineChars="200" w:firstLine="422"/>
        <w:rPr>
          <w:rFonts w:ascii="宋体" w:hAnsi="宋体" w:hint="eastAsia"/>
          <w:b/>
          <w:color w:val="000000" w:themeColor="text1"/>
          <w:szCs w:val="21"/>
        </w:rPr>
      </w:pPr>
      <w:r w:rsidRPr="00234AC9">
        <w:rPr>
          <w:rFonts w:ascii="宋体" w:hAnsi="宋体" w:hint="eastAsia"/>
          <w:b/>
          <w:color w:val="000000" w:themeColor="text1"/>
          <w:szCs w:val="21"/>
        </w:rPr>
        <w:t>三、2024年度募集资金的使用情况</w:t>
      </w:r>
    </w:p>
    <w:p w14:paraId="4B388877" w14:textId="59A048AC" w:rsidR="00C81C0C" w:rsidRPr="00234AC9" w:rsidRDefault="00000000">
      <w:pPr>
        <w:snapToGrid w:val="0"/>
        <w:spacing w:line="360" w:lineRule="auto"/>
        <w:ind w:firstLineChars="200" w:firstLine="420"/>
        <w:rPr>
          <w:rFonts w:ascii="宋体" w:hAnsi="宋体" w:hint="eastAsia"/>
          <w:color w:val="000000" w:themeColor="text1"/>
          <w:szCs w:val="21"/>
        </w:rPr>
      </w:pPr>
      <w:r w:rsidRPr="00234AC9">
        <w:rPr>
          <w:color w:val="000000" w:themeColor="text1"/>
          <w:szCs w:val="21"/>
        </w:rPr>
        <w:t>详见附表</w:t>
      </w:r>
      <w:r w:rsidR="0023329C">
        <w:rPr>
          <w:rFonts w:hint="eastAsia"/>
          <w:color w:val="000000" w:themeColor="text1"/>
          <w:szCs w:val="21"/>
        </w:rPr>
        <w:t>1</w:t>
      </w:r>
      <w:r w:rsidRPr="00234AC9">
        <w:rPr>
          <w:color w:val="000000" w:themeColor="text1"/>
          <w:szCs w:val="21"/>
        </w:rPr>
        <w:t>《募集资金使用情况对照表》。</w:t>
      </w:r>
    </w:p>
    <w:p w14:paraId="4B388878" w14:textId="77777777" w:rsidR="00C81C0C" w:rsidRPr="00234AC9" w:rsidRDefault="00C81C0C">
      <w:pPr>
        <w:snapToGrid w:val="0"/>
        <w:spacing w:line="360" w:lineRule="auto"/>
        <w:ind w:firstLineChars="200" w:firstLine="420"/>
        <w:rPr>
          <w:rFonts w:ascii="宋体" w:hAnsi="宋体" w:hint="eastAsia"/>
          <w:color w:val="000000" w:themeColor="text1"/>
          <w:szCs w:val="21"/>
        </w:rPr>
      </w:pPr>
    </w:p>
    <w:p w14:paraId="4B388879" w14:textId="77777777" w:rsidR="00C81C0C" w:rsidRPr="00234AC9" w:rsidRDefault="00000000">
      <w:pPr>
        <w:pStyle w:val="a8"/>
        <w:snapToGrid w:val="0"/>
        <w:rPr>
          <w:rFonts w:ascii="宋体" w:hAnsi="宋体" w:hint="eastAsia"/>
          <w:b/>
          <w:color w:val="000000" w:themeColor="text1"/>
          <w:szCs w:val="21"/>
        </w:rPr>
      </w:pPr>
      <w:r w:rsidRPr="00234AC9">
        <w:rPr>
          <w:rFonts w:ascii="宋体" w:hAnsi="宋体" w:hint="eastAsia"/>
          <w:b/>
          <w:color w:val="000000" w:themeColor="text1"/>
          <w:szCs w:val="21"/>
        </w:rPr>
        <w:t>四、变更募集资金投资项目的资金使用情况</w:t>
      </w:r>
    </w:p>
    <w:p w14:paraId="7B3278DE" w14:textId="7510D2BC" w:rsidR="00C81C0C" w:rsidRPr="00234AC9" w:rsidRDefault="00000000">
      <w:pPr>
        <w:snapToGrid w:val="0"/>
        <w:spacing w:line="360" w:lineRule="auto"/>
        <w:ind w:firstLineChars="200" w:firstLine="420"/>
        <w:rPr>
          <w:rFonts w:ascii="宋体" w:hAnsi="宋体" w:hint="eastAsia"/>
          <w:color w:val="000000" w:themeColor="text1"/>
          <w:szCs w:val="21"/>
        </w:rPr>
      </w:pPr>
      <w:r w:rsidRPr="00234AC9">
        <w:rPr>
          <w:rFonts w:ascii="宋体" w:hAnsi="宋体" w:hint="eastAsia"/>
          <w:color w:val="000000" w:themeColor="text1"/>
          <w:szCs w:val="21"/>
        </w:rPr>
        <w:t>本公司于2023年12月29日召开第四届董事会第二十七次会议和第四届监事会第二十四次会议，审议通过了《关于终止部分募集资金投资项目并将剩余募集资金永久补充流动资金的议案》，为提高募集资金使用效率，降低募集资金投资风险，根据公司</w:t>
      </w:r>
      <w:proofErr w:type="gramStart"/>
      <w:r w:rsidRPr="00234AC9">
        <w:rPr>
          <w:rFonts w:ascii="宋体" w:hAnsi="宋体" w:hint="eastAsia"/>
          <w:color w:val="000000" w:themeColor="text1"/>
          <w:szCs w:val="21"/>
        </w:rPr>
        <w:t>募投项目</w:t>
      </w:r>
      <w:proofErr w:type="gramEnd"/>
      <w:r w:rsidRPr="00234AC9">
        <w:rPr>
          <w:rFonts w:ascii="宋体" w:hAnsi="宋体" w:hint="eastAsia"/>
          <w:color w:val="000000" w:themeColor="text1"/>
          <w:szCs w:val="21"/>
        </w:rPr>
        <w:t>的实际进展情况及市场环境变化，同意公司对向特定对象发行股票募集资金投资项目中的“江苏中兴制剂车间建设项目”予以终止，并将上述项目终止后剩余的募集资金8,543.49万元（最终金额以资金转出当日银行结息金额为准）永久补充流动资金，用于公司日常生产经营及业务发展。资金划转完成后，公司董事会授权相关人员对相关募集资金专户进行销户处理，对应的《募集资金四方监管协议》亦随之终止。本议案在2</w:t>
      </w:r>
      <w:r w:rsidRPr="00234AC9">
        <w:rPr>
          <w:rFonts w:ascii="宋体" w:hAnsi="宋体"/>
          <w:color w:val="000000" w:themeColor="text1"/>
          <w:szCs w:val="21"/>
        </w:rPr>
        <w:t>024</w:t>
      </w:r>
      <w:r w:rsidRPr="00234AC9">
        <w:rPr>
          <w:rFonts w:ascii="宋体" w:hAnsi="宋体" w:hint="eastAsia"/>
          <w:color w:val="000000" w:themeColor="text1"/>
          <w:szCs w:val="21"/>
        </w:rPr>
        <w:t>年1月1</w:t>
      </w:r>
      <w:r w:rsidRPr="00234AC9">
        <w:rPr>
          <w:rFonts w:ascii="宋体" w:hAnsi="宋体"/>
          <w:color w:val="000000" w:themeColor="text1"/>
          <w:szCs w:val="21"/>
        </w:rPr>
        <w:t>5</w:t>
      </w:r>
      <w:r w:rsidRPr="00234AC9">
        <w:rPr>
          <w:rFonts w:ascii="宋体" w:hAnsi="宋体" w:hint="eastAsia"/>
          <w:color w:val="000000" w:themeColor="text1"/>
          <w:szCs w:val="21"/>
        </w:rPr>
        <w:t>日召开的2024年第一次临时股东大会决议中获得通过。2024 年 1 月 18 日，公司将</w:t>
      </w:r>
      <w:r w:rsidR="0023329C">
        <w:rPr>
          <w:rFonts w:ascii="宋体" w:hAnsi="宋体" w:hint="eastAsia"/>
          <w:color w:val="000000" w:themeColor="text1"/>
          <w:szCs w:val="21"/>
        </w:rPr>
        <w:t>实际</w:t>
      </w:r>
      <w:r w:rsidRPr="00234AC9">
        <w:rPr>
          <w:rFonts w:ascii="宋体" w:hAnsi="宋体" w:hint="eastAsia"/>
          <w:color w:val="000000" w:themeColor="text1"/>
          <w:szCs w:val="21"/>
        </w:rPr>
        <w:t>剩余募集资金 8,510.52 万元划转至公司基本户。</w:t>
      </w:r>
    </w:p>
    <w:p w14:paraId="38152F88" w14:textId="217177DA" w:rsidR="00C81C0C" w:rsidRPr="00234AC9" w:rsidRDefault="00000000">
      <w:pPr>
        <w:snapToGrid w:val="0"/>
        <w:spacing w:line="360" w:lineRule="auto"/>
        <w:ind w:firstLineChars="200" w:firstLine="420"/>
        <w:rPr>
          <w:rFonts w:ascii="宋体" w:hAnsi="宋体" w:hint="eastAsia"/>
          <w:color w:val="000000" w:themeColor="text1"/>
          <w:szCs w:val="21"/>
        </w:rPr>
      </w:pPr>
      <w:r w:rsidRPr="00234AC9">
        <w:rPr>
          <w:rFonts w:ascii="宋体" w:hAnsi="宋体" w:hint="eastAsia"/>
          <w:color w:val="000000" w:themeColor="text1"/>
          <w:szCs w:val="21"/>
        </w:rPr>
        <w:t>公司于2024年7月30日召开第五届董事会第二次会议和第五届监事会第二次会议，审议通过了《关于部分募投项目结项并将节余募集资金永久补充流动资金的议案》。公司2020年创业板向特定对象发行A股股票的募集资金投资项目中的“原料药制剂一体化生产基地建设项目”已达到预定可使用状态，</w:t>
      </w:r>
      <w:proofErr w:type="gramStart"/>
      <w:r w:rsidRPr="00234AC9">
        <w:rPr>
          <w:rFonts w:ascii="宋体" w:hAnsi="宋体" w:hint="eastAsia"/>
          <w:color w:val="000000" w:themeColor="text1"/>
          <w:szCs w:val="21"/>
        </w:rPr>
        <w:t>满足结项条件</w:t>
      </w:r>
      <w:proofErr w:type="gramEnd"/>
      <w:r w:rsidRPr="00234AC9">
        <w:rPr>
          <w:rFonts w:ascii="宋体" w:hAnsi="宋体" w:hint="eastAsia"/>
          <w:color w:val="000000" w:themeColor="text1"/>
          <w:szCs w:val="21"/>
        </w:rPr>
        <w:t>，同意公司将该项目节余资金用于永久补充流动资金，同时授权公司管理层及其授权人士负责办理本次专户注销事项。2024年8</w:t>
      </w:r>
      <w:r w:rsidRPr="00234AC9">
        <w:rPr>
          <w:rFonts w:ascii="宋体" w:hAnsi="宋体" w:hint="eastAsia"/>
          <w:color w:val="000000" w:themeColor="text1"/>
          <w:szCs w:val="21"/>
        </w:rPr>
        <w:lastRenderedPageBreak/>
        <w:t>月16日，本议案在公司2024年第三次临时股东大会决议中获得通过。2024年8月，公司将</w:t>
      </w:r>
      <w:r w:rsidR="0023329C">
        <w:rPr>
          <w:rFonts w:ascii="宋体" w:hAnsi="宋体" w:hint="eastAsia"/>
          <w:color w:val="000000" w:themeColor="text1"/>
          <w:szCs w:val="21"/>
        </w:rPr>
        <w:t>实际</w:t>
      </w:r>
      <w:r w:rsidRPr="00234AC9">
        <w:rPr>
          <w:rFonts w:ascii="宋体" w:hAnsi="宋体" w:hint="eastAsia"/>
          <w:color w:val="000000" w:themeColor="text1"/>
          <w:szCs w:val="21"/>
        </w:rPr>
        <w:t>剩余募集资金（含利息）</w:t>
      </w:r>
      <w:r w:rsidRPr="00234AC9">
        <w:rPr>
          <w:rFonts w:ascii="宋体" w:hAnsi="宋体"/>
          <w:color w:val="000000" w:themeColor="text1"/>
          <w:szCs w:val="21"/>
        </w:rPr>
        <w:t>3</w:t>
      </w:r>
      <w:r w:rsidRPr="00234AC9">
        <w:rPr>
          <w:rFonts w:ascii="宋体" w:hAnsi="宋体" w:hint="eastAsia"/>
          <w:color w:val="000000" w:themeColor="text1"/>
          <w:szCs w:val="21"/>
        </w:rPr>
        <w:t>,</w:t>
      </w:r>
      <w:r w:rsidRPr="00234AC9">
        <w:rPr>
          <w:rFonts w:ascii="宋体" w:hAnsi="宋体"/>
          <w:color w:val="000000" w:themeColor="text1"/>
          <w:szCs w:val="21"/>
        </w:rPr>
        <w:t>801</w:t>
      </w:r>
      <w:r w:rsidRPr="00234AC9">
        <w:rPr>
          <w:rFonts w:ascii="宋体" w:hAnsi="宋体" w:hint="eastAsia"/>
          <w:color w:val="000000" w:themeColor="text1"/>
          <w:szCs w:val="21"/>
        </w:rPr>
        <w:t>.</w:t>
      </w:r>
      <w:r w:rsidRPr="00234AC9">
        <w:rPr>
          <w:rFonts w:ascii="宋体" w:hAnsi="宋体"/>
          <w:color w:val="000000" w:themeColor="text1"/>
          <w:szCs w:val="21"/>
        </w:rPr>
        <w:t>74</w:t>
      </w:r>
      <w:r w:rsidRPr="00234AC9">
        <w:rPr>
          <w:rFonts w:ascii="宋体" w:hAnsi="宋体" w:hint="eastAsia"/>
          <w:color w:val="000000" w:themeColor="text1"/>
          <w:szCs w:val="21"/>
        </w:rPr>
        <w:t>万元划转至公司基本户。</w:t>
      </w:r>
    </w:p>
    <w:p w14:paraId="3A6E7488" w14:textId="77777777" w:rsidR="00C81C0C" w:rsidRPr="00234AC9" w:rsidRDefault="00000000">
      <w:pPr>
        <w:snapToGrid w:val="0"/>
        <w:spacing w:line="360" w:lineRule="auto"/>
        <w:ind w:firstLineChars="200" w:firstLine="420"/>
        <w:rPr>
          <w:rFonts w:ascii="宋体" w:hAnsi="宋体" w:hint="eastAsia"/>
          <w:color w:val="000000" w:themeColor="text1"/>
          <w:szCs w:val="21"/>
        </w:rPr>
      </w:pPr>
      <w:r w:rsidRPr="00234AC9">
        <w:rPr>
          <w:rFonts w:ascii="宋体" w:hAnsi="宋体" w:hint="eastAsia"/>
          <w:color w:val="000000" w:themeColor="text1"/>
          <w:szCs w:val="21"/>
        </w:rPr>
        <w:t>公司变更</w:t>
      </w:r>
      <w:proofErr w:type="gramStart"/>
      <w:r w:rsidRPr="00234AC9">
        <w:rPr>
          <w:rFonts w:ascii="宋体" w:hAnsi="宋体" w:hint="eastAsia"/>
          <w:color w:val="000000" w:themeColor="text1"/>
          <w:szCs w:val="21"/>
        </w:rPr>
        <w:t>募投项目</w:t>
      </w:r>
      <w:proofErr w:type="gramEnd"/>
      <w:r w:rsidRPr="00234AC9">
        <w:rPr>
          <w:rFonts w:ascii="宋体" w:hAnsi="宋体" w:hint="eastAsia"/>
          <w:color w:val="000000" w:themeColor="text1"/>
          <w:szCs w:val="21"/>
        </w:rPr>
        <w:t>的资金使用情况详见附表2《变更募集资金投资项目情况表》。</w:t>
      </w:r>
    </w:p>
    <w:p w14:paraId="638E3254" w14:textId="77777777" w:rsidR="00C81C0C" w:rsidRPr="00234AC9" w:rsidRDefault="00C81C0C">
      <w:pPr>
        <w:snapToGrid w:val="0"/>
        <w:spacing w:line="360" w:lineRule="auto"/>
        <w:ind w:firstLineChars="200" w:firstLine="420"/>
        <w:rPr>
          <w:rFonts w:ascii="宋体" w:hAnsi="宋体" w:hint="eastAsia"/>
          <w:color w:val="000000" w:themeColor="text1"/>
          <w:szCs w:val="21"/>
        </w:rPr>
      </w:pPr>
    </w:p>
    <w:p w14:paraId="4B38887C" w14:textId="77777777" w:rsidR="00C81C0C" w:rsidRPr="00234AC9" w:rsidRDefault="00000000">
      <w:pPr>
        <w:snapToGrid w:val="0"/>
        <w:spacing w:line="360" w:lineRule="auto"/>
        <w:ind w:firstLineChars="200" w:firstLine="422"/>
        <w:rPr>
          <w:rFonts w:ascii="宋体" w:hAnsi="宋体" w:hint="eastAsia"/>
          <w:b/>
          <w:color w:val="000000" w:themeColor="text1"/>
          <w:szCs w:val="21"/>
        </w:rPr>
      </w:pPr>
      <w:r w:rsidRPr="00234AC9">
        <w:rPr>
          <w:rFonts w:ascii="宋体" w:hAnsi="宋体"/>
          <w:b/>
          <w:color w:val="000000" w:themeColor="text1"/>
          <w:szCs w:val="21"/>
        </w:rPr>
        <w:t>五、募集资金使用及披露中存在的问题</w:t>
      </w:r>
    </w:p>
    <w:p w14:paraId="4B38887D" w14:textId="77777777" w:rsidR="00C81C0C" w:rsidRPr="00234AC9" w:rsidRDefault="00000000">
      <w:pPr>
        <w:snapToGrid w:val="0"/>
        <w:spacing w:line="360" w:lineRule="auto"/>
        <w:ind w:firstLineChars="200" w:firstLine="420"/>
        <w:rPr>
          <w:rFonts w:ascii="宋体" w:hAnsi="宋体" w:hint="eastAsia"/>
          <w:color w:val="000000" w:themeColor="text1"/>
          <w:szCs w:val="21"/>
        </w:rPr>
      </w:pPr>
      <w:r w:rsidRPr="00234AC9">
        <w:rPr>
          <w:rFonts w:ascii="宋体" w:hAnsi="宋体"/>
          <w:color w:val="000000" w:themeColor="text1"/>
          <w:szCs w:val="21"/>
        </w:rPr>
        <w:t>本公司已披</w:t>
      </w:r>
      <w:r w:rsidRPr="00234AC9">
        <w:rPr>
          <w:rFonts w:ascii="宋体" w:hAnsi="宋体" w:hint="eastAsia"/>
          <w:color w:val="000000" w:themeColor="text1"/>
          <w:szCs w:val="21"/>
        </w:rPr>
        <w:t>露</w:t>
      </w:r>
      <w:r w:rsidRPr="00234AC9">
        <w:rPr>
          <w:rFonts w:ascii="宋体" w:hAnsi="宋体"/>
          <w:color w:val="000000" w:themeColor="text1"/>
          <w:szCs w:val="21"/>
        </w:rPr>
        <w:t>的</w:t>
      </w:r>
      <w:r w:rsidRPr="00234AC9">
        <w:rPr>
          <w:rFonts w:ascii="宋体" w:hAnsi="宋体" w:hint="eastAsia"/>
          <w:color w:val="000000" w:themeColor="text1"/>
          <w:szCs w:val="21"/>
        </w:rPr>
        <w:t>关</w:t>
      </w:r>
      <w:r w:rsidRPr="00234AC9">
        <w:rPr>
          <w:rFonts w:ascii="宋体" w:hAnsi="宋体"/>
          <w:color w:val="000000" w:themeColor="text1"/>
          <w:szCs w:val="21"/>
        </w:rPr>
        <w:t>于募集资金使用</w:t>
      </w:r>
      <w:r w:rsidRPr="00234AC9">
        <w:rPr>
          <w:rFonts w:ascii="宋体" w:hAnsi="宋体" w:hint="eastAsia"/>
          <w:color w:val="000000" w:themeColor="text1"/>
          <w:szCs w:val="21"/>
        </w:rPr>
        <w:t>相</w:t>
      </w:r>
      <w:r w:rsidRPr="00234AC9">
        <w:rPr>
          <w:rFonts w:ascii="宋体" w:hAnsi="宋体"/>
          <w:color w:val="000000" w:themeColor="text1"/>
          <w:szCs w:val="21"/>
        </w:rPr>
        <w:t>关信息及时、真实、准确、完整</w:t>
      </w:r>
      <w:r w:rsidRPr="00234AC9">
        <w:rPr>
          <w:rFonts w:ascii="宋体" w:hAnsi="宋体" w:hint="eastAsia"/>
          <w:color w:val="000000" w:themeColor="text1"/>
          <w:szCs w:val="21"/>
        </w:rPr>
        <w:t>，</w:t>
      </w:r>
      <w:r w:rsidRPr="00234AC9">
        <w:rPr>
          <w:rFonts w:ascii="宋体" w:hAnsi="宋体"/>
          <w:color w:val="000000" w:themeColor="text1"/>
          <w:szCs w:val="21"/>
        </w:rPr>
        <w:t>募集资金</w:t>
      </w:r>
      <w:r w:rsidRPr="00234AC9">
        <w:rPr>
          <w:rFonts w:ascii="宋体" w:hAnsi="宋体" w:hint="eastAsia"/>
          <w:color w:val="000000" w:themeColor="text1"/>
          <w:szCs w:val="21"/>
        </w:rPr>
        <w:t>的使用</w:t>
      </w:r>
      <w:r w:rsidRPr="00234AC9">
        <w:rPr>
          <w:rFonts w:ascii="宋体" w:hAnsi="宋体"/>
          <w:color w:val="000000" w:themeColor="text1"/>
          <w:szCs w:val="21"/>
        </w:rPr>
        <w:t>和管理</w:t>
      </w:r>
      <w:r w:rsidRPr="00234AC9">
        <w:rPr>
          <w:rFonts w:ascii="宋体" w:hAnsi="宋体" w:hint="eastAsia"/>
          <w:color w:val="000000" w:themeColor="text1"/>
          <w:szCs w:val="21"/>
        </w:rPr>
        <w:t>不</w:t>
      </w:r>
      <w:r w:rsidRPr="00234AC9">
        <w:rPr>
          <w:rFonts w:ascii="宋体" w:hAnsi="宋体"/>
          <w:color w:val="000000" w:themeColor="text1"/>
          <w:szCs w:val="21"/>
        </w:rPr>
        <w:t>存在违规情况。</w:t>
      </w:r>
    </w:p>
    <w:p w14:paraId="4B388881" w14:textId="77777777" w:rsidR="00C81C0C" w:rsidRPr="00234AC9" w:rsidRDefault="00C81C0C">
      <w:pPr>
        <w:snapToGrid w:val="0"/>
        <w:spacing w:line="360" w:lineRule="auto"/>
        <w:rPr>
          <w:rFonts w:ascii="宋体" w:hAnsi="宋体" w:hint="eastAsia"/>
          <w:color w:val="000000" w:themeColor="text1"/>
          <w:szCs w:val="21"/>
        </w:rPr>
      </w:pPr>
    </w:p>
    <w:p w14:paraId="4B388882" w14:textId="77777777" w:rsidR="00C81C0C" w:rsidRPr="00234AC9" w:rsidRDefault="00C81C0C">
      <w:pPr>
        <w:snapToGrid w:val="0"/>
        <w:spacing w:line="360" w:lineRule="auto"/>
        <w:rPr>
          <w:rFonts w:ascii="宋体" w:hAnsi="宋体" w:hint="eastAsia"/>
          <w:color w:val="000000" w:themeColor="text1"/>
          <w:szCs w:val="21"/>
        </w:rPr>
      </w:pPr>
    </w:p>
    <w:p w14:paraId="4B388883" w14:textId="77777777" w:rsidR="00C81C0C" w:rsidRPr="00234AC9" w:rsidRDefault="00C81C0C" w:rsidP="00C758E4">
      <w:pPr>
        <w:snapToGrid w:val="0"/>
        <w:spacing w:line="360" w:lineRule="auto"/>
        <w:jc w:val="right"/>
        <w:rPr>
          <w:rFonts w:ascii="宋体" w:hAnsi="宋体" w:hint="eastAsia"/>
          <w:color w:val="000000" w:themeColor="text1"/>
          <w:szCs w:val="21"/>
        </w:rPr>
      </w:pPr>
    </w:p>
    <w:p w14:paraId="31A04C1E" w14:textId="77777777" w:rsidR="00C758E4" w:rsidRPr="00C758E4" w:rsidRDefault="00000000" w:rsidP="00C758E4">
      <w:pPr>
        <w:snapToGrid w:val="0"/>
        <w:spacing w:line="360" w:lineRule="auto"/>
        <w:ind w:right="420"/>
        <w:jc w:val="right"/>
        <w:rPr>
          <w:b/>
          <w:bCs/>
          <w:color w:val="000000" w:themeColor="text1"/>
          <w:szCs w:val="21"/>
        </w:rPr>
      </w:pPr>
      <w:r w:rsidRPr="00234AC9">
        <w:rPr>
          <w:rFonts w:ascii="宋体" w:hAnsi="宋体" w:hint="eastAsia"/>
          <w:color w:val="000000" w:themeColor="text1"/>
          <w:szCs w:val="21"/>
        </w:rPr>
        <w:t xml:space="preserve">                             </w:t>
      </w:r>
      <w:r w:rsidRPr="00C758E4">
        <w:rPr>
          <w:rFonts w:hint="eastAsia"/>
          <w:b/>
          <w:bCs/>
          <w:color w:val="000000" w:themeColor="text1"/>
          <w:szCs w:val="21"/>
        </w:rPr>
        <w:t>福建广生堂药业股份有限公司</w:t>
      </w:r>
    </w:p>
    <w:p w14:paraId="4B388884" w14:textId="5E40D6D5" w:rsidR="00C81C0C" w:rsidRPr="00C758E4" w:rsidRDefault="00C758E4" w:rsidP="00C758E4">
      <w:pPr>
        <w:snapToGrid w:val="0"/>
        <w:spacing w:line="360" w:lineRule="auto"/>
        <w:ind w:right="1264"/>
        <w:jc w:val="center"/>
        <w:rPr>
          <w:b/>
          <w:bCs/>
          <w:color w:val="000000" w:themeColor="text1"/>
          <w:szCs w:val="21"/>
        </w:rPr>
      </w:pPr>
      <w:r>
        <w:rPr>
          <w:rFonts w:hint="eastAsia"/>
          <w:b/>
          <w:bCs/>
          <w:color w:val="000000" w:themeColor="text1"/>
          <w:szCs w:val="21"/>
        </w:rPr>
        <w:t xml:space="preserve">                                                        </w:t>
      </w:r>
      <w:r w:rsidRPr="00C758E4">
        <w:rPr>
          <w:rFonts w:hint="eastAsia"/>
          <w:b/>
          <w:bCs/>
          <w:color w:val="000000" w:themeColor="text1"/>
          <w:szCs w:val="21"/>
        </w:rPr>
        <w:t>（盖章）</w:t>
      </w:r>
    </w:p>
    <w:p w14:paraId="072A9425" w14:textId="77777777" w:rsidR="00C81C0C" w:rsidRPr="00C758E4" w:rsidRDefault="00000000" w:rsidP="00C758E4">
      <w:pPr>
        <w:snapToGrid w:val="0"/>
        <w:spacing w:line="360" w:lineRule="auto"/>
        <w:ind w:right="842"/>
        <w:jc w:val="right"/>
        <w:rPr>
          <w:b/>
          <w:bCs/>
          <w:color w:val="000000" w:themeColor="text1"/>
          <w:szCs w:val="21"/>
        </w:rPr>
      </w:pPr>
      <w:r w:rsidRPr="00C758E4">
        <w:rPr>
          <w:rFonts w:hint="eastAsia"/>
          <w:b/>
          <w:bCs/>
          <w:color w:val="000000" w:themeColor="text1"/>
          <w:szCs w:val="21"/>
        </w:rPr>
        <w:t>二〇二五年四月十六日</w:t>
      </w:r>
    </w:p>
    <w:p w14:paraId="23ED0991" w14:textId="77777777" w:rsidR="00C758E4" w:rsidRDefault="00C758E4" w:rsidP="00C758E4">
      <w:pPr>
        <w:tabs>
          <w:tab w:val="left" w:pos="4253"/>
          <w:tab w:val="left" w:pos="4678"/>
        </w:tabs>
        <w:snapToGrid w:val="0"/>
        <w:spacing w:line="360" w:lineRule="auto"/>
        <w:ind w:rightChars="800" w:right="1680"/>
        <w:rPr>
          <w:rFonts w:ascii="宋体" w:hAnsi="宋体" w:hint="eastAsia"/>
          <w:b/>
          <w:bCs/>
          <w:color w:val="000000" w:themeColor="text1"/>
          <w:szCs w:val="21"/>
        </w:rPr>
      </w:pPr>
    </w:p>
    <w:p w14:paraId="3D255EB4" w14:textId="3EF9EAD4" w:rsidR="00C758E4" w:rsidRPr="00C758E4" w:rsidRDefault="00C758E4" w:rsidP="00C758E4">
      <w:pPr>
        <w:tabs>
          <w:tab w:val="left" w:pos="4253"/>
          <w:tab w:val="left" w:pos="4678"/>
        </w:tabs>
        <w:snapToGrid w:val="0"/>
        <w:spacing w:line="360" w:lineRule="auto"/>
        <w:ind w:rightChars="800" w:right="1680"/>
        <w:rPr>
          <w:rFonts w:ascii="宋体" w:hAnsi="宋体" w:hint="eastAsia"/>
          <w:b/>
          <w:bCs/>
          <w:color w:val="000000" w:themeColor="text1"/>
          <w:szCs w:val="21"/>
        </w:rPr>
        <w:sectPr w:rsidR="00C758E4" w:rsidRPr="00C758E4" w:rsidSect="00040FB7">
          <w:headerReference w:type="default" r:id="rId17"/>
          <w:footerReference w:type="default" r:id="rId18"/>
          <w:footerReference w:type="first" r:id="rId19"/>
          <w:pgSz w:w="11907" w:h="16840"/>
          <w:pgMar w:top="2155" w:right="1797" w:bottom="1440" w:left="1797" w:header="851" w:footer="992" w:gutter="0"/>
          <w:pgNumType w:start="1"/>
          <w:cols w:space="720"/>
          <w:docGrid w:linePitch="435"/>
        </w:sectPr>
      </w:pPr>
    </w:p>
    <w:p w14:paraId="4B388886" w14:textId="18FA4F20" w:rsidR="00C81C0C" w:rsidRPr="00234AC9" w:rsidRDefault="00000000">
      <w:pPr>
        <w:tabs>
          <w:tab w:val="left" w:pos="4253"/>
          <w:tab w:val="left" w:pos="4678"/>
        </w:tabs>
        <w:snapToGrid w:val="0"/>
        <w:spacing w:line="360" w:lineRule="auto"/>
        <w:ind w:right="630"/>
        <w:jc w:val="left"/>
        <w:rPr>
          <w:rFonts w:ascii="宋体" w:hAnsi="宋体" w:hint="eastAsia"/>
          <w:b/>
          <w:color w:val="000000" w:themeColor="text1"/>
          <w:szCs w:val="21"/>
        </w:rPr>
      </w:pPr>
      <w:r w:rsidRPr="00234AC9">
        <w:rPr>
          <w:rFonts w:ascii="宋体" w:hAnsi="宋体" w:hint="eastAsia"/>
          <w:b/>
          <w:color w:val="000000" w:themeColor="text1"/>
          <w:szCs w:val="21"/>
        </w:rPr>
        <w:lastRenderedPageBreak/>
        <w:t>附表</w:t>
      </w:r>
      <w:r w:rsidR="005E4A2B">
        <w:rPr>
          <w:rFonts w:ascii="宋体" w:hAnsi="宋体" w:hint="eastAsia"/>
          <w:b/>
          <w:color w:val="000000" w:themeColor="text1"/>
          <w:szCs w:val="21"/>
        </w:rPr>
        <w:t>1</w:t>
      </w:r>
    </w:p>
    <w:p w14:paraId="4B388887" w14:textId="77777777" w:rsidR="00C81C0C" w:rsidRPr="00234AC9" w:rsidRDefault="00000000">
      <w:pPr>
        <w:snapToGrid w:val="0"/>
        <w:spacing w:line="360" w:lineRule="auto"/>
        <w:jc w:val="center"/>
        <w:rPr>
          <w:rFonts w:ascii="宋体" w:hAnsi="宋体" w:hint="eastAsia"/>
          <w:b/>
          <w:color w:val="000000" w:themeColor="text1"/>
          <w:sz w:val="30"/>
          <w:szCs w:val="30"/>
        </w:rPr>
      </w:pPr>
      <w:r w:rsidRPr="00234AC9">
        <w:rPr>
          <w:rFonts w:ascii="宋体" w:hAnsi="宋体" w:hint="eastAsia"/>
          <w:b/>
          <w:color w:val="000000" w:themeColor="text1"/>
          <w:sz w:val="30"/>
          <w:szCs w:val="30"/>
        </w:rPr>
        <w:t>募集资金使用情况对照表</w:t>
      </w:r>
    </w:p>
    <w:p w14:paraId="4B388888" w14:textId="6E451D2B" w:rsidR="00C81C0C" w:rsidRDefault="00000000">
      <w:pPr>
        <w:snapToGrid w:val="0"/>
        <w:spacing w:line="360" w:lineRule="auto"/>
        <w:jc w:val="left"/>
        <w:rPr>
          <w:rFonts w:ascii="Arial Narrow" w:hAnsi="Arial Narrow" w:cs="Arial"/>
          <w:color w:val="000000" w:themeColor="text1"/>
          <w:kern w:val="0"/>
        </w:rPr>
      </w:pPr>
      <w:r w:rsidRPr="00234AC9">
        <w:rPr>
          <w:rFonts w:ascii="宋体" w:hAnsi="宋体" w:hint="eastAsia"/>
          <w:color w:val="000000" w:themeColor="text1"/>
          <w:szCs w:val="21"/>
        </w:rPr>
        <w:t>编制单位：</w:t>
      </w:r>
      <w:r w:rsidRPr="00234AC9">
        <w:rPr>
          <w:rFonts w:ascii="Arial Narrow" w:hAnsi="Arial Narrow" w:cs="Arial" w:hint="eastAsia"/>
          <w:color w:val="000000" w:themeColor="text1"/>
          <w:kern w:val="0"/>
        </w:rPr>
        <w:t>福建广生堂药业股份有限公司</w:t>
      </w:r>
    </w:p>
    <w:p w14:paraId="4B388889" w14:textId="3DBC1CC5" w:rsidR="00C81C0C" w:rsidRPr="00234AC9" w:rsidRDefault="00000000" w:rsidP="00AA34D4">
      <w:pPr>
        <w:snapToGrid w:val="0"/>
        <w:ind w:rightChars="-84" w:right="-176"/>
        <w:jc w:val="right"/>
        <w:rPr>
          <w:rFonts w:ascii="宋体" w:hAnsi="宋体" w:hint="eastAsia"/>
          <w:color w:val="000000" w:themeColor="text1"/>
          <w:szCs w:val="21"/>
        </w:rPr>
      </w:pPr>
      <w:r w:rsidRPr="00234AC9">
        <w:rPr>
          <w:rFonts w:ascii="宋体" w:hAnsi="宋体" w:hint="eastAsia"/>
          <w:color w:val="000000" w:themeColor="text1"/>
          <w:szCs w:val="21"/>
        </w:rPr>
        <w:t>金额单位：人民币万元</w:t>
      </w:r>
    </w:p>
    <w:tbl>
      <w:tblPr>
        <w:tblW w:w="14060" w:type="dxa"/>
        <w:tblBorders>
          <w:top w:val="single" w:sz="12" w:space="0" w:color="auto"/>
          <w:bottom w:val="single" w:sz="12" w:space="0" w:color="auto"/>
          <w:insideH w:val="dotted" w:sz="4" w:space="0" w:color="auto"/>
          <w:insideV w:val="dotted" w:sz="4" w:space="0" w:color="auto"/>
        </w:tblBorders>
        <w:tblLayout w:type="fixed"/>
        <w:tblCellMar>
          <w:left w:w="28" w:type="dxa"/>
          <w:right w:w="28" w:type="dxa"/>
        </w:tblCellMar>
        <w:tblLook w:val="04A0" w:firstRow="1" w:lastRow="0" w:firstColumn="1" w:lastColumn="0" w:noHBand="0" w:noVBand="1"/>
      </w:tblPr>
      <w:tblGrid>
        <w:gridCol w:w="2835"/>
        <w:gridCol w:w="1021"/>
        <w:gridCol w:w="1133"/>
        <w:gridCol w:w="1248"/>
        <w:gridCol w:w="1162"/>
        <w:gridCol w:w="1133"/>
        <w:gridCol w:w="1136"/>
        <w:gridCol w:w="737"/>
        <w:gridCol w:w="396"/>
        <w:gridCol w:w="1274"/>
        <w:gridCol w:w="863"/>
        <w:gridCol w:w="1122"/>
      </w:tblGrid>
      <w:tr w:rsidR="00234AC9" w:rsidRPr="00234AC9" w14:paraId="4B38888E" w14:textId="77777777">
        <w:trPr>
          <w:trHeight w:val="340"/>
        </w:trPr>
        <w:tc>
          <w:tcPr>
            <w:tcW w:w="3856" w:type="dxa"/>
            <w:gridSpan w:val="2"/>
            <w:vAlign w:val="center"/>
          </w:tcPr>
          <w:p w14:paraId="4B38888A"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募集资金总额</w:t>
            </w:r>
          </w:p>
        </w:tc>
        <w:tc>
          <w:tcPr>
            <w:tcW w:w="3543" w:type="dxa"/>
            <w:gridSpan w:val="3"/>
            <w:vAlign w:val="center"/>
          </w:tcPr>
          <w:p w14:paraId="4B38888B" w14:textId="77777777" w:rsidR="00C81C0C" w:rsidRPr="00234AC9" w:rsidRDefault="00000000">
            <w:pPr>
              <w:widowControl/>
              <w:snapToGrid w:val="0"/>
              <w:ind w:rightChars="100" w:right="210"/>
              <w:jc w:val="right"/>
              <w:rPr>
                <w:rFonts w:ascii="宋体" w:hAnsi="宋体" w:cs="宋体" w:hint="eastAsia"/>
                <w:color w:val="000000" w:themeColor="text1"/>
                <w:kern w:val="0"/>
                <w:sz w:val="18"/>
                <w:szCs w:val="18"/>
              </w:rPr>
            </w:pPr>
            <w:r w:rsidRPr="00234AC9">
              <w:rPr>
                <w:rFonts w:ascii="宋体" w:hAnsi="宋体" w:cs="宋体"/>
                <w:color w:val="000000" w:themeColor="text1"/>
                <w:kern w:val="0"/>
                <w:sz w:val="18"/>
                <w:szCs w:val="18"/>
              </w:rPr>
              <w:t>49,958.41</w:t>
            </w:r>
            <w:r w:rsidRPr="00234AC9">
              <w:rPr>
                <w:rFonts w:ascii="宋体" w:hAnsi="宋体" w:cs="宋体"/>
                <w:color w:val="000000" w:themeColor="text1"/>
                <w:kern w:val="0"/>
                <w:sz w:val="18"/>
                <w:szCs w:val="18"/>
              </w:rPr>
              <w:tab/>
            </w:r>
            <w:r w:rsidRPr="00234AC9">
              <w:rPr>
                <w:rFonts w:ascii="宋体" w:hAnsi="宋体" w:cs="宋体"/>
                <w:color w:val="000000" w:themeColor="text1"/>
                <w:kern w:val="0"/>
                <w:sz w:val="18"/>
                <w:szCs w:val="18"/>
              </w:rPr>
              <w:tab/>
            </w:r>
          </w:p>
        </w:tc>
        <w:tc>
          <w:tcPr>
            <w:tcW w:w="3006" w:type="dxa"/>
            <w:gridSpan w:val="3"/>
            <w:vAlign w:val="center"/>
          </w:tcPr>
          <w:p w14:paraId="4B38888C"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本年度投入募集资金总额</w:t>
            </w:r>
          </w:p>
        </w:tc>
        <w:tc>
          <w:tcPr>
            <w:tcW w:w="3655" w:type="dxa"/>
            <w:gridSpan w:val="4"/>
            <w:shd w:val="clear" w:color="auto" w:fill="auto"/>
            <w:vAlign w:val="center"/>
          </w:tcPr>
          <w:p w14:paraId="4B38888D" w14:textId="77777777" w:rsidR="00C81C0C" w:rsidRPr="00234AC9" w:rsidRDefault="00000000">
            <w:pPr>
              <w:widowControl/>
              <w:snapToGrid w:val="0"/>
              <w:ind w:rightChars="100" w:right="210"/>
              <w:jc w:val="right"/>
              <w:rPr>
                <w:rFonts w:ascii="宋体" w:hAnsi="宋体" w:cs="宋体" w:hint="eastAsia"/>
                <w:color w:val="000000" w:themeColor="text1"/>
                <w:kern w:val="0"/>
                <w:sz w:val="18"/>
                <w:szCs w:val="18"/>
              </w:rPr>
            </w:pPr>
            <w:r w:rsidRPr="00234AC9">
              <w:rPr>
                <w:rFonts w:ascii="宋体" w:hAnsi="宋体" w:cs="宋体"/>
                <w:color w:val="000000" w:themeColor="text1"/>
                <w:kern w:val="0"/>
                <w:sz w:val="18"/>
                <w:szCs w:val="18"/>
              </w:rPr>
              <w:t>12,767.72</w:t>
            </w:r>
          </w:p>
        </w:tc>
      </w:tr>
      <w:tr w:rsidR="00234AC9" w:rsidRPr="00234AC9" w14:paraId="4B388893" w14:textId="77777777">
        <w:trPr>
          <w:trHeight w:val="340"/>
        </w:trPr>
        <w:tc>
          <w:tcPr>
            <w:tcW w:w="3856" w:type="dxa"/>
            <w:gridSpan w:val="2"/>
            <w:vAlign w:val="center"/>
          </w:tcPr>
          <w:p w14:paraId="4B38888F"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报告期内变更用途的募集资金总额</w:t>
            </w:r>
          </w:p>
        </w:tc>
        <w:tc>
          <w:tcPr>
            <w:tcW w:w="3543" w:type="dxa"/>
            <w:gridSpan w:val="3"/>
            <w:vAlign w:val="center"/>
          </w:tcPr>
          <w:p w14:paraId="4B388890" w14:textId="77777777" w:rsidR="00C81C0C" w:rsidRPr="00234AC9" w:rsidRDefault="00000000">
            <w:pPr>
              <w:widowControl/>
              <w:snapToGrid w:val="0"/>
              <w:ind w:rightChars="100" w:right="210"/>
              <w:jc w:val="right"/>
              <w:rPr>
                <w:rFonts w:ascii="宋体" w:hAnsi="宋体" w:cs="宋体" w:hint="eastAsia"/>
                <w:color w:val="000000" w:themeColor="text1"/>
                <w:kern w:val="0"/>
                <w:sz w:val="18"/>
                <w:szCs w:val="18"/>
              </w:rPr>
            </w:pPr>
            <w:r w:rsidRPr="00234AC9">
              <w:rPr>
                <w:rFonts w:ascii="宋体" w:hAnsi="宋体" w:cs="宋体"/>
                <w:color w:val="000000" w:themeColor="text1"/>
                <w:kern w:val="0"/>
                <w:sz w:val="18"/>
                <w:szCs w:val="18"/>
              </w:rPr>
              <w:t>8,510.52</w:t>
            </w:r>
          </w:p>
        </w:tc>
        <w:tc>
          <w:tcPr>
            <w:tcW w:w="3006" w:type="dxa"/>
            <w:gridSpan w:val="3"/>
            <w:vMerge w:val="restart"/>
            <w:vAlign w:val="center"/>
          </w:tcPr>
          <w:p w14:paraId="4B388891"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已累计投入募集资金总额</w:t>
            </w:r>
          </w:p>
        </w:tc>
        <w:tc>
          <w:tcPr>
            <w:tcW w:w="3655" w:type="dxa"/>
            <w:gridSpan w:val="4"/>
            <w:vMerge w:val="restart"/>
            <w:shd w:val="clear" w:color="auto" w:fill="auto"/>
            <w:vAlign w:val="center"/>
          </w:tcPr>
          <w:p w14:paraId="4B388892" w14:textId="77777777" w:rsidR="00C81C0C" w:rsidRPr="00234AC9" w:rsidRDefault="00000000">
            <w:pPr>
              <w:widowControl/>
              <w:snapToGrid w:val="0"/>
              <w:ind w:rightChars="100" w:right="210"/>
              <w:jc w:val="right"/>
              <w:rPr>
                <w:rFonts w:ascii="宋体" w:hAnsi="宋体" w:cs="宋体" w:hint="eastAsia"/>
                <w:color w:val="000000" w:themeColor="text1"/>
                <w:kern w:val="0"/>
                <w:sz w:val="18"/>
                <w:szCs w:val="18"/>
              </w:rPr>
            </w:pPr>
            <w:r w:rsidRPr="00234AC9">
              <w:rPr>
                <w:rFonts w:ascii="宋体" w:hAnsi="宋体" w:cs="宋体"/>
                <w:color w:val="000000" w:themeColor="text1"/>
                <w:kern w:val="0"/>
                <w:sz w:val="18"/>
                <w:szCs w:val="18"/>
              </w:rPr>
              <w:t xml:space="preserve">50,787.21 </w:t>
            </w:r>
          </w:p>
        </w:tc>
      </w:tr>
      <w:tr w:rsidR="00234AC9" w:rsidRPr="00234AC9" w14:paraId="4B388898" w14:textId="77777777">
        <w:trPr>
          <w:trHeight w:val="340"/>
        </w:trPr>
        <w:tc>
          <w:tcPr>
            <w:tcW w:w="3856" w:type="dxa"/>
            <w:gridSpan w:val="2"/>
            <w:vAlign w:val="center"/>
          </w:tcPr>
          <w:p w14:paraId="4B388894"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累计变更用途的募集资金总额</w:t>
            </w:r>
          </w:p>
        </w:tc>
        <w:tc>
          <w:tcPr>
            <w:tcW w:w="3543" w:type="dxa"/>
            <w:gridSpan w:val="3"/>
            <w:vAlign w:val="center"/>
          </w:tcPr>
          <w:p w14:paraId="4B388895" w14:textId="77777777" w:rsidR="00C81C0C" w:rsidRPr="00234AC9" w:rsidRDefault="00000000">
            <w:pPr>
              <w:widowControl/>
              <w:snapToGrid w:val="0"/>
              <w:ind w:rightChars="100" w:right="210"/>
              <w:jc w:val="right"/>
              <w:rPr>
                <w:rFonts w:ascii="宋体" w:hAnsi="宋体" w:cs="宋体" w:hint="eastAsia"/>
                <w:color w:val="000000" w:themeColor="text1"/>
                <w:kern w:val="0"/>
                <w:sz w:val="18"/>
                <w:szCs w:val="18"/>
              </w:rPr>
            </w:pPr>
            <w:r w:rsidRPr="00234AC9">
              <w:rPr>
                <w:rFonts w:ascii="宋体" w:hAnsi="宋体" w:cs="宋体"/>
                <w:color w:val="000000" w:themeColor="text1"/>
                <w:kern w:val="0"/>
                <w:sz w:val="18"/>
                <w:szCs w:val="18"/>
              </w:rPr>
              <w:t>8</w:t>
            </w:r>
            <w:r w:rsidRPr="00234AC9">
              <w:rPr>
                <w:rFonts w:ascii="宋体" w:hAnsi="宋体" w:cs="宋体" w:hint="eastAsia"/>
                <w:color w:val="000000" w:themeColor="text1"/>
                <w:kern w:val="0"/>
                <w:sz w:val="18"/>
                <w:szCs w:val="18"/>
              </w:rPr>
              <w:t>,</w:t>
            </w:r>
            <w:r w:rsidRPr="00234AC9">
              <w:rPr>
                <w:rFonts w:ascii="宋体" w:hAnsi="宋体" w:cs="宋体"/>
                <w:color w:val="000000" w:themeColor="text1"/>
                <w:kern w:val="0"/>
                <w:sz w:val="18"/>
                <w:szCs w:val="18"/>
              </w:rPr>
              <w:t>510.52</w:t>
            </w:r>
          </w:p>
        </w:tc>
        <w:tc>
          <w:tcPr>
            <w:tcW w:w="3006" w:type="dxa"/>
            <w:gridSpan w:val="3"/>
            <w:vMerge/>
            <w:vAlign w:val="center"/>
          </w:tcPr>
          <w:p w14:paraId="4B388896" w14:textId="77777777" w:rsidR="00C81C0C" w:rsidRPr="00234AC9" w:rsidRDefault="00C81C0C">
            <w:pPr>
              <w:widowControl/>
              <w:snapToGrid w:val="0"/>
              <w:jc w:val="left"/>
              <w:rPr>
                <w:rFonts w:ascii="宋体" w:hAnsi="宋体" w:cs="宋体" w:hint="eastAsia"/>
                <w:color w:val="000000" w:themeColor="text1"/>
                <w:kern w:val="0"/>
                <w:sz w:val="18"/>
                <w:szCs w:val="18"/>
              </w:rPr>
            </w:pPr>
          </w:p>
        </w:tc>
        <w:tc>
          <w:tcPr>
            <w:tcW w:w="3655" w:type="dxa"/>
            <w:gridSpan w:val="4"/>
            <w:vMerge/>
            <w:vAlign w:val="center"/>
          </w:tcPr>
          <w:p w14:paraId="4B388897" w14:textId="77777777" w:rsidR="00C81C0C" w:rsidRPr="00234AC9" w:rsidRDefault="00C81C0C">
            <w:pPr>
              <w:widowControl/>
              <w:snapToGrid w:val="0"/>
              <w:ind w:rightChars="100" w:right="210"/>
              <w:jc w:val="right"/>
              <w:rPr>
                <w:rFonts w:ascii="宋体" w:hAnsi="宋体" w:cs="宋体" w:hint="eastAsia"/>
                <w:color w:val="000000" w:themeColor="text1"/>
                <w:kern w:val="0"/>
                <w:sz w:val="18"/>
                <w:szCs w:val="18"/>
              </w:rPr>
            </w:pPr>
          </w:p>
        </w:tc>
      </w:tr>
      <w:tr w:rsidR="00234AC9" w:rsidRPr="00234AC9" w14:paraId="4B38889D" w14:textId="77777777">
        <w:trPr>
          <w:trHeight w:val="340"/>
        </w:trPr>
        <w:tc>
          <w:tcPr>
            <w:tcW w:w="3856" w:type="dxa"/>
            <w:gridSpan w:val="2"/>
            <w:vAlign w:val="center"/>
          </w:tcPr>
          <w:p w14:paraId="4B388899"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累计变更用途的募集资金总额比例</w:t>
            </w:r>
          </w:p>
        </w:tc>
        <w:tc>
          <w:tcPr>
            <w:tcW w:w="3543" w:type="dxa"/>
            <w:gridSpan w:val="3"/>
            <w:vAlign w:val="center"/>
          </w:tcPr>
          <w:p w14:paraId="4B38889A" w14:textId="77777777" w:rsidR="00C81C0C" w:rsidRPr="00234AC9" w:rsidRDefault="00000000">
            <w:pPr>
              <w:widowControl/>
              <w:snapToGrid w:val="0"/>
              <w:ind w:rightChars="100" w:right="210"/>
              <w:jc w:val="right"/>
              <w:rPr>
                <w:rFonts w:ascii="宋体" w:hAnsi="宋体" w:cs="宋体" w:hint="eastAsia"/>
                <w:color w:val="000000" w:themeColor="text1"/>
                <w:kern w:val="0"/>
                <w:sz w:val="18"/>
                <w:szCs w:val="18"/>
              </w:rPr>
            </w:pPr>
            <w:r w:rsidRPr="00234AC9">
              <w:rPr>
                <w:rFonts w:ascii="宋体" w:hAnsi="宋体" w:cs="宋体"/>
                <w:color w:val="000000" w:themeColor="text1"/>
                <w:kern w:val="0"/>
                <w:sz w:val="18"/>
                <w:szCs w:val="18"/>
              </w:rPr>
              <w:t>17.04%</w:t>
            </w:r>
          </w:p>
        </w:tc>
        <w:tc>
          <w:tcPr>
            <w:tcW w:w="3006" w:type="dxa"/>
            <w:gridSpan w:val="3"/>
            <w:vMerge/>
            <w:vAlign w:val="center"/>
          </w:tcPr>
          <w:p w14:paraId="4B38889B" w14:textId="77777777" w:rsidR="00C81C0C" w:rsidRPr="00234AC9" w:rsidRDefault="00C81C0C">
            <w:pPr>
              <w:widowControl/>
              <w:snapToGrid w:val="0"/>
              <w:jc w:val="left"/>
              <w:rPr>
                <w:rFonts w:ascii="宋体" w:hAnsi="宋体" w:cs="宋体" w:hint="eastAsia"/>
                <w:color w:val="000000" w:themeColor="text1"/>
                <w:kern w:val="0"/>
                <w:sz w:val="18"/>
                <w:szCs w:val="18"/>
              </w:rPr>
            </w:pPr>
          </w:p>
        </w:tc>
        <w:tc>
          <w:tcPr>
            <w:tcW w:w="3655" w:type="dxa"/>
            <w:gridSpan w:val="4"/>
            <w:vMerge/>
            <w:vAlign w:val="center"/>
          </w:tcPr>
          <w:p w14:paraId="4B38889C" w14:textId="77777777" w:rsidR="00C81C0C" w:rsidRPr="00234AC9" w:rsidRDefault="00C81C0C">
            <w:pPr>
              <w:widowControl/>
              <w:snapToGrid w:val="0"/>
              <w:ind w:rightChars="100" w:right="210"/>
              <w:jc w:val="right"/>
              <w:rPr>
                <w:rFonts w:ascii="宋体" w:hAnsi="宋体" w:cs="宋体" w:hint="eastAsia"/>
                <w:color w:val="000000" w:themeColor="text1"/>
                <w:kern w:val="0"/>
                <w:sz w:val="18"/>
                <w:szCs w:val="18"/>
              </w:rPr>
            </w:pPr>
          </w:p>
        </w:tc>
      </w:tr>
      <w:tr w:rsidR="00234AC9" w:rsidRPr="00234AC9" w14:paraId="4B3888A9" w14:textId="77777777" w:rsidTr="006A3A3D">
        <w:tblPrEx>
          <w:tblCellMar>
            <w:left w:w="108" w:type="dxa"/>
            <w:right w:w="108" w:type="dxa"/>
          </w:tblCellMar>
        </w:tblPrEx>
        <w:trPr>
          <w:trHeight w:val="340"/>
        </w:trPr>
        <w:tc>
          <w:tcPr>
            <w:tcW w:w="2835" w:type="dxa"/>
            <w:vAlign w:val="center"/>
          </w:tcPr>
          <w:p w14:paraId="4B38889E"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承诺投资项目和超募资金投向</w:t>
            </w:r>
          </w:p>
        </w:tc>
        <w:tc>
          <w:tcPr>
            <w:tcW w:w="1021" w:type="dxa"/>
            <w:vAlign w:val="center"/>
          </w:tcPr>
          <w:p w14:paraId="4B38889F"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是否已变更项目（含部分变更）</w:t>
            </w:r>
          </w:p>
        </w:tc>
        <w:tc>
          <w:tcPr>
            <w:tcW w:w="1133" w:type="dxa"/>
            <w:vAlign w:val="center"/>
          </w:tcPr>
          <w:p w14:paraId="4B3888A0"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募集资金承诺投资总额</w:t>
            </w:r>
          </w:p>
        </w:tc>
        <w:tc>
          <w:tcPr>
            <w:tcW w:w="1248" w:type="dxa"/>
            <w:vAlign w:val="center"/>
          </w:tcPr>
          <w:p w14:paraId="4B3888A1"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调整后投资总额(1)</w:t>
            </w:r>
          </w:p>
        </w:tc>
        <w:tc>
          <w:tcPr>
            <w:tcW w:w="1162" w:type="dxa"/>
            <w:vAlign w:val="center"/>
          </w:tcPr>
          <w:p w14:paraId="4B3888A2"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本年度投入金额</w:t>
            </w:r>
          </w:p>
        </w:tc>
        <w:tc>
          <w:tcPr>
            <w:tcW w:w="1133" w:type="dxa"/>
            <w:vAlign w:val="center"/>
          </w:tcPr>
          <w:p w14:paraId="4B3888A3"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截至期末累计投入金额(2)</w:t>
            </w:r>
          </w:p>
        </w:tc>
        <w:tc>
          <w:tcPr>
            <w:tcW w:w="1136" w:type="dxa"/>
            <w:vAlign w:val="center"/>
          </w:tcPr>
          <w:p w14:paraId="4B3888A4" w14:textId="77777777" w:rsidR="00C81C0C" w:rsidRPr="00234AC9" w:rsidRDefault="00000000">
            <w:pPr>
              <w:widowControl/>
              <w:snapToGrid w:val="0"/>
              <w:ind w:leftChars="-50" w:left="-105" w:rightChars="-50" w:right="-105"/>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截至期末投资进度（%）(3)＝(2)/(1)</w:t>
            </w:r>
          </w:p>
        </w:tc>
        <w:tc>
          <w:tcPr>
            <w:tcW w:w="1133" w:type="dxa"/>
            <w:gridSpan w:val="2"/>
            <w:vAlign w:val="center"/>
          </w:tcPr>
          <w:p w14:paraId="4B3888A5" w14:textId="77777777" w:rsidR="00C81C0C" w:rsidRPr="00234AC9" w:rsidRDefault="00000000">
            <w:pPr>
              <w:widowControl/>
              <w:snapToGrid w:val="0"/>
              <w:ind w:rightChars="-41" w:right="-86"/>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项目达到预定可使用状态日期</w:t>
            </w:r>
          </w:p>
        </w:tc>
        <w:tc>
          <w:tcPr>
            <w:tcW w:w="1274" w:type="dxa"/>
            <w:vAlign w:val="center"/>
          </w:tcPr>
          <w:p w14:paraId="4B3888A6"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本年度实现的效益</w:t>
            </w:r>
          </w:p>
        </w:tc>
        <w:tc>
          <w:tcPr>
            <w:tcW w:w="863" w:type="dxa"/>
            <w:vAlign w:val="center"/>
          </w:tcPr>
          <w:p w14:paraId="4B3888A7" w14:textId="77777777" w:rsidR="00C81C0C" w:rsidRPr="00234AC9" w:rsidRDefault="00000000">
            <w:pPr>
              <w:widowControl/>
              <w:snapToGrid w:val="0"/>
              <w:ind w:rightChars="-47" w:right="-99"/>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是否达到预计效益</w:t>
            </w:r>
          </w:p>
        </w:tc>
        <w:tc>
          <w:tcPr>
            <w:tcW w:w="1122" w:type="dxa"/>
            <w:vAlign w:val="center"/>
          </w:tcPr>
          <w:p w14:paraId="4B3888A8" w14:textId="77777777" w:rsidR="00C81C0C" w:rsidRPr="00234AC9" w:rsidRDefault="00000000">
            <w:pPr>
              <w:widowControl/>
              <w:snapToGrid w:val="0"/>
              <w:ind w:rightChars="-36" w:right="-76"/>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项目可行性是否发生重大变化</w:t>
            </w:r>
          </w:p>
        </w:tc>
      </w:tr>
      <w:tr w:rsidR="00234AC9" w:rsidRPr="00234AC9" w14:paraId="4B3888AC" w14:textId="77777777" w:rsidTr="00AA34D4">
        <w:tblPrEx>
          <w:tblCellMar>
            <w:left w:w="108" w:type="dxa"/>
            <w:right w:w="108" w:type="dxa"/>
          </w:tblCellMar>
        </w:tblPrEx>
        <w:trPr>
          <w:trHeight w:val="340"/>
        </w:trPr>
        <w:tc>
          <w:tcPr>
            <w:tcW w:w="2835" w:type="dxa"/>
            <w:vAlign w:val="center"/>
          </w:tcPr>
          <w:p w14:paraId="4B3888AA"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承诺投资项目</w:t>
            </w:r>
          </w:p>
        </w:tc>
        <w:tc>
          <w:tcPr>
            <w:tcW w:w="11225" w:type="dxa"/>
            <w:gridSpan w:val="11"/>
            <w:vAlign w:val="center"/>
          </w:tcPr>
          <w:p w14:paraId="4B3888AB" w14:textId="77777777" w:rsidR="00C81C0C" w:rsidRPr="00234AC9" w:rsidRDefault="00C81C0C">
            <w:pPr>
              <w:widowControl/>
              <w:snapToGrid w:val="0"/>
              <w:jc w:val="center"/>
              <w:rPr>
                <w:rFonts w:ascii="宋体" w:hAnsi="宋体" w:cs="宋体" w:hint="eastAsia"/>
                <w:color w:val="000000" w:themeColor="text1"/>
                <w:kern w:val="0"/>
                <w:sz w:val="18"/>
                <w:szCs w:val="18"/>
              </w:rPr>
            </w:pPr>
          </w:p>
        </w:tc>
      </w:tr>
      <w:tr w:rsidR="00234AC9" w:rsidRPr="00234AC9" w14:paraId="4B3888B8" w14:textId="77777777" w:rsidTr="006A3A3D">
        <w:tblPrEx>
          <w:tblCellMar>
            <w:left w:w="108" w:type="dxa"/>
            <w:right w:w="108" w:type="dxa"/>
          </w:tblCellMar>
        </w:tblPrEx>
        <w:trPr>
          <w:trHeight w:val="340"/>
        </w:trPr>
        <w:tc>
          <w:tcPr>
            <w:tcW w:w="2835" w:type="dxa"/>
            <w:vAlign w:val="center"/>
          </w:tcPr>
          <w:p w14:paraId="4B3888AD"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1.原料药制剂一体化生产基地建设项目</w:t>
            </w:r>
          </w:p>
        </w:tc>
        <w:tc>
          <w:tcPr>
            <w:tcW w:w="1021" w:type="dxa"/>
            <w:vAlign w:val="center"/>
          </w:tcPr>
          <w:p w14:paraId="4B3888AE"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否</w:t>
            </w:r>
          </w:p>
        </w:tc>
        <w:tc>
          <w:tcPr>
            <w:tcW w:w="1133" w:type="dxa"/>
            <w:vAlign w:val="center"/>
          </w:tcPr>
          <w:p w14:paraId="4B3888AF"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26,500.00</w:t>
            </w:r>
          </w:p>
        </w:tc>
        <w:tc>
          <w:tcPr>
            <w:tcW w:w="1248" w:type="dxa"/>
            <w:vAlign w:val="center"/>
          </w:tcPr>
          <w:p w14:paraId="4B3888B0"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24,070.87</w:t>
            </w:r>
          </w:p>
        </w:tc>
        <w:tc>
          <w:tcPr>
            <w:tcW w:w="1162" w:type="dxa"/>
            <w:vAlign w:val="center"/>
          </w:tcPr>
          <w:p w14:paraId="4B3888B1"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455.46</w:t>
            </w:r>
          </w:p>
        </w:tc>
        <w:tc>
          <w:tcPr>
            <w:tcW w:w="1133" w:type="dxa"/>
            <w:vAlign w:val="center"/>
          </w:tcPr>
          <w:p w14:paraId="4B3888B2"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21,097.93</w:t>
            </w:r>
          </w:p>
        </w:tc>
        <w:tc>
          <w:tcPr>
            <w:tcW w:w="1136" w:type="dxa"/>
            <w:vAlign w:val="center"/>
          </w:tcPr>
          <w:p w14:paraId="4B3888B3"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87.65%</w:t>
            </w:r>
          </w:p>
        </w:tc>
        <w:tc>
          <w:tcPr>
            <w:tcW w:w="1133" w:type="dxa"/>
            <w:gridSpan w:val="2"/>
            <w:vAlign w:val="center"/>
          </w:tcPr>
          <w:p w14:paraId="4B3888B4"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2023/3/24</w:t>
            </w:r>
          </w:p>
        </w:tc>
        <w:tc>
          <w:tcPr>
            <w:tcW w:w="1274" w:type="dxa"/>
            <w:vAlign w:val="center"/>
          </w:tcPr>
          <w:p w14:paraId="4B3888B5"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1,651.89</w:t>
            </w:r>
          </w:p>
        </w:tc>
        <w:tc>
          <w:tcPr>
            <w:tcW w:w="863" w:type="dxa"/>
            <w:vAlign w:val="center"/>
          </w:tcPr>
          <w:p w14:paraId="4B3888B6"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否</w:t>
            </w:r>
          </w:p>
        </w:tc>
        <w:tc>
          <w:tcPr>
            <w:tcW w:w="1122" w:type="dxa"/>
            <w:vAlign w:val="center"/>
          </w:tcPr>
          <w:p w14:paraId="4B3888B7"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否</w:t>
            </w:r>
          </w:p>
        </w:tc>
      </w:tr>
      <w:tr w:rsidR="00234AC9" w:rsidRPr="00234AC9" w14:paraId="4B3888C4" w14:textId="77777777" w:rsidTr="006A3A3D">
        <w:tblPrEx>
          <w:tblCellMar>
            <w:left w:w="108" w:type="dxa"/>
            <w:right w:w="108" w:type="dxa"/>
          </w:tblCellMar>
        </w:tblPrEx>
        <w:trPr>
          <w:trHeight w:val="340"/>
        </w:trPr>
        <w:tc>
          <w:tcPr>
            <w:tcW w:w="2835" w:type="dxa"/>
            <w:vAlign w:val="center"/>
          </w:tcPr>
          <w:p w14:paraId="4B3888B9"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2</w:t>
            </w:r>
            <w:r w:rsidRPr="00234AC9">
              <w:rPr>
                <w:rFonts w:ascii="宋体" w:hAnsi="宋体" w:cs="宋体"/>
                <w:color w:val="000000" w:themeColor="text1"/>
                <w:kern w:val="0"/>
                <w:sz w:val="18"/>
                <w:szCs w:val="18"/>
              </w:rPr>
              <w:t>.</w:t>
            </w:r>
            <w:r w:rsidRPr="00234AC9">
              <w:rPr>
                <w:rFonts w:ascii="宋体" w:hAnsi="宋体" w:cs="宋体" w:hint="eastAsia"/>
                <w:color w:val="000000" w:themeColor="text1"/>
                <w:kern w:val="0"/>
                <w:sz w:val="18"/>
                <w:szCs w:val="18"/>
              </w:rPr>
              <w:t>江苏中兴制剂车间建设项目</w:t>
            </w:r>
          </w:p>
        </w:tc>
        <w:tc>
          <w:tcPr>
            <w:tcW w:w="1021" w:type="dxa"/>
            <w:vAlign w:val="center"/>
          </w:tcPr>
          <w:p w14:paraId="78EF9A7C"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是</w:t>
            </w:r>
          </w:p>
        </w:tc>
        <w:tc>
          <w:tcPr>
            <w:tcW w:w="1133" w:type="dxa"/>
            <w:vAlign w:val="center"/>
          </w:tcPr>
          <w:p w14:paraId="4B3888BB"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12,500.00</w:t>
            </w:r>
          </w:p>
        </w:tc>
        <w:tc>
          <w:tcPr>
            <w:tcW w:w="1248" w:type="dxa"/>
            <w:vAlign w:val="center"/>
          </w:tcPr>
          <w:p w14:paraId="4B3888BC"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2,843.67</w:t>
            </w:r>
          </w:p>
        </w:tc>
        <w:tc>
          <w:tcPr>
            <w:tcW w:w="1162" w:type="dxa"/>
            <w:vAlign w:val="center"/>
          </w:tcPr>
          <w:p w14:paraId="4B3888BD"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w:t>
            </w:r>
          </w:p>
        </w:tc>
        <w:tc>
          <w:tcPr>
            <w:tcW w:w="1133" w:type="dxa"/>
            <w:vAlign w:val="center"/>
          </w:tcPr>
          <w:p w14:paraId="4B3888BE"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2,843.67</w:t>
            </w:r>
          </w:p>
        </w:tc>
        <w:tc>
          <w:tcPr>
            <w:tcW w:w="1136" w:type="dxa"/>
            <w:vAlign w:val="center"/>
          </w:tcPr>
          <w:p w14:paraId="4B3888BF"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100.00%</w:t>
            </w:r>
          </w:p>
        </w:tc>
        <w:tc>
          <w:tcPr>
            <w:tcW w:w="1133" w:type="dxa"/>
            <w:gridSpan w:val="2"/>
            <w:vAlign w:val="center"/>
          </w:tcPr>
          <w:p w14:paraId="4B3888C0"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已终止</w:t>
            </w:r>
          </w:p>
        </w:tc>
        <w:tc>
          <w:tcPr>
            <w:tcW w:w="1274" w:type="dxa"/>
            <w:vAlign w:val="center"/>
          </w:tcPr>
          <w:p w14:paraId="4B3888C1"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不适用</w:t>
            </w:r>
          </w:p>
        </w:tc>
        <w:tc>
          <w:tcPr>
            <w:tcW w:w="863" w:type="dxa"/>
            <w:vAlign w:val="center"/>
          </w:tcPr>
          <w:p w14:paraId="4B3888C2"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不适用</w:t>
            </w:r>
          </w:p>
        </w:tc>
        <w:tc>
          <w:tcPr>
            <w:tcW w:w="1122" w:type="dxa"/>
            <w:vAlign w:val="center"/>
          </w:tcPr>
          <w:p w14:paraId="4B3888C3"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是</w:t>
            </w:r>
          </w:p>
        </w:tc>
      </w:tr>
      <w:tr w:rsidR="00234AC9" w:rsidRPr="00234AC9" w14:paraId="31FA0356" w14:textId="77777777" w:rsidTr="006A3A3D">
        <w:tblPrEx>
          <w:tblCellMar>
            <w:left w:w="108" w:type="dxa"/>
            <w:right w:w="108" w:type="dxa"/>
          </w:tblCellMar>
        </w:tblPrEx>
        <w:trPr>
          <w:trHeight w:val="340"/>
        </w:trPr>
        <w:tc>
          <w:tcPr>
            <w:tcW w:w="2835" w:type="dxa"/>
            <w:vAlign w:val="center"/>
          </w:tcPr>
          <w:p w14:paraId="581AC6ED" w14:textId="77777777" w:rsidR="00C81C0C" w:rsidRPr="00234AC9" w:rsidRDefault="00000000">
            <w:pPr>
              <w:widowControl/>
              <w:jc w:val="left"/>
              <w:textAlignment w:val="center"/>
              <w:rPr>
                <w:rFonts w:ascii="宋体" w:hAnsi="宋体" w:cs="宋体" w:hint="eastAsia"/>
                <w:color w:val="000000" w:themeColor="text1"/>
                <w:kern w:val="0"/>
                <w:sz w:val="18"/>
                <w:szCs w:val="18"/>
              </w:rPr>
            </w:pPr>
            <w:r w:rsidRPr="00234AC9">
              <w:rPr>
                <w:color w:val="000000" w:themeColor="text1"/>
                <w:kern w:val="0"/>
                <w:sz w:val="18"/>
                <w:szCs w:val="18"/>
                <w:lang w:bidi="ar"/>
              </w:rPr>
              <w:t xml:space="preserve">3. </w:t>
            </w:r>
            <w:r w:rsidRPr="00234AC9">
              <w:rPr>
                <w:color w:val="000000" w:themeColor="text1"/>
                <w:kern w:val="0"/>
                <w:sz w:val="18"/>
                <w:szCs w:val="18"/>
                <w:lang w:bidi="ar"/>
              </w:rPr>
              <w:t>补充流动资金项目</w:t>
            </w:r>
            <w:r w:rsidRPr="00234AC9">
              <w:rPr>
                <w:rFonts w:hint="eastAsia"/>
                <w:color w:val="000000" w:themeColor="text1"/>
                <w:kern w:val="0"/>
                <w:sz w:val="18"/>
                <w:szCs w:val="18"/>
                <w:vertAlign w:val="superscript"/>
                <w:lang w:bidi="ar"/>
              </w:rPr>
              <w:t>注</w:t>
            </w:r>
            <w:r w:rsidRPr="00234AC9">
              <w:rPr>
                <w:rFonts w:hint="eastAsia"/>
                <w:color w:val="000000" w:themeColor="text1"/>
                <w:kern w:val="0"/>
                <w:sz w:val="18"/>
                <w:szCs w:val="18"/>
                <w:vertAlign w:val="superscript"/>
                <w:lang w:bidi="ar"/>
              </w:rPr>
              <w:t>1</w:t>
            </w:r>
          </w:p>
        </w:tc>
        <w:tc>
          <w:tcPr>
            <w:tcW w:w="1021" w:type="dxa"/>
            <w:vAlign w:val="center"/>
          </w:tcPr>
          <w:p w14:paraId="164E50BC"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否</w:t>
            </w:r>
          </w:p>
        </w:tc>
        <w:tc>
          <w:tcPr>
            <w:tcW w:w="1133" w:type="dxa"/>
            <w:vAlign w:val="center"/>
          </w:tcPr>
          <w:p w14:paraId="557BFF95"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16,000.00</w:t>
            </w:r>
          </w:p>
        </w:tc>
        <w:tc>
          <w:tcPr>
            <w:tcW w:w="1248" w:type="dxa"/>
            <w:vAlign w:val="center"/>
          </w:tcPr>
          <w:p w14:paraId="1108D551"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23,043.87</w:t>
            </w:r>
          </w:p>
        </w:tc>
        <w:tc>
          <w:tcPr>
            <w:tcW w:w="1162" w:type="dxa"/>
            <w:vAlign w:val="center"/>
          </w:tcPr>
          <w:p w14:paraId="1AEC4444"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12,312.26</w:t>
            </w:r>
          </w:p>
        </w:tc>
        <w:tc>
          <w:tcPr>
            <w:tcW w:w="1133" w:type="dxa"/>
            <w:vAlign w:val="center"/>
          </w:tcPr>
          <w:p w14:paraId="7503B540" w14:textId="168497EB"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26,845.6</w:t>
            </w:r>
            <w:r w:rsidR="005E4A2B">
              <w:rPr>
                <w:rFonts w:ascii="宋体" w:hAnsi="宋体" w:cs="宋体" w:hint="eastAsia"/>
                <w:color w:val="000000" w:themeColor="text1"/>
                <w:kern w:val="0"/>
                <w:sz w:val="18"/>
                <w:szCs w:val="18"/>
              </w:rPr>
              <w:t>2</w:t>
            </w:r>
          </w:p>
        </w:tc>
        <w:tc>
          <w:tcPr>
            <w:tcW w:w="1136" w:type="dxa"/>
            <w:vAlign w:val="center"/>
          </w:tcPr>
          <w:p w14:paraId="2A4D3C35"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116.50%</w:t>
            </w:r>
          </w:p>
        </w:tc>
        <w:tc>
          <w:tcPr>
            <w:tcW w:w="1133" w:type="dxa"/>
            <w:gridSpan w:val="2"/>
            <w:vAlign w:val="center"/>
          </w:tcPr>
          <w:p w14:paraId="700B7CB7"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不适用</w:t>
            </w:r>
          </w:p>
        </w:tc>
        <w:tc>
          <w:tcPr>
            <w:tcW w:w="1274" w:type="dxa"/>
            <w:vAlign w:val="center"/>
          </w:tcPr>
          <w:p w14:paraId="03BC72EB"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不适用</w:t>
            </w:r>
          </w:p>
        </w:tc>
        <w:tc>
          <w:tcPr>
            <w:tcW w:w="863" w:type="dxa"/>
            <w:vAlign w:val="center"/>
          </w:tcPr>
          <w:p w14:paraId="6F914D5A"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不适用</w:t>
            </w:r>
          </w:p>
        </w:tc>
        <w:tc>
          <w:tcPr>
            <w:tcW w:w="1122" w:type="dxa"/>
            <w:vAlign w:val="center"/>
          </w:tcPr>
          <w:p w14:paraId="34516770"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否</w:t>
            </w:r>
          </w:p>
        </w:tc>
      </w:tr>
      <w:tr w:rsidR="00234AC9" w:rsidRPr="00234AC9" w14:paraId="4B3888D0" w14:textId="77777777" w:rsidTr="006A3A3D">
        <w:tblPrEx>
          <w:tblCellMar>
            <w:left w:w="108" w:type="dxa"/>
            <w:right w:w="108" w:type="dxa"/>
          </w:tblCellMar>
        </w:tblPrEx>
        <w:trPr>
          <w:trHeight w:val="340"/>
        </w:trPr>
        <w:tc>
          <w:tcPr>
            <w:tcW w:w="2835" w:type="dxa"/>
            <w:vAlign w:val="center"/>
          </w:tcPr>
          <w:p w14:paraId="4B3888C5"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color w:val="000000" w:themeColor="text1"/>
                <w:kern w:val="0"/>
                <w:sz w:val="18"/>
                <w:szCs w:val="18"/>
              </w:rPr>
              <w:t>承诺投资项目小计</w:t>
            </w:r>
            <w:r w:rsidRPr="00234AC9">
              <w:rPr>
                <w:rFonts w:hint="eastAsia"/>
                <w:color w:val="000000" w:themeColor="text1"/>
                <w:kern w:val="0"/>
                <w:sz w:val="18"/>
                <w:szCs w:val="18"/>
                <w:vertAlign w:val="superscript"/>
              </w:rPr>
              <w:t>注</w:t>
            </w:r>
            <w:r w:rsidRPr="00234AC9">
              <w:rPr>
                <w:rFonts w:hint="eastAsia"/>
                <w:color w:val="000000" w:themeColor="text1"/>
                <w:kern w:val="0"/>
                <w:sz w:val="18"/>
                <w:szCs w:val="18"/>
                <w:vertAlign w:val="superscript"/>
              </w:rPr>
              <w:t>2</w:t>
            </w:r>
          </w:p>
        </w:tc>
        <w:tc>
          <w:tcPr>
            <w:tcW w:w="1021" w:type="dxa"/>
            <w:vAlign w:val="center"/>
          </w:tcPr>
          <w:p w14:paraId="4B3888C6" w14:textId="77777777" w:rsidR="00C81C0C" w:rsidRPr="00234AC9" w:rsidRDefault="00C81C0C">
            <w:pPr>
              <w:widowControl/>
              <w:snapToGrid w:val="0"/>
              <w:jc w:val="center"/>
              <w:rPr>
                <w:rFonts w:ascii="宋体" w:hAnsi="宋体" w:cs="宋体" w:hint="eastAsia"/>
                <w:color w:val="000000" w:themeColor="text1"/>
                <w:kern w:val="0"/>
                <w:sz w:val="18"/>
                <w:szCs w:val="18"/>
              </w:rPr>
            </w:pPr>
          </w:p>
        </w:tc>
        <w:tc>
          <w:tcPr>
            <w:tcW w:w="1133" w:type="dxa"/>
            <w:vAlign w:val="center"/>
          </w:tcPr>
          <w:p w14:paraId="4B3888C7"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55,000.00</w:t>
            </w:r>
          </w:p>
        </w:tc>
        <w:tc>
          <w:tcPr>
            <w:tcW w:w="1248" w:type="dxa"/>
            <w:vAlign w:val="center"/>
          </w:tcPr>
          <w:p w14:paraId="4B3888C8"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49,958.41</w:t>
            </w:r>
          </w:p>
        </w:tc>
        <w:tc>
          <w:tcPr>
            <w:tcW w:w="1162" w:type="dxa"/>
            <w:shd w:val="clear" w:color="auto" w:fill="auto"/>
            <w:vAlign w:val="center"/>
          </w:tcPr>
          <w:p w14:paraId="4B3888C9" w14:textId="77777777" w:rsidR="00C81C0C" w:rsidRPr="00234AC9" w:rsidRDefault="00000000">
            <w:pPr>
              <w:widowControl/>
              <w:jc w:val="center"/>
              <w:textAlignment w:val="center"/>
              <w:rPr>
                <w:rFonts w:ascii="Arial Narrow" w:eastAsia="Arial Narrow" w:hAnsi="Arial Narrow" w:cs="Arial Narrow"/>
                <w:color w:val="000000" w:themeColor="text1"/>
                <w:sz w:val="20"/>
              </w:rPr>
            </w:pPr>
            <w:r w:rsidRPr="00234AC9">
              <w:rPr>
                <w:rFonts w:ascii="宋体" w:hAnsi="宋体" w:cs="宋体"/>
                <w:color w:val="000000" w:themeColor="text1"/>
                <w:kern w:val="0"/>
                <w:sz w:val="18"/>
                <w:szCs w:val="18"/>
              </w:rPr>
              <w:t>12,767.72</w:t>
            </w:r>
          </w:p>
        </w:tc>
        <w:tc>
          <w:tcPr>
            <w:tcW w:w="1133" w:type="dxa"/>
            <w:vAlign w:val="center"/>
          </w:tcPr>
          <w:p w14:paraId="4B3888CA"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 xml:space="preserve"> 50,787.21 </w:t>
            </w:r>
          </w:p>
        </w:tc>
        <w:tc>
          <w:tcPr>
            <w:tcW w:w="1136" w:type="dxa"/>
            <w:vAlign w:val="center"/>
          </w:tcPr>
          <w:p w14:paraId="4B3888CB"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101.66%</w:t>
            </w:r>
          </w:p>
        </w:tc>
        <w:tc>
          <w:tcPr>
            <w:tcW w:w="1133" w:type="dxa"/>
            <w:gridSpan w:val="2"/>
            <w:vAlign w:val="center"/>
          </w:tcPr>
          <w:p w14:paraId="4B3888CC"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w:t>
            </w:r>
          </w:p>
        </w:tc>
        <w:tc>
          <w:tcPr>
            <w:tcW w:w="1274" w:type="dxa"/>
            <w:vAlign w:val="center"/>
          </w:tcPr>
          <w:p w14:paraId="4B3888CD"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 xml:space="preserve">1,651.89 </w:t>
            </w:r>
          </w:p>
        </w:tc>
        <w:tc>
          <w:tcPr>
            <w:tcW w:w="863" w:type="dxa"/>
            <w:vAlign w:val="center"/>
          </w:tcPr>
          <w:p w14:paraId="4B3888CE" w14:textId="77777777" w:rsidR="00C81C0C" w:rsidRPr="00234AC9" w:rsidRDefault="00C81C0C">
            <w:pPr>
              <w:widowControl/>
              <w:snapToGrid w:val="0"/>
              <w:jc w:val="center"/>
              <w:rPr>
                <w:rFonts w:ascii="宋体" w:hAnsi="宋体" w:cs="宋体" w:hint="eastAsia"/>
                <w:color w:val="000000" w:themeColor="text1"/>
                <w:kern w:val="0"/>
                <w:sz w:val="18"/>
                <w:szCs w:val="18"/>
              </w:rPr>
            </w:pPr>
          </w:p>
        </w:tc>
        <w:tc>
          <w:tcPr>
            <w:tcW w:w="1122" w:type="dxa"/>
            <w:vAlign w:val="center"/>
          </w:tcPr>
          <w:p w14:paraId="4B3888CF" w14:textId="77777777" w:rsidR="00C81C0C" w:rsidRPr="00234AC9" w:rsidRDefault="00C81C0C">
            <w:pPr>
              <w:widowControl/>
              <w:snapToGrid w:val="0"/>
              <w:jc w:val="center"/>
              <w:rPr>
                <w:rFonts w:ascii="宋体" w:hAnsi="宋体" w:cs="宋体" w:hint="eastAsia"/>
                <w:color w:val="000000" w:themeColor="text1"/>
                <w:kern w:val="0"/>
                <w:sz w:val="18"/>
                <w:szCs w:val="18"/>
              </w:rPr>
            </w:pPr>
          </w:p>
        </w:tc>
      </w:tr>
      <w:tr w:rsidR="00234AC9" w:rsidRPr="00234AC9" w14:paraId="4B3888D3" w14:textId="77777777" w:rsidTr="00AA34D4">
        <w:tblPrEx>
          <w:tblCellMar>
            <w:left w:w="108" w:type="dxa"/>
            <w:right w:w="108" w:type="dxa"/>
          </w:tblCellMar>
        </w:tblPrEx>
        <w:trPr>
          <w:trHeight w:val="340"/>
        </w:trPr>
        <w:tc>
          <w:tcPr>
            <w:tcW w:w="2835" w:type="dxa"/>
            <w:vAlign w:val="center"/>
          </w:tcPr>
          <w:p w14:paraId="4B3888D1"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超募资金投向</w:t>
            </w:r>
          </w:p>
        </w:tc>
        <w:tc>
          <w:tcPr>
            <w:tcW w:w="11225" w:type="dxa"/>
            <w:gridSpan w:val="11"/>
            <w:vAlign w:val="center"/>
          </w:tcPr>
          <w:p w14:paraId="4B3888D2"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不适用</w:t>
            </w:r>
          </w:p>
        </w:tc>
      </w:tr>
      <w:tr w:rsidR="00234AC9" w:rsidRPr="00234AC9" w14:paraId="4B38892A" w14:textId="77777777" w:rsidTr="00AA34D4">
        <w:tblPrEx>
          <w:tblCellMar>
            <w:left w:w="108" w:type="dxa"/>
            <w:right w:w="108" w:type="dxa"/>
          </w:tblCellMar>
        </w:tblPrEx>
        <w:trPr>
          <w:trHeight w:val="340"/>
        </w:trPr>
        <w:tc>
          <w:tcPr>
            <w:tcW w:w="2835" w:type="dxa"/>
            <w:vAlign w:val="center"/>
          </w:tcPr>
          <w:p w14:paraId="4B388928"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未达到计划进度或预计收益的情况和原因（</w:t>
            </w:r>
            <w:proofErr w:type="gramStart"/>
            <w:r w:rsidRPr="00234AC9">
              <w:rPr>
                <w:rFonts w:ascii="宋体" w:hAnsi="宋体" w:cs="宋体" w:hint="eastAsia"/>
                <w:color w:val="000000" w:themeColor="text1"/>
                <w:kern w:val="0"/>
                <w:sz w:val="18"/>
                <w:szCs w:val="18"/>
              </w:rPr>
              <w:t>分具体募投</w:t>
            </w:r>
            <w:proofErr w:type="gramEnd"/>
            <w:r w:rsidRPr="00234AC9">
              <w:rPr>
                <w:rFonts w:ascii="宋体" w:hAnsi="宋体" w:cs="宋体" w:hint="eastAsia"/>
                <w:color w:val="000000" w:themeColor="text1"/>
                <w:kern w:val="0"/>
                <w:sz w:val="18"/>
                <w:szCs w:val="18"/>
              </w:rPr>
              <w:t>项目）</w:t>
            </w:r>
          </w:p>
        </w:tc>
        <w:tc>
          <w:tcPr>
            <w:tcW w:w="11225" w:type="dxa"/>
            <w:gridSpan w:val="11"/>
            <w:vAlign w:val="center"/>
          </w:tcPr>
          <w:p w14:paraId="538114BB" w14:textId="77777777" w:rsidR="00C81C0C" w:rsidRPr="00234AC9" w:rsidRDefault="00000000" w:rsidP="00AA34D4">
            <w:pPr>
              <w:widowControl/>
              <w:snapToGrid w:val="0"/>
              <w:jc w:val="left"/>
              <w:rPr>
                <w:rFonts w:ascii="Arial Narrow" w:hAnsi="Arial Narrow" w:cs="宋体"/>
                <w:color w:val="000000" w:themeColor="text1"/>
                <w:kern w:val="0"/>
                <w:sz w:val="18"/>
                <w:szCs w:val="18"/>
              </w:rPr>
            </w:pPr>
            <w:r w:rsidRPr="00234AC9">
              <w:rPr>
                <w:rFonts w:ascii="Arial Narrow" w:hAnsi="Arial Narrow" w:cs="宋体"/>
                <w:color w:val="000000" w:themeColor="text1"/>
                <w:kern w:val="0"/>
                <w:sz w:val="18"/>
                <w:szCs w:val="18"/>
              </w:rPr>
              <w:t>1</w:t>
            </w:r>
            <w:r w:rsidRPr="00234AC9">
              <w:rPr>
                <w:rFonts w:ascii="Arial Narrow" w:hAnsi="Arial Narrow" w:cs="宋体"/>
                <w:color w:val="000000" w:themeColor="text1"/>
                <w:kern w:val="0"/>
                <w:sz w:val="18"/>
                <w:szCs w:val="18"/>
              </w:rPr>
              <w:t>、原料药制剂一体化生产基地建设项目：本项目包括投资建设原料药生产基地和制剂生产基地。</w:t>
            </w:r>
          </w:p>
          <w:p w14:paraId="4B4AEB58" w14:textId="77777777" w:rsidR="00C81C0C" w:rsidRPr="00234AC9" w:rsidRDefault="00000000" w:rsidP="00AA34D4">
            <w:pPr>
              <w:widowControl/>
              <w:snapToGrid w:val="0"/>
              <w:jc w:val="left"/>
              <w:rPr>
                <w:rFonts w:ascii="Arial Narrow" w:hAnsi="Arial Narrow" w:cs="宋体"/>
                <w:color w:val="000000" w:themeColor="text1"/>
                <w:kern w:val="0"/>
                <w:sz w:val="18"/>
                <w:szCs w:val="18"/>
              </w:rPr>
            </w:pPr>
            <w:r w:rsidRPr="00234AC9">
              <w:rPr>
                <w:rFonts w:ascii="Arial Narrow" w:hAnsi="Arial Narrow" w:cs="宋体" w:hint="eastAsia"/>
                <w:color w:val="000000" w:themeColor="text1"/>
                <w:kern w:val="0"/>
                <w:sz w:val="18"/>
                <w:szCs w:val="18"/>
              </w:rPr>
              <w:t>（</w:t>
            </w:r>
            <w:r w:rsidRPr="00234AC9">
              <w:rPr>
                <w:rFonts w:ascii="Arial Narrow" w:hAnsi="Arial Narrow" w:cs="宋体" w:hint="eastAsia"/>
                <w:color w:val="000000" w:themeColor="text1"/>
                <w:kern w:val="0"/>
                <w:sz w:val="18"/>
                <w:szCs w:val="18"/>
              </w:rPr>
              <w:t>1</w:t>
            </w:r>
            <w:r w:rsidRPr="00234AC9">
              <w:rPr>
                <w:rFonts w:ascii="Arial Narrow" w:hAnsi="Arial Narrow" w:cs="宋体" w:hint="eastAsia"/>
                <w:color w:val="000000" w:themeColor="text1"/>
                <w:kern w:val="0"/>
                <w:sz w:val="18"/>
                <w:szCs w:val="18"/>
              </w:rPr>
              <w:t>）由全资子公司福建广生堂金塘药业有限公司负责执行的原料药生产基地建设项目已完成建设，目前受原料药项目规模、市场环境及成本效益的综合影响，该项目尚未取得原料药生产许可并进入原料药的生产阶段。为了提升项目经济效益，前述生产基地已完成公司产品水飞</w:t>
            </w:r>
            <w:proofErr w:type="gramStart"/>
            <w:r w:rsidRPr="00234AC9">
              <w:rPr>
                <w:rFonts w:ascii="Arial Narrow" w:hAnsi="Arial Narrow" w:cs="宋体" w:hint="eastAsia"/>
                <w:color w:val="000000" w:themeColor="text1"/>
                <w:kern w:val="0"/>
                <w:sz w:val="18"/>
                <w:szCs w:val="18"/>
              </w:rPr>
              <w:t>蓟宾葡</w:t>
            </w:r>
            <w:proofErr w:type="gramEnd"/>
            <w:r w:rsidRPr="00234AC9">
              <w:rPr>
                <w:rFonts w:ascii="Arial Narrow" w:hAnsi="Arial Narrow" w:cs="宋体" w:hint="eastAsia"/>
                <w:color w:val="000000" w:themeColor="text1"/>
                <w:kern w:val="0"/>
                <w:sz w:val="18"/>
                <w:szCs w:val="18"/>
              </w:rPr>
              <w:t>甲胺片原料药起始物料水飞</w:t>
            </w:r>
            <w:proofErr w:type="gramStart"/>
            <w:r w:rsidRPr="00234AC9">
              <w:rPr>
                <w:rFonts w:ascii="Arial Narrow" w:hAnsi="Arial Narrow" w:cs="宋体" w:hint="eastAsia"/>
                <w:color w:val="000000" w:themeColor="text1"/>
                <w:kern w:val="0"/>
                <w:sz w:val="18"/>
                <w:szCs w:val="18"/>
              </w:rPr>
              <w:t>蓟</w:t>
            </w:r>
            <w:proofErr w:type="gramEnd"/>
            <w:r w:rsidRPr="00234AC9">
              <w:rPr>
                <w:rFonts w:ascii="Arial Narrow" w:hAnsi="Arial Narrow" w:cs="宋体" w:hint="eastAsia"/>
                <w:color w:val="000000" w:themeColor="text1"/>
                <w:kern w:val="0"/>
                <w:sz w:val="18"/>
                <w:szCs w:val="18"/>
              </w:rPr>
              <w:t>宾的工艺开发，正开展试生产并实现商业化销售。</w:t>
            </w:r>
          </w:p>
          <w:p w14:paraId="51C52D27" w14:textId="77777777" w:rsidR="00C81C0C" w:rsidRPr="00234AC9" w:rsidRDefault="00000000" w:rsidP="00AA34D4">
            <w:pPr>
              <w:widowControl/>
              <w:snapToGrid w:val="0"/>
              <w:jc w:val="left"/>
              <w:rPr>
                <w:rFonts w:ascii="Arial Narrow" w:hAnsi="Arial Narrow" w:cs="宋体"/>
                <w:color w:val="000000" w:themeColor="text1"/>
                <w:kern w:val="0"/>
                <w:sz w:val="18"/>
                <w:szCs w:val="18"/>
              </w:rPr>
            </w:pPr>
            <w:r w:rsidRPr="00234AC9">
              <w:rPr>
                <w:rFonts w:ascii="Arial Narrow" w:hAnsi="Arial Narrow" w:cs="宋体" w:hint="eastAsia"/>
                <w:color w:val="000000" w:themeColor="text1"/>
                <w:kern w:val="0"/>
                <w:sz w:val="18"/>
                <w:szCs w:val="18"/>
              </w:rPr>
              <w:t>（</w:t>
            </w:r>
            <w:r w:rsidRPr="00234AC9">
              <w:rPr>
                <w:rFonts w:ascii="Arial Narrow" w:hAnsi="Arial Narrow" w:cs="宋体" w:hint="eastAsia"/>
                <w:color w:val="000000" w:themeColor="text1"/>
                <w:kern w:val="0"/>
                <w:sz w:val="18"/>
                <w:szCs w:val="18"/>
              </w:rPr>
              <w:t>2</w:t>
            </w:r>
            <w:r w:rsidRPr="00234AC9">
              <w:rPr>
                <w:rFonts w:ascii="Arial Narrow" w:hAnsi="Arial Narrow" w:cs="宋体" w:hint="eastAsia"/>
                <w:color w:val="000000" w:themeColor="text1"/>
                <w:kern w:val="0"/>
                <w:sz w:val="18"/>
                <w:szCs w:val="18"/>
              </w:rPr>
              <w:t>）由广生堂公司负责执行的制剂生产基地建设项目，目前基本已完成建设并投入使用，相关药品的生产工作正根据市场需求及产能状况有序安排且已实现了一定的运营效益。由于相关药品市场推广周期较短，部分药品仍处于市场开拓阶段，产能尚未完全释放，同时叠加固定资产折旧等因素影响，项目效益尚未充分释放。</w:t>
            </w:r>
          </w:p>
          <w:p w14:paraId="2F5CB740" w14:textId="4FB71BD3" w:rsidR="00C81C0C" w:rsidRPr="00234AC9" w:rsidRDefault="00000000" w:rsidP="00AA34D4">
            <w:pPr>
              <w:widowControl/>
              <w:snapToGrid w:val="0"/>
              <w:jc w:val="left"/>
              <w:rPr>
                <w:rFonts w:ascii="宋体" w:hAnsi="宋体" w:cs="宋体" w:hint="eastAsia"/>
                <w:color w:val="000000" w:themeColor="text1"/>
                <w:kern w:val="0"/>
                <w:sz w:val="18"/>
                <w:szCs w:val="18"/>
              </w:rPr>
            </w:pPr>
            <w:r w:rsidRPr="00234AC9">
              <w:rPr>
                <w:rFonts w:ascii="Arial Narrow" w:hAnsi="Arial Narrow" w:cs="宋体"/>
                <w:color w:val="000000" w:themeColor="text1"/>
                <w:kern w:val="0"/>
                <w:sz w:val="18"/>
                <w:szCs w:val="18"/>
              </w:rPr>
              <w:t>2</w:t>
            </w:r>
            <w:r w:rsidRPr="00234AC9">
              <w:rPr>
                <w:rFonts w:ascii="Arial Narrow" w:hAnsi="Arial Narrow" w:cs="宋体"/>
                <w:color w:val="000000" w:themeColor="text1"/>
                <w:kern w:val="0"/>
                <w:sz w:val="18"/>
                <w:szCs w:val="18"/>
              </w:rPr>
              <w:t>、江苏中兴制剂车间建设项目：结合公司实际产能情况、相关产品的产销情况及未来市场预期，预计现有产能并通过内部挖潜和技改能够满足现阶段及未来一定期间的市场需求</w:t>
            </w:r>
            <w:r w:rsidRPr="00234AC9">
              <w:rPr>
                <w:rFonts w:ascii="Arial Narrow" w:hAnsi="Arial Narrow" w:cs="宋体" w:hint="eastAsia"/>
                <w:color w:val="000000" w:themeColor="text1"/>
                <w:kern w:val="0"/>
                <w:sz w:val="18"/>
                <w:szCs w:val="18"/>
              </w:rPr>
              <w:t>。同时，公司近几年持续的创新药研发投入及经营规模的扩大，公司对流动资金的需求不断增加，需要有足够的营运资金作为保障，以增强公司抗风险能力及竞争能力。根据公司创新战略发展和资源综合调度的需求，本着控制风险、审慎投</w:t>
            </w:r>
            <w:r w:rsidRPr="00234AC9">
              <w:rPr>
                <w:rFonts w:ascii="Arial Narrow" w:hAnsi="Arial Narrow" w:cs="宋体" w:hint="eastAsia"/>
                <w:color w:val="000000" w:themeColor="text1"/>
                <w:kern w:val="0"/>
                <w:sz w:val="18"/>
                <w:szCs w:val="18"/>
              </w:rPr>
              <w:lastRenderedPageBreak/>
              <w:t>资的原则，公司决定终止并将该项目全部剩余募集资金用于永久补充流动资金。</w:t>
            </w:r>
            <w:r w:rsidRPr="00234AC9">
              <w:rPr>
                <w:rFonts w:ascii="Arial Narrow" w:hAnsi="Arial Narrow" w:cs="宋体"/>
                <w:color w:val="000000" w:themeColor="text1"/>
                <w:kern w:val="0"/>
                <w:sz w:val="18"/>
                <w:szCs w:val="18"/>
              </w:rPr>
              <w:t>2023</w:t>
            </w:r>
            <w:r w:rsidRPr="00234AC9">
              <w:rPr>
                <w:rFonts w:ascii="Arial Narrow" w:hAnsi="Arial Narrow" w:cs="宋体"/>
                <w:color w:val="000000" w:themeColor="text1"/>
                <w:kern w:val="0"/>
                <w:sz w:val="18"/>
                <w:szCs w:val="18"/>
              </w:rPr>
              <w:t>年</w:t>
            </w:r>
            <w:r w:rsidRPr="00234AC9">
              <w:rPr>
                <w:rFonts w:ascii="Arial Narrow" w:hAnsi="Arial Narrow" w:cs="宋体"/>
                <w:color w:val="000000" w:themeColor="text1"/>
                <w:kern w:val="0"/>
                <w:sz w:val="18"/>
                <w:szCs w:val="18"/>
              </w:rPr>
              <w:t>12</w:t>
            </w:r>
            <w:r w:rsidRPr="00234AC9">
              <w:rPr>
                <w:rFonts w:ascii="Arial Narrow" w:hAnsi="Arial Narrow" w:cs="宋体"/>
                <w:color w:val="000000" w:themeColor="text1"/>
                <w:kern w:val="0"/>
                <w:sz w:val="18"/>
                <w:szCs w:val="18"/>
              </w:rPr>
              <w:t>月</w:t>
            </w:r>
            <w:r w:rsidRPr="00234AC9">
              <w:rPr>
                <w:rFonts w:ascii="Arial Narrow" w:hAnsi="Arial Narrow" w:cs="宋体"/>
                <w:color w:val="000000" w:themeColor="text1"/>
                <w:kern w:val="0"/>
                <w:sz w:val="18"/>
                <w:szCs w:val="18"/>
              </w:rPr>
              <w:t>29</w:t>
            </w:r>
            <w:r w:rsidRPr="00234AC9">
              <w:rPr>
                <w:rFonts w:ascii="Arial Narrow" w:hAnsi="Arial Narrow" w:cs="宋体"/>
                <w:color w:val="000000" w:themeColor="text1"/>
                <w:kern w:val="0"/>
                <w:sz w:val="18"/>
                <w:szCs w:val="18"/>
              </w:rPr>
              <w:t>日，公司召开第四届董事会第二十七次会议和第四届监事会第二十四次会议，审议通过了《关于终止部分募集资金投资项目并将剩余募集资金永久补充流动资金的议案》，为提高募集资金使用效率，降低募集资金投资风险，根据公司</w:t>
            </w:r>
            <w:proofErr w:type="gramStart"/>
            <w:r w:rsidRPr="00234AC9">
              <w:rPr>
                <w:rFonts w:ascii="Arial Narrow" w:hAnsi="Arial Narrow" w:cs="宋体"/>
                <w:color w:val="000000" w:themeColor="text1"/>
                <w:kern w:val="0"/>
                <w:sz w:val="18"/>
                <w:szCs w:val="18"/>
              </w:rPr>
              <w:t>募投项目</w:t>
            </w:r>
            <w:proofErr w:type="gramEnd"/>
            <w:r w:rsidRPr="00234AC9">
              <w:rPr>
                <w:rFonts w:ascii="Arial Narrow" w:hAnsi="Arial Narrow" w:cs="宋体"/>
                <w:color w:val="000000" w:themeColor="text1"/>
                <w:kern w:val="0"/>
                <w:sz w:val="18"/>
                <w:szCs w:val="18"/>
              </w:rPr>
              <w:t>的实际进展情况及市场环境变化，同意公司对</w:t>
            </w:r>
            <w:r w:rsidRPr="00234AC9">
              <w:rPr>
                <w:rFonts w:ascii="Arial Narrow" w:hAnsi="Arial Narrow" w:cs="宋体"/>
                <w:color w:val="000000" w:themeColor="text1"/>
                <w:kern w:val="0"/>
                <w:sz w:val="18"/>
                <w:szCs w:val="18"/>
              </w:rPr>
              <w:t xml:space="preserve"> “</w:t>
            </w:r>
            <w:r w:rsidRPr="00234AC9">
              <w:rPr>
                <w:rFonts w:ascii="Arial Narrow" w:hAnsi="Arial Narrow" w:cs="宋体"/>
                <w:color w:val="000000" w:themeColor="text1"/>
                <w:kern w:val="0"/>
                <w:sz w:val="18"/>
                <w:szCs w:val="18"/>
              </w:rPr>
              <w:t>江苏中兴制剂车间建设项目</w:t>
            </w:r>
            <w:r w:rsidRPr="00234AC9">
              <w:rPr>
                <w:rFonts w:ascii="Arial Narrow" w:hAnsi="Arial Narrow" w:cs="宋体"/>
                <w:color w:val="000000" w:themeColor="text1"/>
                <w:kern w:val="0"/>
                <w:sz w:val="18"/>
                <w:szCs w:val="18"/>
              </w:rPr>
              <w:t>”</w:t>
            </w:r>
            <w:r w:rsidRPr="00234AC9">
              <w:rPr>
                <w:rFonts w:ascii="Arial Narrow" w:hAnsi="Arial Narrow" w:cs="宋体"/>
                <w:color w:val="000000" w:themeColor="text1"/>
                <w:kern w:val="0"/>
                <w:sz w:val="18"/>
                <w:szCs w:val="18"/>
              </w:rPr>
              <w:t>予以终止，并将上述项目终止后剩余的募集资金永久补充流动资金，用于公司日常生产经营及业务发展。本议案在</w:t>
            </w:r>
            <w:r w:rsidRPr="00234AC9">
              <w:rPr>
                <w:rFonts w:ascii="Arial Narrow" w:hAnsi="Arial Narrow" w:cs="宋体"/>
                <w:color w:val="000000" w:themeColor="text1"/>
                <w:kern w:val="0"/>
                <w:sz w:val="18"/>
                <w:szCs w:val="18"/>
              </w:rPr>
              <w:t>2024</w:t>
            </w:r>
            <w:r w:rsidRPr="00234AC9">
              <w:rPr>
                <w:rFonts w:ascii="Arial Narrow" w:hAnsi="Arial Narrow" w:cs="宋体"/>
                <w:color w:val="000000" w:themeColor="text1"/>
                <w:kern w:val="0"/>
                <w:sz w:val="18"/>
                <w:szCs w:val="18"/>
              </w:rPr>
              <w:t>年</w:t>
            </w:r>
            <w:r w:rsidRPr="00234AC9">
              <w:rPr>
                <w:rFonts w:ascii="Arial Narrow" w:hAnsi="Arial Narrow" w:cs="宋体"/>
                <w:color w:val="000000" w:themeColor="text1"/>
                <w:kern w:val="0"/>
                <w:sz w:val="18"/>
                <w:szCs w:val="18"/>
              </w:rPr>
              <w:t>1</w:t>
            </w:r>
            <w:r w:rsidRPr="00234AC9">
              <w:rPr>
                <w:rFonts w:ascii="Arial Narrow" w:hAnsi="Arial Narrow" w:cs="宋体"/>
                <w:color w:val="000000" w:themeColor="text1"/>
                <w:kern w:val="0"/>
                <w:sz w:val="18"/>
                <w:szCs w:val="18"/>
              </w:rPr>
              <w:t>月</w:t>
            </w:r>
            <w:r w:rsidRPr="00234AC9">
              <w:rPr>
                <w:rFonts w:ascii="Arial Narrow" w:hAnsi="Arial Narrow" w:cs="宋体"/>
                <w:color w:val="000000" w:themeColor="text1"/>
                <w:kern w:val="0"/>
                <w:sz w:val="18"/>
                <w:szCs w:val="18"/>
              </w:rPr>
              <w:t>15</w:t>
            </w:r>
            <w:r w:rsidRPr="00234AC9">
              <w:rPr>
                <w:rFonts w:ascii="Arial Narrow" w:hAnsi="Arial Narrow" w:cs="宋体"/>
                <w:color w:val="000000" w:themeColor="text1"/>
                <w:kern w:val="0"/>
                <w:sz w:val="18"/>
                <w:szCs w:val="18"/>
              </w:rPr>
              <w:t>日召开的</w:t>
            </w:r>
            <w:r w:rsidRPr="00234AC9">
              <w:rPr>
                <w:rFonts w:ascii="Arial Narrow" w:hAnsi="Arial Narrow" w:cs="宋体"/>
                <w:color w:val="000000" w:themeColor="text1"/>
                <w:kern w:val="0"/>
                <w:sz w:val="18"/>
                <w:szCs w:val="18"/>
              </w:rPr>
              <w:t>2024</w:t>
            </w:r>
            <w:r w:rsidRPr="00234AC9">
              <w:rPr>
                <w:rFonts w:ascii="Arial Narrow" w:hAnsi="Arial Narrow" w:cs="宋体"/>
                <w:color w:val="000000" w:themeColor="text1"/>
                <w:kern w:val="0"/>
                <w:sz w:val="18"/>
                <w:szCs w:val="18"/>
              </w:rPr>
              <w:t>年第一次临时股东大会决议中获得通过。</w:t>
            </w:r>
          </w:p>
        </w:tc>
      </w:tr>
      <w:tr w:rsidR="00234AC9" w:rsidRPr="00234AC9" w14:paraId="4B38892D" w14:textId="77777777" w:rsidTr="00AA34D4">
        <w:tblPrEx>
          <w:tblCellMar>
            <w:left w:w="108" w:type="dxa"/>
            <w:right w:w="108" w:type="dxa"/>
          </w:tblCellMar>
        </w:tblPrEx>
        <w:trPr>
          <w:trHeight w:val="340"/>
        </w:trPr>
        <w:tc>
          <w:tcPr>
            <w:tcW w:w="2835" w:type="dxa"/>
            <w:vAlign w:val="center"/>
          </w:tcPr>
          <w:p w14:paraId="4B38892B"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lastRenderedPageBreak/>
              <w:t>项目可行性发生重大变化的情况说明</w:t>
            </w:r>
          </w:p>
        </w:tc>
        <w:tc>
          <w:tcPr>
            <w:tcW w:w="11225" w:type="dxa"/>
            <w:gridSpan w:val="11"/>
            <w:vAlign w:val="center"/>
          </w:tcPr>
          <w:p w14:paraId="4B38892C" w14:textId="77777777" w:rsidR="00C81C0C" w:rsidRPr="00234AC9" w:rsidRDefault="00000000" w:rsidP="00AA34D4">
            <w:pPr>
              <w:widowControl/>
              <w:snapToGrid w:val="0"/>
              <w:jc w:val="left"/>
              <w:rPr>
                <w:rFonts w:ascii="宋体" w:hAnsi="宋体" w:cs="宋体" w:hint="eastAsia"/>
                <w:color w:val="000000" w:themeColor="text1"/>
                <w:kern w:val="0"/>
                <w:sz w:val="18"/>
                <w:szCs w:val="18"/>
              </w:rPr>
            </w:pPr>
            <w:proofErr w:type="gramStart"/>
            <w:r w:rsidRPr="00234AC9">
              <w:rPr>
                <w:rFonts w:ascii="Arial Narrow" w:hAnsi="Arial Narrow" w:cs="宋体" w:hint="eastAsia"/>
                <w:color w:val="000000" w:themeColor="text1"/>
                <w:kern w:val="0"/>
                <w:sz w:val="18"/>
                <w:szCs w:val="18"/>
              </w:rPr>
              <w:t>募投项目</w:t>
            </w:r>
            <w:proofErr w:type="gramEnd"/>
            <w:r w:rsidRPr="00234AC9">
              <w:rPr>
                <w:rFonts w:ascii="Arial Narrow" w:hAnsi="Arial Narrow" w:cs="宋体" w:hint="eastAsia"/>
                <w:color w:val="000000" w:themeColor="text1"/>
                <w:kern w:val="0"/>
                <w:sz w:val="18"/>
                <w:szCs w:val="18"/>
              </w:rPr>
              <w:t>建设期内，水飞</w:t>
            </w:r>
            <w:proofErr w:type="gramStart"/>
            <w:r w:rsidRPr="00234AC9">
              <w:rPr>
                <w:rFonts w:ascii="Arial Narrow" w:hAnsi="Arial Narrow" w:cs="宋体" w:hint="eastAsia"/>
                <w:color w:val="000000" w:themeColor="text1"/>
                <w:kern w:val="0"/>
                <w:sz w:val="18"/>
                <w:szCs w:val="18"/>
              </w:rPr>
              <w:t>蓟宾葡</w:t>
            </w:r>
            <w:proofErr w:type="gramEnd"/>
            <w:r w:rsidRPr="00234AC9">
              <w:rPr>
                <w:rFonts w:ascii="Arial Narrow" w:hAnsi="Arial Narrow" w:cs="宋体" w:hint="eastAsia"/>
                <w:color w:val="000000" w:themeColor="text1"/>
                <w:kern w:val="0"/>
                <w:sz w:val="18"/>
                <w:szCs w:val="18"/>
              </w:rPr>
              <w:t>甲胺片、参</w:t>
            </w:r>
            <w:proofErr w:type="gramStart"/>
            <w:r w:rsidRPr="00234AC9">
              <w:rPr>
                <w:rFonts w:ascii="Arial Narrow" w:hAnsi="Arial Narrow" w:cs="宋体" w:hint="eastAsia"/>
                <w:color w:val="000000" w:themeColor="text1"/>
                <w:kern w:val="0"/>
                <w:sz w:val="18"/>
                <w:szCs w:val="18"/>
              </w:rPr>
              <w:t>芪</w:t>
            </w:r>
            <w:proofErr w:type="gramEnd"/>
            <w:r w:rsidRPr="00234AC9">
              <w:rPr>
                <w:rFonts w:ascii="Arial Narrow" w:hAnsi="Arial Narrow" w:cs="宋体" w:hint="eastAsia"/>
                <w:color w:val="000000" w:themeColor="text1"/>
                <w:kern w:val="0"/>
                <w:sz w:val="18"/>
                <w:szCs w:val="18"/>
              </w:rPr>
              <w:t>健胃颗粒等市场需求和产品销售总体平稳增长，但未发生重大变化，随着近几年江苏中兴生产组织和管理效率提升、生产工人技术更加成熟所带来的生产效率提高及生产车间的技改升级，相关产品生产线产能和产能利用率得到进一步优化及提升，结合相关产品最近三年一期的产销情况及未来市场预期，预计现有产能并通过内部挖潜和技改能够满足现阶段及未来一定期间的市场需求；此外，随着药品上市许可持有人制度相关的配套法规出台，药品的生产不再受限于企业自身生产基地的制约，可以通过委托生产等方式，灵活保障产能并减少大额资金投入和节约生产成本。鉴于公司近几年持续的创新药研发投入及经营规模的扩大，且公司抗新冠病毒口服小分子</w:t>
            </w:r>
            <w:r w:rsidRPr="00234AC9">
              <w:rPr>
                <w:rFonts w:ascii="Arial Narrow" w:hAnsi="Arial Narrow" w:cs="宋体" w:hint="eastAsia"/>
                <w:color w:val="000000" w:themeColor="text1"/>
                <w:kern w:val="0"/>
                <w:sz w:val="18"/>
                <w:szCs w:val="18"/>
              </w:rPr>
              <w:t xml:space="preserve"> 3CL </w:t>
            </w:r>
            <w:r w:rsidRPr="00234AC9">
              <w:rPr>
                <w:rFonts w:ascii="Arial Narrow" w:hAnsi="Arial Narrow" w:cs="宋体" w:hint="eastAsia"/>
                <w:color w:val="000000" w:themeColor="text1"/>
                <w:kern w:val="0"/>
                <w:sz w:val="18"/>
                <w:szCs w:val="18"/>
              </w:rPr>
              <w:t>蛋白酶抑制剂一类创新药泰中定获批上市销售，公司对流动资金的需求不断增加，需要有足够的营运资金作为保障，以增强公司抗风险能力及竞争能力。综上所述，为提升公司募集资金使用效率，优化资源配置，缓解公司正常经营所需的流动资金压力，降低公司运营风险，根据公司创新战略发展和资源综合调度的需求，本着控制风险、审慎投资的原则，公司决定终止并将该项目全部剩余募集资金用于永久补充流动资金。未来公司将根据市场需求及经营状况，若有需要将使用自有资金进行项目建设。</w:t>
            </w:r>
          </w:p>
        </w:tc>
      </w:tr>
      <w:tr w:rsidR="00234AC9" w:rsidRPr="00234AC9" w14:paraId="4B388930" w14:textId="77777777" w:rsidTr="00AA34D4">
        <w:tblPrEx>
          <w:tblCellMar>
            <w:left w:w="108" w:type="dxa"/>
            <w:right w:w="108" w:type="dxa"/>
          </w:tblCellMar>
        </w:tblPrEx>
        <w:trPr>
          <w:trHeight w:val="340"/>
        </w:trPr>
        <w:tc>
          <w:tcPr>
            <w:tcW w:w="2835" w:type="dxa"/>
            <w:vAlign w:val="center"/>
          </w:tcPr>
          <w:p w14:paraId="4B38892E"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超募资金的金额、用途及使用进展情况</w:t>
            </w:r>
          </w:p>
        </w:tc>
        <w:tc>
          <w:tcPr>
            <w:tcW w:w="11225" w:type="dxa"/>
            <w:gridSpan w:val="11"/>
            <w:vAlign w:val="center"/>
          </w:tcPr>
          <w:p w14:paraId="4B38892F"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不适用</w:t>
            </w:r>
          </w:p>
        </w:tc>
      </w:tr>
      <w:tr w:rsidR="00234AC9" w:rsidRPr="00234AC9" w14:paraId="4B388933" w14:textId="77777777" w:rsidTr="00AA34D4">
        <w:tblPrEx>
          <w:tblCellMar>
            <w:left w:w="108" w:type="dxa"/>
            <w:right w:w="108" w:type="dxa"/>
          </w:tblCellMar>
        </w:tblPrEx>
        <w:trPr>
          <w:trHeight w:val="340"/>
        </w:trPr>
        <w:tc>
          <w:tcPr>
            <w:tcW w:w="2835" w:type="dxa"/>
            <w:vAlign w:val="center"/>
          </w:tcPr>
          <w:p w14:paraId="4B388931"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募集资金投资项目实施地点变更情况</w:t>
            </w:r>
          </w:p>
        </w:tc>
        <w:tc>
          <w:tcPr>
            <w:tcW w:w="11225" w:type="dxa"/>
            <w:gridSpan w:val="11"/>
            <w:vAlign w:val="center"/>
          </w:tcPr>
          <w:p w14:paraId="4B388932"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不适用</w:t>
            </w:r>
          </w:p>
        </w:tc>
      </w:tr>
      <w:tr w:rsidR="00234AC9" w:rsidRPr="00234AC9" w14:paraId="4B388936" w14:textId="77777777" w:rsidTr="00AA34D4">
        <w:tblPrEx>
          <w:tblCellMar>
            <w:left w:w="108" w:type="dxa"/>
            <w:right w:w="108" w:type="dxa"/>
          </w:tblCellMar>
        </w:tblPrEx>
        <w:trPr>
          <w:trHeight w:val="340"/>
        </w:trPr>
        <w:tc>
          <w:tcPr>
            <w:tcW w:w="2835" w:type="dxa"/>
            <w:vAlign w:val="center"/>
          </w:tcPr>
          <w:p w14:paraId="4B388934"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募集资金投资项目实施方式调整情况</w:t>
            </w:r>
          </w:p>
        </w:tc>
        <w:tc>
          <w:tcPr>
            <w:tcW w:w="11225" w:type="dxa"/>
            <w:gridSpan w:val="11"/>
            <w:vAlign w:val="center"/>
          </w:tcPr>
          <w:p w14:paraId="4B388935"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不适用</w:t>
            </w:r>
          </w:p>
        </w:tc>
      </w:tr>
      <w:tr w:rsidR="00234AC9" w:rsidRPr="00234AC9" w14:paraId="4B388939" w14:textId="77777777" w:rsidTr="00AA34D4">
        <w:tblPrEx>
          <w:tblCellMar>
            <w:left w:w="108" w:type="dxa"/>
            <w:right w:w="108" w:type="dxa"/>
          </w:tblCellMar>
        </w:tblPrEx>
        <w:trPr>
          <w:trHeight w:val="340"/>
        </w:trPr>
        <w:tc>
          <w:tcPr>
            <w:tcW w:w="2835" w:type="dxa"/>
            <w:vAlign w:val="center"/>
          </w:tcPr>
          <w:p w14:paraId="4B388937"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募集资金投资项目先期投入及置换情况</w:t>
            </w:r>
          </w:p>
        </w:tc>
        <w:tc>
          <w:tcPr>
            <w:tcW w:w="11225" w:type="dxa"/>
            <w:gridSpan w:val="11"/>
            <w:vAlign w:val="center"/>
          </w:tcPr>
          <w:p w14:paraId="0891BCF4" w14:textId="77777777" w:rsidR="00C81C0C" w:rsidRPr="00234AC9" w:rsidRDefault="00000000">
            <w:pPr>
              <w:widowControl/>
              <w:snapToGrid w:val="0"/>
              <w:jc w:val="left"/>
              <w:rPr>
                <w:color w:val="000000" w:themeColor="text1"/>
                <w:kern w:val="0"/>
                <w:sz w:val="18"/>
                <w:szCs w:val="18"/>
              </w:rPr>
            </w:pPr>
            <w:r w:rsidRPr="00234AC9">
              <w:rPr>
                <w:color w:val="000000" w:themeColor="text1"/>
                <w:kern w:val="0"/>
                <w:sz w:val="18"/>
                <w:szCs w:val="18"/>
              </w:rPr>
              <w:t>2021</w:t>
            </w:r>
            <w:r w:rsidRPr="00234AC9">
              <w:rPr>
                <w:color w:val="000000" w:themeColor="text1"/>
                <w:kern w:val="0"/>
                <w:sz w:val="18"/>
                <w:szCs w:val="18"/>
              </w:rPr>
              <w:t>年</w:t>
            </w:r>
            <w:r w:rsidRPr="00234AC9">
              <w:rPr>
                <w:color w:val="000000" w:themeColor="text1"/>
                <w:kern w:val="0"/>
                <w:sz w:val="18"/>
                <w:szCs w:val="18"/>
              </w:rPr>
              <w:t>1</w:t>
            </w:r>
            <w:r w:rsidRPr="00234AC9">
              <w:rPr>
                <w:color w:val="000000" w:themeColor="text1"/>
                <w:kern w:val="0"/>
                <w:sz w:val="18"/>
                <w:szCs w:val="18"/>
              </w:rPr>
              <w:t>月</w:t>
            </w:r>
            <w:r w:rsidRPr="00234AC9">
              <w:rPr>
                <w:color w:val="000000" w:themeColor="text1"/>
                <w:kern w:val="0"/>
                <w:sz w:val="18"/>
                <w:szCs w:val="18"/>
              </w:rPr>
              <w:t>1</w:t>
            </w:r>
            <w:r w:rsidRPr="00234AC9">
              <w:rPr>
                <w:color w:val="000000" w:themeColor="text1"/>
                <w:kern w:val="0"/>
                <w:sz w:val="18"/>
                <w:szCs w:val="18"/>
              </w:rPr>
              <w:t>日至</w:t>
            </w:r>
            <w:r w:rsidRPr="00234AC9">
              <w:rPr>
                <w:color w:val="000000" w:themeColor="text1"/>
                <w:kern w:val="0"/>
                <w:sz w:val="18"/>
                <w:szCs w:val="18"/>
              </w:rPr>
              <w:t>2021</w:t>
            </w:r>
            <w:r w:rsidRPr="00234AC9">
              <w:rPr>
                <w:color w:val="000000" w:themeColor="text1"/>
                <w:kern w:val="0"/>
                <w:sz w:val="18"/>
                <w:szCs w:val="18"/>
              </w:rPr>
              <w:t>年</w:t>
            </w:r>
            <w:r w:rsidRPr="00234AC9">
              <w:rPr>
                <w:color w:val="000000" w:themeColor="text1"/>
                <w:kern w:val="0"/>
                <w:sz w:val="18"/>
                <w:szCs w:val="18"/>
              </w:rPr>
              <w:t>6</w:t>
            </w:r>
            <w:r w:rsidRPr="00234AC9">
              <w:rPr>
                <w:color w:val="000000" w:themeColor="text1"/>
                <w:kern w:val="0"/>
                <w:sz w:val="18"/>
                <w:szCs w:val="18"/>
              </w:rPr>
              <w:t>月</w:t>
            </w:r>
            <w:r w:rsidRPr="00234AC9">
              <w:rPr>
                <w:color w:val="000000" w:themeColor="text1"/>
                <w:kern w:val="0"/>
                <w:sz w:val="18"/>
                <w:szCs w:val="18"/>
              </w:rPr>
              <w:t>30</w:t>
            </w:r>
            <w:r w:rsidRPr="00234AC9">
              <w:rPr>
                <w:color w:val="000000" w:themeColor="text1"/>
                <w:kern w:val="0"/>
                <w:sz w:val="18"/>
                <w:szCs w:val="18"/>
              </w:rPr>
              <w:t>日期间，公司不存在使用募集资金置换前期投入募集资金投资项目的情况。</w:t>
            </w:r>
          </w:p>
          <w:p w14:paraId="5B923795"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color w:val="000000" w:themeColor="text1"/>
                <w:kern w:val="0"/>
                <w:sz w:val="18"/>
                <w:szCs w:val="18"/>
              </w:rPr>
              <w:t>2021</w:t>
            </w:r>
            <w:r w:rsidRPr="00234AC9">
              <w:rPr>
                <w:color w:val="000000" w:themeColor="text1"/>
                <w:kern w:val="0"/>
                <w:sz w:val="18"/>
                <w:szCs w:val="18"/>
              </w:rPr>
              <w:t>年</w:t>
            </w:r>
            <w:r w:rsidRPr="00234AC9">
              <w:rPr>
                <w:color w:val="000000" w:themeColor="text1"/>
                <w:kern w:val="0"/>
                <w:sz w:val="18"/>
                <w:szCs w:val="18"/>
              </w:rPr>
              <w:t>8</w:t>
            </w:r>
            <w:r w:rsidRPr="00234AC9">
              <w:rPr>
                <w:color w:val="000000" w:themeColor="text1"/>
                <w:kern w:val="0"/>
                <w:sz w:val="18"/>
                <w:szCs w:val="18"/>
              </w:rPr>
              <w:t>月</w:t>
            </w:r>
            <w:r w:rsidRPr="00234AC9">
              <w:rPr>
                <w:color w:val="000000" w:themeColor="text1"/>
                <w:kern w:val="0"/>
                <w:sz w:val="18"/>
                <w:szCs w:val="18"/>
              </w:rPr>
              <w:t>6</w:t>
            </w:r>
            <w:r w:rsidRPr="00234AC9">
              <w:rPr>
                <w:color w:val="000000" w:themeColor="text1"/>
                <w:kern w:val="0"/>
                <w:sz w:val="18"/>
                <w:szCs w:val="18"/>
              </w:rPr>
              <w:t>日公司召开第四届董事会第五次会议及第四届监事会第五次会议，审议通过了《关于使用募集资金置换已预先投入募投项目的自筹资金的议案》，同意公司以募集资金置换预先投入</w:t>
            </w:r>
            <w:proofErr w:type="gramStart"/>
            <w:r w:rsidRPr="00234AC9">
              <w:rPr>
                <w:color w:val="000000" w:themeColor="text1"/>
                <w:kern w:val="0"/>
                <w:sz w:val="18"/>
                <w:szCs w:val="18"/>
              </w:rPr>
              <w:t>募投项目</w:t>
            </w:r>
            <w:proofErr w:type="gramEnd"/>
            <w:r w:rsidRPr="00234AC9">
              <w:rPr>
                <w:color w:val="000000" w:themeColor="text1"/>
                <w:kern w:val="0"/>
                <w:sz w:val="18"/>
                <w:szCs w:val="18"/>
              </w:rPr>
              <w:t>的自筹资金</w:t>
            </w:r>
            <w:r w:rsidRPr="00234AC9">
              <w:rPr>
                <w:color w:val="000000" w:themeColor="text1"/>
                <w:kern w:val="0"/>
                <w:sz w:val="18"/>
                <w:szCs w:val="18"/>
              </w:rPr>
              <w:t>53,166,737.48</w:t>
            </w:r>
            <w:r w:rsidRPr="00234AC9">
              <w:rPr>
                <w:color w:val="000000" w:themeColor="text1"/>
                <w:kern w:val="0"/>
                <w:sz w:val="18"/>
                <w:szCs w:val="18"/>
              </w:rPr>
              <w:t>元。大华会计师事务所（特殊普通合伙）对公司以自筹资金预先投入</w:t>
            </w:r>
            <w:proofErr w:type="gramStart"/>
            <w:r w:rsidRPr="00234AC9">
              <w:rPr>
                <w:color w:val="000000" w:themeColor="text1"/>
                <w:kern w:val="0"/>
                <w:sz w:val="18"/>
                <w:szCs w:val="18"/>
              </w:rPr>
              <w:t>募投项目</w:t>
            </w:r>
            <w:proofErr w:type="gramEnd"/>
            <w:r w:rsidRPr="00234AC9">
              <w:rPr>
                <w:color w:val="000000" w:themeColor="text1"/>
                <w:kern w:val="0"/>
                <w:sz w:val="18"/>
                <w:szCs w:val="18"/>
              </w:rPr>
              <w:t>情况进行了审核，出具了《福建广生堂药业股份有限公司以自筹资金预先投入募集资金投资项目的</w:t>
            </w:r>
            <w:proofErr w:type="gramStart"/>
            <w:r w:rsidRPr="00234AC9">
              <w:rPr>
                <w:color w:val="000000" w:themeColor="text1"/>
                <w:kern w:val="0"/>
                <w:sz w:val="18"/>
                <w:szCs w:val="18"/>
              </w:rPr>
              <w:t>鉴证</w:t>
            </w:r>
            <w:proofErr w:type="gramEnd"/>
            <w:r w:rsidRPr="00234AC9">
              <w:rPr>
                <w:color w:val="000000" w:themeColor="text1"/>
                <w:kern w:val="0"/>
                <w:sz w:val="18"/>
                <w:szCs w:val="18"/>
              </w:rPr>
              <w:t>报告》</w:t>
            </w:r>
            <w:proofErr w:type="gramStart"/>
            <w:r w:rsidRPr="00234AC9">
              <w:rPr>
                <w:color w:val="000000" w:themeColor="text1"/>
                <w:kern w:val="0"/>
                <w:sz w:val="18"/>
                <w:szCs w:val="18"/>
              </w:rPr>
              <w:t>大华核字</w:t>
            </w:r>
            <w:proofErr w:type="gramEnd"/>
            <w:r w:rsidRPr="00234AC9">
              <w:rPr>
                <w:color w:val="000000" w:themeColor="text1"/>
                <w:kern w:val="0"/>
                <w:sz w:val="18"/>
                <w:szCs w:val="18"/>
              </w:rPr>
              <w:t>[2021]0010334</w:t>
            </w:r>
            <w:r w:rsidRPr="00234AC9">
              <w:rPr>
                <w:color w:val="000000" w:themeColor="text1"/>
                <w:kern w:val="0"/>
                <w:sz w:val="18"/>
                <w:szCs w:val="18"/>
              </w:rPr>
              <w:t>号。</w:t>
            </w:r>
          </w:p>
        </w:tc>
      </w:tr>
      <w:tr w:rsidR="00234AC9" w:rsidRPr="00234AC9" w14:paraId="4B38893C" w14:textId="77777777" w:rsidTr="00AA34D4">
        <w:tblPrEx>
          <w:tblCellMar>
            <w:left w:w="108" w:type="dxa"/>
            <w:right w:w="108" w:type="dxa"/>
          </w:tblCellMar>
        </w:tblPrEx>
        <w:trPr>
          <w:trHeight w:val="340"/>
        </w:trPr>
        <w:tc>
          <w:tcPr>
            <w:tcW w:w="2835" w:type="dxa"/>
            <w:vAlign w:val="center"/>
          </w:tcPr>
          <w:p w14:paraId="4B38893A"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用闲置募集资金暂时补充流动资金情况</w:t>
            </w:r>
          </w:p>
        </w:tc>
        <w:tc>
          <w:tcPr>
            <w:tcW w:w="11225" w:type="dxa"/>
            <w:gridSpan w:val="11"/>
            <w:vAlign w:val="center"/>
          </w:tcPr>
          <w:p w14:paraId="00488527" w14:textId="77777777" w:rsidR="00C81C0C" w:rsidRPr="00234AC9" w:rsidRDefault="00000000">
            <w:pPr>
              <w:widowControl/>
              <w:snapToGrid w:val="0"/>
              <w:jc w:val="left"/>
              <w:rPr>
                <w:color w:val="000000" w:themeColor="text1"/>
                <w:kern w:val="0"/>
                <w:sz w:val="18"/>
                <w:szCs w:val="18"/>
              </w:rPr>
            </w:pPr>
            <w:r w:rsidRPr="00234AC9">
              <w:rPr>
                <w:rFonts w:hint="eastAsia"/>
                <w:color w:val="000000" w:themeColor="text1"/>
                <w:kern w:val="0"/>
                <w:sz w:val="18"/>
                <w:szCs w:val="18"/>
              </w:rPr>
              <w:t>（</w:t>
            </w:r>
            <w:r w:rsidRPr="00234AC9">
              <w:rPr>
                <w:rFonts w:hint="eastAsia"/>
                <w:color w:val="000000" w:themeColor="text1"/>
                <w:kern w:val="0"/>
                <w:sz w:val="18"/>
                <w:szCs w:val="18"/>
              </w:rPr>
              <w:t>1</w:t>
            </w:r>
            <w:r w:rsidRPr="00234AC9">
              <w:rPr>
                <w:rFonts w:hint="eastAsia"/>
                <w:color w:val="000000" w:themeColor="text1"/>
                <w:kern w:val="0"/>
                <w:sz w:val="18"/>
                <w:szCs w:val="18"/>
              </w:rPr>
              <w:t>）</w:t>
            </w:r>
            <w:r w:rsidRPr="00234AC9">
              <w:rPr>
                <w:rFonts w:hint="eastAsia"/>
                <w:color w:val="000000" w:themeColor="text1"/>
                <w:kern w:val="0"/>
                <w:sz w:val="18"/>
                <w:szCs w:val="18"/>
              </w:rPr>
              <w:t>2022</w:t>
            </w:r>
            <w:r w:rsidRPr="00234AC9">
              <w:rPr>
                <w:rFonts w:hint="eastAsia"/>
                <w:color w:val="000000" w:themeColor="text1"/>
                <w:kern w:val="0"/>
                <w:sz w:val="18"/>
                <w:szCs w:val="18"/>
              </w:rPr>
              <w:t>年</w:t>
            </w:r>
            <w:r w:rsidRPr="00234AC9">
              <w:rPr>
                <w:rFonts w:hint="eastAsia"/>
                <w:color w:val="000000" w:themeColor="text1"/>
                <w:kern w:val="0"/>
                <w:sz w:val="18"/>
                <w:szCs w:val="18"/>
              </w:rPr>
              <w:t>7</w:t>
            </w:r>
            <w:r w:rsidRPr="00234AC9">
              <w:rPr>
                <w:rFonts w:hint="eastAsia"/>
                <w:color w:val="000000" w:themeColor="text1"/>
                <w:kern w:val="0"/>
                <w:sz w:val="18"/>
                <w:szCs w:val="18"/>
              </w:rPr>
              <w:t>月</w:t>
            </w:r>
            <w:r w:rsidRPr="00234AC9">
              <w:rPr>
                <w:rFonts w:hint="eastAsia"/>
                <w:color w:val="000000" w:themeColor="text1"/>
                <w:kern w:val="0"/>
                <w:sz w:val="18"/>
                <w:szCs w:val="18"/>
              </w:rPr>
              <w:t>27</w:t>
            </w:r>
            <w:r w:rsidRPr="00234AC9">
              <w:rPr>
                <w:rFonts w:hint="eastAsia"/>
                <w:color w:val="000000" w:themeColor="text1"/>
                <w:kern w:val="0"/>
                <w:sz w:val="18"/>
                <w:szCs w:val="18"/>
              </w:rPr>
              <w:t>日，召开第四届董事会第十四次会议和第四届监事会第十三次会议，审议通过了《关于使用部分闲置募集资金暂时补充流动资金的议案》，同意公司使用部分闲置募集资金</w:t>
            </w:r>
            <w:r w:rsidRPr="00234AC9">
              <w:rPr>
                <w:rFonts w:hint="eastAsia"/>
                <w:color w:val="000000" w:themeColor="text1"/>
                <w:kern w:val="0"/>
                <w:sz w:val="18"/>
                <w:szCs w:val="18"/>
              </w:rPr>
              <w:t>5,000</w:t>
            </w:r>
            <w:r w:rsidRPr="00234AC9">
              <w:rPr>
                <w:rFonts w:hint="eastAsia"/>
                <w:color w:val="000000" w:themeColor="text1"/>
                <w:kern w:val="0"/>
                <w:sz w:val="18"/>
                <w:szCs w:val="18"/>
              </w:rPr>
              <w:t>万元暂时补充流动资金，使用期限自董事会审议通过之日起不超过</w:t>
            </w:r>
            <w:r w:rsidRPr="00234AC9">
              <w:rPr>
                <w:rFonts w:hint="eastAsia"/>
                <w:color w:val="000000" w:themeColor="text1"/>
                <w:kern w:val="0"/>
                <w:sz w:val="18"/>
                <w:szCs w:val="18"/>
              </w:rPr>
              <w:t>12</w:t>
            </w:r>
            <w:r w:rsidRPr="00234AC9">
              <w:rPr>
                <w:rFonts w:hint="eastAsia"/>
                <w:color w:val="000000" w:themeColor="text1"/>
                <w:kern w:val="0"/>
                <w:sz w:val="18"/>
                <w:szCs w:val="18"/>
              </w:rPr>
              <w:t>个月，到期后将归还至募集资金专户。公司实际使用闲置募集资金</w:t>
            </w:r>
            <w:r w:rsidRPr="00234AC9">
              <w:rPr>
                <w:rFonts w:hint="eastAsia"/>
                <w:color w:val="000000" w:themeColor="text1"/>
                <w:kern w:val="0"/>
                <w:sz w:val="18"/>
                <w:szCs w:val="18"/>
              </w:rPr>
              <w:t xml:space="preserve"> 3,500 </w:t>
            </w:r>
            <w:r w:rsidRPr="00234AC9">
              <w:rPr>
                <w:rFonts w:hint="eastAsia"/>
                <w:color w:val="000000" w:themeColor="text1"/>
                <w:kern w:val="0"/>
                <w:sz w:val="18"/>
                <w:szCs w:val="18"/>
              </w:rPr>
              <w:t>万元暂时补充流动资金，并已于</w:t>
            </w:r>
            <w:r w:rsidRPr="00234AC9">
              <w:rPr>
                <w:rFonts w:hint="eastAsia"/>
                <w:color w:val="000000" w:themeColor="text1"/>
                <w:kern w:val="0"/>
                <w:sz w:val="18"/>
                <w:szCs w:val="18"/>
              </w:rPr>
              <w:t>2023</w:t>
            </w:r>
            <w:r w:rsidRPr="00234AC9">
              <w:rPr>
                <w:rFonts w:hint="eastAsia"/>
                <w:color w:val="000000" w:themeColor="text1"/>
                <w:kern w:val="0"/>
                <w:sz w:val="18"/>
                <w:szCs w:val="18"/>
              </w:rPr>
              <w:t>年</w:t>
            </w:r>
            <w:r w:rsidRPr="00234AC9">
              <w:rPr>
                <w:rFonts w:hint="eastAsia"/>
                <w:color w:val="000000" w:themeColor="text1"/>
                <w:kern w:val="0"/>
                <w:sz w:val="18"/>
                <w:szCs w:val="18"/>
              </w:rPr>
              <w:t>6</w:t>
            </w:r>
            <w:r w:rsidRPr="00234AC9">
              <w:rPr>
                <w:rFonts w:hint="eastAsia"/>
                <w:color w:val="000000" w:themeColor="text1"/>
                <w:kern w:val="0"/>
                <w:sz w:val="18"/>
                <w:szCs w:val="18"/>
              </w:rPr>
              <w:t>月归还至募集资金专户。</w:t>
            </w:r>
          </w:p>
          <w:p w14:paraId="30366B0F"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hint="eastAsia"/>
                <w:color w:val="000000" w:themeColor="text1"/>
                <w:kern w:val="0"/>
                <w:sz w:val="18"/>
                <w:szCs w:val="18"/>
              </w:rPr>
              <w:t>（</w:t>
            </w:r>
            <w:r w:rsidRPr="00234AC9">
              <w:rPr>
                <w:rFonts w:hint="eastAsia"/>
                <w:color w:val="000000" w:themeColor="text1"/>
                <w:kern w:val="0"/>
                <w:sz w:val="18"/>
                <w:szCs w:val="18"/>
              </w:rPr>
              <w:t>2</w:t>
            </w:r>
            <w:r w:rsidRPr="00234AC9">
              <w:rPr>
                <w:rFonts w:hint="eastAsia"/>
                <w:color w:val="000000" w:themeColor="text1"/>
                <w:kern w:val="0"/>
                <w:sz w:val="18"/>
                <w:szCs w:val="18"/>
              </w:rPr>
              <w:t>）</w:t>
            </w:r>
            <w:r w:rsidRPr="00234AC9">
              <w:rPr>
                <w:rFonts w:hint="eastAsia"/>
                <w:color w:val="000000" w:themeColor="text1"/>
                <w:kern w:val="0"/>
                <w:sz w:val="18"/>
                <w:szCs w:val="18"/>
              </w:rPr>
              <w:t>2023</w:t>
            </w:r>
            <w:r w:rsidRPr="00234AC9">
              <w:rPr>
                <w:rFonts w:hint="eastAsia"/>
                <w:color w:val="000000" w:themeColor="text1"/>
                <w:kern w:val="0"/>
                <w:sz w:val="18"/>
                <w:szCs w:val="18"/>
              </w:rPr>
              <w:t>年</w:t>
            </w:r>
            <w:r w:rsidRPr="00234AC9">
              <w:rPr>
                <w:rFonts w:hint="eastAsia"/>
                <w:color w:val="000000" w:themeColor="text1"/>
                <w:kern w:val="0"/>
                <w:sz w:val="18"/>
                <w:szCs w:val="18"/>
              </w:rPr>
              <w:t>7</w:t>
            </w:r>
            <w:r w:rsidRPr="00234AC9">
              <w:rPr>
                <w:rFonts w:hint="eastAsia"/>
                <w:color w:val="000000" w:themeColor="text1"/>
                <w:kern w:val="0"/>
                <w:sz w:val="18"/>
                <w:szCs w:val="18"/>
              </w:rPr>
              <w:t>月</w:t>
            </w:r>
            <w:r w:rsidRPr="00234AC9">
              <w:rPr>
                <w:rFonts w:hint="eastAsia"/>
                <w:color w:val="000000" w:themeColor="text1"/>
                <w:kern w:val="0"/>
                <w:sz w:val="18"/>
                <w:szCs w:val="18"/>
              </w:rPr>
              <w:t>13</w:t>
            </w:r>
            <w:r w:rsidRPr="00234AC9">
              <w:rPr>
                <w:rFonts w:hint="eastAsia"/>
                <w:color w:val="000000" w:themeColor="text1"/>
                <w:kern w:val="0"/>
                <w:sz w:val="18"/>
                <w:szCs w:val="18"/>
              </w:rPr>
              <w:t>日，公司召开第四届董事会第二十三次会议和第四届监事会第二十一次会议，审议通过《关于使用部分闲置募集资金暂时补充流动资金的议案》，同意公司使用部分闲置募集资金不超过人民币</w:t>
            </w:r>
            <w:r w:rsidRPr="00234AC9">
              <w:rPr>
                <w:rFonts w:hint="eastAsia"/>
                <w:color w:val="000000" w:themeColor="text1"/>
                <w:kern w:val="0"/>
                <w:sz w:val="18"/>
                <w:szCs w:val="18"/>
              </w:rPr>
              <w:t>7,000</w:t>
            </w:r>
            <w:r w:rsidRPr="00234AC9">
              <w:rPr>
                <w:rFonts w:hint="eastAsia"/>
                <w:color w:val="000000" w:themeColor="text1"/>
                <w:kern w:val="0"/>
                <w:sz w:val="18"/>
                <w:szCs w:val="18"/>
              </w:rPr>
              <w:t>万元（含本数）暂时补充流动资金，使用期限自董事会审议通过之日起不超过</w:t>
            </w:r>
            <w:r w:rsidRPr="00234AC9">
              <w:rPr>
                <w:rFonts w:hint="eastAsia"/>
                <w:color w:val="000000" w:themeColor="text1"/>
                <w:kern w:val="0"/>
                <w:sz w:val="18"/>
                <w:szCs w:val="18"/>
              </w:rPr>
              <w:t>12</w:t>
            </w:r>
            <w:r w:rsidRPr="00234AC9">
              <w:rPr>
                <w:rFonts w:hint="eastAsia"/>
                <w:color w:val="000000" w:themeColor="text1"/>
                <w:kern w:val="0"/>
                <w:sz w:val="18"/>
                <w:szCs w:val="18"/>
              </w:rPr>
              <w:t>个月，到期前或募集资金投资项目需要时立即归还至募集资金专户。公司实际使用</w:t>
            </w:r>
            <w:r w:rsidRPr="00234AC9">
              <w:rPr>
                <w:rFonts w:hint="eastAsia"/>
                <w:color w:val="000000" w:themeColor="text1"/>
                <w:kern w:val="0"/>
                <w:sz w:val="18"/>
                <w:szCs w:val="18"/>
              </w:rPr>
              <w:t>4,500</w:t>
            </w:r>
            <w:r w:rsidRPr="00234AC9">
              <w:rPr>
                <w:rFonts w:hint="eastAsia"/>
                <w:color w:val="000000" w:themeColor="text1"/>
                <w:kern w:val="0"/>
                <w:sz w:val="18"/>
                <w:szCs w:val="18"/>
              </w:rPr>
              <w:t>万元用于暂时补充流动资金。并已于</w:t>
            </w:r>
            <w:r w:rsidRPr="00234AC9">
              <w:rPr>
                <w:rFonts w:hint="eastAsia"/>
                <w:color w:val="000000" w:themeColor="text1"/>
                <w:kern w:val="0"/>
                <w:sz w:val="18"/>
                <w:szCs w:val="18"/>
              </w:rPr>
              <w:t>2024</w:t>
            </w:r>
            <w:r w:rsidRPr="00234AC9">
              <w:rPr>
                <w:rFonts w:hint="eastAsia"/>
                <w:color w:val="000000" w:themeColor="text1"/>
                <w:kern w:val="0"/>
                <w:sz w:val="18"/>
                <w:szCs w:val="18"/>
              </w:rPr>
              <w:t>年</w:t>
            </w:r>
            <w:r w:rsidRPr="00234AC9">
              <w:rPr>
                <w:rFonts w:hint="eastAsia"/>
                <w:color w:val="000000" w:themeColor="text1"/>
                <w:kern w:val="0"/>
                <w:sz w:val="18"/>
                <w:szCs w:val="18"/>
              </w:rPr>
              <w:t>1</w:t>
            </w:r>
            <w:r w:rsidRPr="00234AC9">
              <w:rPr>
                <w:rFonts w:hint="eastAsia"/>
                <w:color w:val="000000" w:themeColor="text1"/>
                <w:kern w:val="0"/>
                <w:sz w:val="18"/>
                <w:szCs w:val="18"/>
              </w:rPr>
              <w:t>月</w:t>
            </w:r>
            <w:r w:rsidRPr="00234AC9">
              <w:rPr>
                <w:rFonts w:hint="eastAsia"/>
                <w:color w:val="000000" w:themeColor="text1"/>
                <w:kern w:val="0"/>
                <w:sz w:val="18"/>
                <w:szCs w:val="18"/>
              </w:rPr>
              <w:t>15</w:t>
            </w:r>
            <w:r w:rsidRPr="00234AC9">
              <w:rPr>
                <w:rFonts w:hint="eastAsia"/>
                <w:color w:val="000000" w:themeColor="text1"/>
                <w:kern w:val="0"/>
                <w:sz w:val="18"/>
                <w:szCs w:val="18"/>
              </w:rPr>
              <w:t>日归还至募集资金专户。</w:t>
            </w:r>
          </w:p>
        </w:tc>
      </w:tr>
      <w:tr w:rsidR="00234AC9" w:rsidRPr="00234AC9" w14:paraId="4B38893F" w14:textId="77777777" w:rsidTr="00AA34D4">
        <w:tblPrEx>
          <w:tblCellMar>
            <w:left w:w="108" w:type="dxa"/>
            <w:right w:w="108" w:type="dxa"/>
          </w:tblCellMar>
        </w:tblPrEx>
        <w:trPr>
          <w:trHeight w:val="340"/>
        </w:trPr>
        <w:tc>
          <w:tcPr>
            <w:tcW w:w="2835" w:type="dxa"/>
            <w:vAlign w:val="center"/>
          </w:tcPr>
          <w:p w14:paraId="4B38893D"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项目实施出现募集资金结余的金额及原因</w:t>
            </w:r>
          </w:p>
        </w:tc>
        <w:tc>
          <w:tcPr>
            <w:tcW w:w="11225" w:type="dxa"/>
            <w:gridSpan w:val="11"/>
            <w:vAlign w:val="center"/>
          </w:tcPr>
          <w:p w14:paraId="32315CDD" w14:textId="77777777" w:rsidR="00C81C0C" w:rsidRPr="00234AC9" w:rsidRDefault="00000000">
            <w:pPr>
              <w:widowControl/>
              <w:snapToGrid w:val="0"/>
              <w:jc w:val="left"/>
              <w:rPr>
                <w:color w:val="000000" w:themeColor="text1"/>
                <w:kern w:val="0"/>
                <w:sz w:val="18"/>
                <w:szCs w:val="18"/>
              </w:rPr>
            </w:pPr>
            <w:r w:rsidRPr="00234AC9">
              <w:rPr>
                <w:rFonts w:hint="eastAsia"/>
                <w:color w:val="000000" w:themeColor="text1"/>
                <w:kern w:val="0"/>
                <w:sz w:val="18"/>
                <w:szCs w:val="18"/>
              </w:rPr>
              <w:t>公司于</w:t>
            </w:r>
            <w:r w:rsidRPr="00234AC9">
              <w:rPr>
                <w:rFonts w:hint="eastAsia"/>
                <w:color w:val="000000" w:themeColor="text1"/>
                <w:kern w:val="0"/>
                <w:sz w:val="18"/>
                <w:szCs w:val="18"/>
              </w:rPr>
              <w:t>2024</w:t>
            </w:r>
            <w:r w:rsidRPr="00234AC9">
              <w:rPr>
                <w:rFonts w:hint="eastAsia"/>
                <w:color w:val="000000" w:themeColor="text1"/>
                <w:kern w:val="0"/>
                <w:sz w:val="18"/>
                <w:szCs w:val="18"/>
              </w:rPr>
              <w:t>年</w:t>
            </w:r>
            <w:r w:rsidRPr="00234AC9">
              <w:rPr>
                <w:rFonts w:hint="eastAsia"/>
                <w:color w:val="000000" w:themeColor="text1"/>
                <w:kern w:val="0"/>
                <w:sz w:val="18"/>
                <w:szCs w:val="18"/>
              </w:rPr>
              <w:t>7</w:t>
            </w:r>
            <w:r w:rsidRPr="00234AC9">
              <w:rPr>
                <w:rFonts w:hint="eastAsia"/>
                <w:color w:val="000000" w:themeColor="text1"/>
                <w:kern w:val="0"/>
                <w:sz w:val="18"/>
                <w:szCs w:val="18"/>
              </w:rPr>
              <w:t>月</w:t>
            </w:r>
            <w:r w:rsidRPr="00234AC9">
              <w:rPr>
                <w:rFonts w:hint="eastAsia"/>
                <w:color w:val="000000" w:themeColor="text1"/>
                <w:kern w:val="0"/>
                <w:sz w:val="18"/>
                <w:szCs w:val="18"/>
              </w:rPr>
              <w:t>30</w:t>
            </w:r>
            <w:r w:rsidRPr="00234AC9">
              <w:rPr>
                <w:rFonts w:hint="eastAsia"/>
                <w:color w:val="000000" w:themeColor="text1"/>
                <w:kern w:val="0"/>
                <w:sz w:val="18"/>
                <w:szCs w:val="18"/>
              </w:rPr>
              <w:t>日召开第五届董事会第二次会议和第五届监事会第二次会议，审议通过了《关于部分募投项目结项并将节余募集资金永久补充流动资金的议案》。公司</w:t>
            </w:r>
            <w:r w:rsidRPr="00234AC9">
              <w:rPr>
                <w:rFonts w:hint="eastAsia"/>
                <w:color w:val="000000" w:themeColor="text1"/>
                <w:kern w:val="0"/>
                <w:sz w:val="18"/>
                <w:szCs w:val="18"/>
              </w:rPr>
              <w:t>2020</w:t>
            </w:r>
            <w:r w:rsidRPr="00234AC9">
              <w:rPr>
                <w:rFonts w:hint="eastAsia"/>
                <w:color w:val="000000" w:themeColor="text1"/>
                <w:kern w:val="0"/>
                <w:sz w:val="18"/>
                <w:szCs w:val="18"/>
              </w:rPr>
              <w:t>年创业板向特定对象发行</w:t>
            </w:r>
            <w:r w:rsidRPr="00234AC9">
              <w:rPr>
                <w:rFonts w:hint="eastAsia"/>
                <w:color w:val="000000" w:themeColor="text1"/>
                <w:kern w:val="0"/>
                <w:sz w:val="18"/>
                <w:szCs w:val="18"/>
              </w:rPr>
              <w:t>A</w:t>
            </w:r>
            <w:r w:rsidRPr="00234AC9">
              <w:rPr>
                <w:rFonts w:hint="eastAsia"/>
                <w:color w:val="000000" w:themeColor="text1"/>
                <w:kern w:val="0"/>
                <w:sz w:val="18"/>
                <w:szCs w:val="18"/>
              </w:rPr>
              <w:t>股股票的募集资金投资项目中的“原料药制剂一体化生产基地建设项目”已达到预定可使用状态，</w:t>
            </w:r>
            <w:proofErr w:type="gramStart"/>
            <w:r w:rsidRPr="00234AC9">
              <w:rPr>
                <w:rFonts w:hint="eastAsia"/>
                <w:color w:val="000000" w:themeColor="text1"/>
                <w:kern w:val="0"/>
                <w:sz w:val="18"/>
                <w:szCs w:val="18"/>
              </w:rPr>
              <w:t>满足结项条件</w:t>
            </w:r>
            <w:proofErr w:type="gramEnd"/>
            <w:r w:rsidRPr="00234AC9">
              <w:rPr>
                <w:rFonts w:hint="eastAsia"/>
                <w:color w:val="000000" w:themeColor="text1"/>
                <w:kern w:val="0"/>
                <w:sz w:val="18"/>
                <w:szCs w:val="18"/>
              </w:rPr>
              <w:t>，同意公司将该项目节余资金用于永久补充流动资金，同时授权公司管理层及其授权人士负责办</w:t>
            </w:r>
            <w:r w:rsidRPr="00234AC9">
              <w:rPr>
                <w:rFonts w:hint="eastAsia"/>
                <w:color w:val="000000" w:themeColor="text1"/>
                <w:kern w:val="0"/>
                <w:sz w:val="18"/>
                <w:szCs w:val="18"/>
              </w:rPr>
              <w:lastRenderedPageBreak/>
              <w:t>理本次专户注销事项。</w:t>
            </w:r>
            <w:r w:rsidRPr="00234AC9">
              <w:rPr>
                <w:rFonts w:hint="eastAsia"/>
                <w:color w:val="000000" w:themeColor="text1"/>
                <w:kern w:val="0"/>
                <w:sz w:val="18"/>
                <w:szCs w:val="18"/>
              </w:rPr>
              <w:t>2024</w:t>
            </w:r>
            <w:r w:rsidRPr="00234AC9">
              <w:rPr>
                <w:rFonts w:hint="eastAsia"/>
                <w:color w:val="000000" w:themeColor="text1"/>
                <w:kern w:val="0"/>
                <w:sz w:val="18"/>
                <w:szCs w:val="18"/>
              </w:rPr>
              <w:t>年</w:t>
            </w:r>
            <w:r w:rsidRPr="00234AC9">
              <w:rPr>
                <w:rFonts w:hint="eastAsia"/>
                <w:color w:val="000000" w:themeColor="text1"/>
                <w:kern w:val="0"/>
                <w:sz w:val="18"/>
                <w:szCs w:val="18"/>
              </w:rPr>
              <w:t>8</w:t>
            </w:r>
            <w:r w:rsidRPr="00234AC9">
              <w:rPr>
                <w:rFonts w:hint="eastAsia"/>
                <w:color w:val="000000" w:themeColor="text1"/>
                <w:kern w:val="0"/>
                <w:sz w:val="18"/>
                <w:szCs w:val="18"/>
              </w:rPr>
              <w:t>月</w:t>
            </w:r>
            <w:r w:rsidRPr="00234AC9">
              <w:rPr>
                <w:rFonts w:hint="eastAsia"/>
                <w:color w:val="000000" w:themeColor="text1"/>
                <w:kern w:val="0"/>
                <w:sz w:val="18"/>
                <w:szCs w:val="18"/>
              </w:rPr>
              <w:t>16</w:t>
            </w:r>
            <w:r w:rsidRPr="00234AC9">
              <w:rPr>
                <w:rFonts w:hint="eastAsia"/>
                <w:color w:val="000000" w:themeColor="text1"/>
                <w:kern w:val="0"/>
                <w:sz w:val="18"/>
                <w:szCs w:val="18"/>
              </w:rPr>
              <w:t>日，本议案在公司</w:t>
            </w:r>
            <w:r w:rsidRPr="00234AC9">
              <w:rPr>
                <w:rFonts w:hint="eastAsia"/>
                <w:color w:val="000000" w:themeColor="text1"/>
                <w:kern w:val="0"/>
                <w:sz w:val="18"/>
                <w:szCs w:val="18"/>
              </w:rPr>
              <w:t>2024</w:t>
            </w:r>
            <w:r w:rsidRPr="00234AC9">
              <w:rPr>
                <w:rFonts w:hint="eastAsia"/>
                <w:color w:val="000000" w:themeColor="text1"/>
                <w:kern w:val="0"/>
                <w:sz w:val="18"/>
                <w:szCs w:val="18"/>
              </w:rPr>
              <w:t>年第三次临时股东大会决议中获得通过。</w:t>
            </w:r>
            <w:r w:rsidRPr="00234AC9">
              <w:rPr>
                <w:rFonts w:hint="eastAsia"/>
                <w:color w:val="000000" w:themeColor="text1"/>
                <w:kern w:val="0"/>
                <w:sz w:val="18"/>
                <w:szCs w:val="18"/>
              </w:rPr>
              <w:t>2024</w:t>
            </w:r>
            <w:r w:rsidRPr="00234AC9">
              <w:rPr>
                <w:rFonts w:hint="eastAsia"/>
                <w:color w:val="000000" w:themeColor="text1"/>
                <w:kern w:val="0"/>
                <w:sz w:val="18"/>
                <w:szCs w:val="18"/>
              </w:rPr>
              <w:t>年</w:t>
            </w:r>
            <w:r w:rsidRPr="00234AC9">
              <w:rPr>
                <w:rFonts w:hint="eastAsia"/>
                <w:color w:val="000000" w:themeColor="text1"/>
                <w:kern w:val="0"/>
                <w:sz w:val="18"/>
                <w:szCs w:val="18"/>
              </w:rPr>
              <w:t>8</w:t>
            </w:r>
            <w:r w:rsidRPr="00234AC9">
              <w:rPr>
                <w:rFonts w:hint="eastAsia"/>
                <w:color w:val="000000" w:themeColor="text1"/>
                <w:kern w:val="0"/>
                <w:sz w:val="18"/>
                <w:szCs w:val="18"/>
              </w:rPr>
              <w:t>月，公司将剩余募集资金（含利息）</w:t>
            </w:r>
            <w:r w:rsidRPr="00234AC9">
              <w:rPr>
                <w:rFonts w:hint="eastAsia"/>
                <w:color w:val="000000" w:themeColor="text1"/>
                <w:kern w:val="0"/>
                <w:sz w:val="18"/>
                <w:szCs w:val="18"/>
              </w:rPr>
              <w:t>3,801.74</w:t>
            </w:r>
            <w:r w:rsidRPr="00234AC9">
              <w:rPr>
                <w:rFonts w:hint="eastAsia"/>
                <w:color w:val="000000" w:themeColor="text1"/>
                <w:kern w:val="0"/>
                <w:sz w:val="18"/>
                <w:szCs w:val="18"/>
              </w:rPr>
              <w:t>万元划转至公司基本户，其中利息</w:t>
            </w:r>
            <w:r w:rsidRPr="00234AC9">
              <w:rPr>
                <w:rFonts w:hint="eastAsia"/>
                <w:color w:val="000000" w:themeColor="text1"/>
                <w:kern w:val="0"/>
                <w:sz w:val="18"/>
                <w:szCs w:val="18"/>
              </w:rPr>
              <w:t>828.80</w:t>
            </w:r>
            <w:r w:rsidRPr="00234AC9">
              <w:rPr>
                <w:rFonts w:hint="eastAsia"/>
                <w:color w:val="000000" w:themeColor="text1"/>
                <w:kern w:val="0"/>
                <w:sz w:val="18"/>
                <w:szCs w:val="18"/>
              </w:rPr>
              <w:t>万元。募集资金节余的主要原因为：</w:t>
            </w:r>
          </w:p>
          <w:p w14:paraId="314DAFF2" w14:textId="77777777" w:rsidR="00C81C0C" w:rsidRPr="00234AC9" w:rsidRDefault="00000000">
            <w:pPr>
              <w:widowControl/>
              <w:snapToGrid w:val="0"/>
              <w:jc w:val="left"/>
              <w:rPr>
                <w:color w:val="000000" w:themeColor="text1"/>
                <w:kern w:val="0"/>
                <w:sz w:val="18"/>
                <w:szCs w:val="18"/>
              </w:rPr>
            </w:pPr>
            <w:r w:rsidRPr="00234AC9">
              <w:rPr>
                <w:rFonts w:hint="eastAsia"/>
                <w:color w:val="000000" w:themeColor="text1"/>
                <w:kern w:val="0"/>
                <w:sz w:val="18"/>
                <w:szCs w:val="18"/>
              </w:rPr>
              <w:t>（</w:t>
            </w:r>
            <w:r w:rsidRPr="00234AC9">
              <w:rPr>
                <w:rFonts w:hint="eastAsia"/>
                <w:color w:val="000000" w:themeColor="text1"/>
                <w:kern w:val="0"/>
                <w:sz w:val="18"/>
                <w:szCs w:val="18"/>
              </w:rPr>
              <w:t>1</w:t>
            </w:r>
            <w:r w:rsidRPr="00234AC9">
              <w:rPr>
                <w:rFonts w:hint="eastAsia"/>
                <w:color w:val="000000" w:themeColor="text1"/>
                <w:kern w:val="0"/>
                <w:sz w:val="18"/>
                <w:szCs w:val="18"/>
              </w:rPr>
              <w:t>）</w:t>
            </w:r>
            <w:proofErr w:type="gramStart"/>
            <w:r w:rsidRPr="00234AC9">
              <w:rPr>
                <w:rFonts w:hint="eastAsia"/>
                <w:color w:val="000000" w:themeColor="text1"/>
                <w:kern w:val="0"/>
                <w:sz w:val="18"/>
                <w:szCs w:val="18"/>
              </w:rPr>
              <w:t>本次募投项目</w:t>
            </w:r>
            <w:proofErr w:type="gramEnd"/>
            <w:r w:rsidRPr="00234AC9">
              <w:rPr>
                <w:rFonts w:hint="eastAsia"/>
                <w:color w:val="000000" w:themeColor="text1"/>
                <w:kern w:val="0"/>
                <w:sz w:val="18"/>
                <w:szCs w:val="18"/>
              </w:rPr>
              <w:t>“原料药制剂一体化生产基地建设项目”</w:t>
            </w:r>
            <w:proofErr w:type="gramStart"/>
            <w:r w:rsidRPr="00234AC9">
              <w:rPr>
                <w:rFonts w:hint="eastAsia"/>
                <w:color w:val="000000" w:themeColor="text1"/>
                <w:kern w:val="0"/>
                <w:sz w:val="18"/>
                <w:szCs w:val="18"/>
              </w:rPr>
              <w:t>结项后</w:t>
            </w:r>
            <w:proofErr w:type="gramEnd"/>
            <w:r w:rsidRPr="00234AC9">
              <w:rPr>
                <w:rFonts w:hint="eastAsia"/>
                <w:color w:val="000000" w:themeColor="text1"/>
                <w:kern w:val="0"/>
                <w:sz w:val="18"/>
                <w:szCs w:val="18"/>
              </w:rPr>
              <w:t>节余金额包括尚未支付的工程施工合同质保金等，因该等合同质保金支付时间周期较长，拟将节余金额永久补充流动资金，用于公司日常生产经营，有利于提高资金使用效率，避免资金长期闲置。</w:t>
            </w:r>
          </w:p>
          <w:p w14:paraId="3935D268"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hint="eastAsia"/>
                <w:color w:val="000000" w:themeColor="text1"/>
                <w:kern w:val="0"/>
                <w:sz w:val="18"/>
                <w:szCs w:val="18"/>
              </w:rPr>
              <w:t>（</w:t>
            </w:r>
            <w:r w:rsidRPr="00234AC9">
              <w:rPr>
                <w:rFonts w:hint="eastAsia"/>
                <w:color w:val="000000" w:themeColor="text1"/>
                <w:kern w:val="0"/>
                <w:sz w:val="18"/>
                <w:szCs w:val="18"/>
              </w:rPr>
              <w:t>2</w:t>
            </w:r>
            <w:r w:rsidRPr="00234AC9">
              <w:rPr>
                <w:rFonts w:hint="eastAsia"/>
                <w:color w:val="000000" w:themeColor="text1"/>
                <w:kern w:val="0"/>
                <w:sz w:val="18"/>
                <w:szCs w:val="18"/>
              </w:rPr>
              <w:t>）在</w:t>
            </w:r>
            <w:proofErr w:type="gramStart"/>
            <w:r w:rsidRPr="00234AC9">
              <w:rPr>
                <w:rFonts w:hint="eastAsia"/>
                <w:color w:val="000000" w:themeColor="text1"/>
                <w:kern w:val="0"/>
                <w:sz w:val="18"/>
                <w:szCs w:val="18"/>
              </w:rPr>
              <w:t>募投项目</w:t>
            </w:r>
            <w:proofErr w:type="gramEnd"/>
            <w:r w:rsidRPr="00234AC9">
              <w:rPr>
                <w:rFonts w:hint="eastAsia"/>
                <w:color w:val="000000" w:themeColor="text1"/>
                <w:kern w:val="0"/>
                <w:sz w:val="18"/>
                <w:szCs w:val="18"/>
              </w:rPr>
              <w:t>实施过程中，公司严格遵守募集资金使用的有关规定，本着合理、节约、有效的原则，从项目的实际情况出发，科学审慎地使用募集资金。在保证项目质量和控制实施风险的前提下，加强项目建设各个环节费用的控制、监督和管理，对各项资源进行合理调度和优化，合理降低项目建设成本和费用，节约了募集资金支出。</w:t>
            </w:r>
          </w:p>
        </w:tc>
      </w:tr>
      <w:tr w:rsidR="00234AC9" w:rsidRPr="00234AC9" w14:paraId="4B388942" w14:textId="77777777" w:rsidTr="00AA34D4">
        <w:tblPrEx>
          <w:tblCellMar>
            <w:left w:w="108" w:type="dxa"/>
            <w:right w:w="108" w:type="dxa"/>
          </w:tblCellMar>
        </w:tblPrEx>
        <w:trPr>
          <w:trHeight w:val="340"/>
        </w:trPr>
        <w:tc>
          <w:tcPr>
            <w:tcW w:w="2835" w:type="dxa"/>
            <w:vAlign w:val="center"/>
          </w:tcPr>
          <w:p w14:paraId="4B388940"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lastRenderedPageBreak/>
              <w:t>尚未使用的募集资金用途及去向</w:t>
            </w:r>
          </w:p>
        </w:tc>
        <w:tc>
          <w:tcPr>
            <w:tcW w:w="11225" w:type="dxa"/>
            <w:gridSpan w:val="11"/>
            <w:shd w:val="clear" w:color="auto" w:fill="auto"/>
            <w:vAlign w:val="center"/>
          </w:tcPr>
          <w:p w14:paraId="4B388941" w14:textId="77777777" w:rsidR="00C81C0C" w:rsidRPr="00234AC9" w:rsidRDefault="00000000">
            <w:pPr>
              <w:widowControl/>
              <w:snapToGrid w:val="0"/>
              <w:jc w:val="left"/>
              <w:rPr>
                <w:color w:val="000000" w:themeColor="text1"/>
                <w:kern w:val="0"/>
                <w:sz w:val="18"/>
                <w:szCs w:val="18"/>
              </w:rPr>
            </w:pPr>
            <w:r w:rsidRPr="00234AC9">
              <w:rPr>
                <w:rFonts w:hint="eastAsia"/>
                <w:color w:val="000000" w:themeColor="text1"/>
                <w:kern w:val="0"/>
                <w:sz w:val="18"/>
                <w:szCs w:val="18"/>
              </w:rPr>
              <w:t>截止</w:t>
            </w:r>
            <w:r w:rsidRPr="00234AC9">
              <w:rPr>
                <w:rFonts w:hint="eastAsia"/>
                <w:color w:val="000000" w:themeColor="text1"/>
                <w:kern w:val="0"/>
                <w:sz w:val="18"/>
                <w:szCs w:val="18"/>
              </w:rPr>
              <w:t>2024</w:t>
            </w:r>
            <w:r w:rsidRPr="00234AC9">
              <w:rPr>
                <w:rFonts w:hint="eastAsia"/>
                <w:color w:val="000000" w:themeColor="text1"/>
                <w:kern w:val="0"/>
                <w:sz w:val="18"/>
                <w:szCs w:val="18"/>
              </w:rPr>
              <w:t>年</w:t>
            </w:r>
            <w:r w:rsidRPr="00234AC9">
              <w:rPr>
                <w:rFonts w:hint="eastAsia"/>
                <w:color w:val="000000" w:themeColor="text1"/>
                <w:kern w:val="0"/>
                <w:sz w:val="18"/>
                <w:szCs w:val="18"/>
              </w:rPr>
              <w:t>12</w:t>
            </w:r>
            <w:r w:rsidRPr="00234AC9">
              <w:rPr>
                <w:rFonts w:hint="eastAsia"/>
                <w:color w:val="000000" w:themeColor="text1"/>
                <w:kern w:val="0"/>
                <w:sz w:val="18"/>
                <w:szCs w:val="18"/>
              </w:rPr>
              <w:t>月</w:t>
            </w:r>
            <w:r w:rsidRPr="00234AC9">
              <w:rPr>
                <w:rFonts w:hint="eastAsia"/>
                <w:color w:val="000000" w:themeColor="text1"/>
                <w:kern w:val="0"/>
                <w:sz w:val="18"/>
                <w:szCs w:val="18"/>
              </w:rPr>
              <w:t>31</w:t>
            </w:r>
            <w:r w:rsidRPr="00234AC9">
              <w:rPr>
                <w:rFonts w:hint="eastAsia"/>
                <w:color w:val="000000" w:themeColor="text1"/>
                <w:kern w:val="0"/>
                <w:sz w:val="18"/>
                <w:szCs w:val="18"/>
              </w:rPr>
              <w:t>日，募集资金已使用完毕</w:t>
            </w:r>
          </w:p>
        </w:tc>
      </w:tr>
      <w:tr w:rsidR="00234AC9" w:rsidRPr="00234AC9" w14:paraId="4B388945" w14:textId="77777777" w:rsidTr="00AA34D4">
        <w:tblPrEx>
          <w:tblCellMar>
            <w:left w:w="108" w:type="dxa"/>
            <w:right w:w="108" w:type="dxa"/>
          </w:tblCellMar>
        </w:tblPrEx>
        <w:trPr>
          <w:trHeight w:val="340"/>
        </w:trPr>
        <w:tc>
          <w:tcPr>
            <w:tcW w:w="2835" w:type="dxa"/>
            <w:vAlign w:val="center"/>
          </w:tcPr>
          <w:p w14:paraId="4B388943" w14:textId="77777777" w:rsidR="00C81C0C" w:rsidRPr="00234AC9" w:rsidRDefault="00000000">
            <w:pPr>
              <w:widowControl/>
              <w:snapToGrid w:val="0"/>
              <w:jc w:val="left"/>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募集资金使用及披露中存在的问题或其他情况</w:t>
            </w:r>
          </w:p>
        </w:tc>
        <w:tc>
          <w:tcPr>
            <w:tcW w:w="11225" w:type="dxa"/>
            <w:gridSpan w:val="11"/>
            <w:vAlign w:val="center"/>
          </w:tcPr>
          <w:p w14:paraId="4B388944" w14:textId="77777777" w:rsidR="00C81C0C" w:rsidRPr="00234AC9" w:rsidRDefault="00000000">
            <w:pPr>
              <w:widowControl/>
              <w:snapToGrid w:val="0"/>
              <w:jc w:val="center"/>
              <w:rPr>
                <w:rFonts w:ascii="宋体" w:hAnsi="宋体" w:cs="宋体" w:hint="eastAsia"/>
                <w:color w:val="000000" w:themeColor="text1"/>
                <w:kern w:val="0"/>
                <w:sz w:val="18"/>
                <w:szCs w:val="18"/>
              </w:rPr>
            </w:pPr>
            <w:r w:rsidRPr="00234AC9">
              <w:rPr>
                <w:rFonts w:ascii="宋体" w:hAnsi="宋体" w:cs="宋体" w:hint="eastAsia"/>
                <w:color w:val="000000" w:themeColor="text1"/>
                <w:kern w:val="0"/>
                <w:sz w:val="18"/>
                <w:szCs w:val="18"/>
              </w:rPr>
              <w:t>无</w:t>
            </w:r>
          </w:p>
        </w:tc>
      </w:tr>
    </w:tbl>
    <w:p w14:paraId="59983A17" w14:textId="6257AA2B" w:rsidR="00C81C0C" w:rsidRPr="00234AC9" w:rsidRDefault="00000000" w:rsidP="00AA34D4">
      <w:pPr>
        <w:widowControl/>
        <w:snapToGrid w:val="0"/>
        <w:spacing w:beforeLines="50" w:before="120"/>
        <w:jc w:val="left"/>
        <w:rPr>
          <w:color w:val="000000" w:themeColor="text1"/>
          <w:kern w:val="0"/>
          <w:sz w:val="18"/>
          <w:szCs w:val="18"/>
        </w:rPr>
      </w:pPr>
      <w:r w:rsidRPr="00234AC9">
        <w:rPr>
          <w:rFonts w:hint="eastAsia"/>
          <w:color w:val="000000" w:themeColor="text1"/>
          <w:kern w:val="0"/>
          <w:sz w:val="18"/>
          <w:szCs w:val="18"/>
        </w:rPr>
        <w:t>注</w:t>
      </w:r>
      <w:r w:rsidRPr="00234AC9">
        <w:rPr>
          <w:rFonts w:hint="eastAsia"/>
          <w:color w:val="000000" w:themeColor="text1"/>
          <w:kern w:val="0"/>
          <w:sz w:val="18"/>
          <w:szCs w:val="18"/>
        </w:rPr>
        <w:t>1</w:t>
      </w:r>
      <w:r w:rsidRPr="00234AC9">
        <w:rPr>
          <w:rFonts w:hint="eastAsia"/>
          <w:color w:val="000000" w:themeColor="text1"/>
          <w:kern w:val="0"/>
          <w:sz w:val="18"/>
          <w:szCs w:val="18"/>
        </w:rPr>
        <w:t>：</w:t>
      </w:r>
      <w:proofErr w:type="gramStart"/>
      <w:r w:rsidRPr="00234AC9">
        <w:rPr>
          <w:rFonts w:hint="eastAsia"/>
          <w:color w:val="000000" w:themeColor="text1"/>
          <w:kern w:val="0"/>
          <w:sz w:val="18"/>
          <w:szCs w:val="18"/>
        </w:rPr>
        <w:t>募投项目</w:t>
      </w:r>
      <w:proofErr w:type="gramEnd"/>
      <w:r w:rsidRPr="00234AC9">
        <w:rPr>
          <w:rFonts w:hint="eastAsia"/>
          <w:color w:val="000000" w:themeColor="text1"/>
          <w:kern w:val="0"/>
          <w:sz w:val="18"/>
          <w:szCs w:val="18"/>
        </w:rPr>
        <w:t>“补充流动资金项目”实际投入金额</w:t>
      </w:r>
      <w:r w:rsidRPr="00234AC9">
        <w:rPr>
          <w:color w:val="000000" w:themeColor="text1"/>
          <w:kern w:val="0"/>
          <w:sz w:val="18"/>
          <w:szCs w:val="18"/>
        </w:rPr>
        <w:t>26,845.6</w:t>
      </w:r>
      <w:r w:rsidR="005E4A2B">
        <w:rPr>
          <w:rFonts w:hint="eastAsia"/>
          <w:color w:val="000000" w:themeColor="text1"/>
          <w:kern w:val="0"/>
          <w:sz w:val="18"/>
          <w:szCs w:val="18"/>
        </w:rPr>
        <w:t>2</w:t>
      </w:r>
      <w:r w:rsidRPr="00234AC9">
        <w:rPr>
          <w:rFonts w:hint="eastAsia"/>
          <w:color w:val="000000" w:themeColor="text1"/>
          <w:kern w:val="0"/>
          <w:sz w:val="18"/>
          <w:szCs w:val="18"/>
        </w:rPr>
        <w:t>万元，高于调整后该项目募集资金承诺投资总额，是</w:t>
      </w:r>
      <w:proofErr w:type="gramStart"/>
      <w:r w:rsidRPr="00234AC9">
        <w:rPr>
          <w:rFonts w:hint="eastAsia"/>
          <w:color w:val="000000" w:themeColor="text1"/>
          <w:kern w:val="0"/>
          <w:sz w:val="18"/>
          <w:szCs w:val="18"/>
        </w:rPr>
        <w:t>因募投项目</w:t>
      </w:r>
      <w:proofErr w:type="gramEnd"/>
      <w:r w:rsidRPr="00234AC9">
        <w:rPr>
          <w:rFonts w:hint="eastAsia"/>
          <w:color w:val="000000" w:themeColor="text1"/>
          <w:kern w:val="0"/>
          <w:sz w:val="18"/>
          <w:szCs w:val="18"/>
        </w:rPr>
        <w:t>“原料药制剂一体化生产基地建设项目”</w:t>
      </w:r>
      <w:proofErr w:type="gramStart"/>
      <w:r w:rsidRPr="00234AC9">
        <w:rPr>
          <w:rFonts w:hint="eastAsia"/>
          <w:color w:val="000000" w:themeColor="text1"/>
          <w:kern w:val="0"/>
          <w:sz w:val="18"/>
          <w:szCs w:val="18"/>
        </w:rPr>
        <w:t>结项并</w:t>
      </w:r>
      <w:proofErr w:type="gramEnd"/>
      <w:r w:rsidRPr="00234AC9">
        <w:rPr>
          <w:rFonts w:hint="eastAsia"/>
          <w:color w:val="000000" w:themeColor="text1"/>
          <w:kern w:val="0"/>
          <w:sz w:val="18"/>
          <w:szCs w:val="18"/>
        </w:rPr>
        <w:t>将节余募集资金永久补充流动资金所致。</w:t>
      </w:r>
    </w:p>
    <w:p w14:paraId="0771907F" w14:textId="77777777" w:rsidR="00C81C0C" w:rsidRPr="00234AC9" w:rsidRDefault="00000000">
      <w:pPr>
        <w:rPr>
          <w:rFonts w:ascii="宋体" w:hAnsi="宋体" w:hint="eastAsia"/>
          <w:color w:val="000000" w:themeColor="text1"/>
          <w:szCs w:val="21"/>
        </w:rPr>
      </w:pPr>
      <w:r w:rsidRPr="00234AC9">
        <w:rPr>
          <w:rFonts w:hint="eastAsia"/>
          <w:color w:val="000000" w:themeColor="text1"/>
          <w:kern w:val="0"/>
          <w:sz w:val="18"/>
          <w:szCs w:val="18"/>
        </w:rPr>
        <w:t>注</w:t>
      </w:r>
      <w:r w:rsidRPr="00234AC9">
        <w:rPr>
          <w:rFonts w:hint="eastAsia"/>
          <w:color w:val="000000" w:themeColor="text1"/>
          <w:kern w:val="0"/>
          <w:sz w:val="18"/>
          <w:szCs w:val="18"/>
        </w:rPr>
        <w:t>2</w:t>
      </w:r>
      <w:r w:rsidRPr="00234AC9">
        <w:rPr>
          <w:rFonts w:hint="eastAsia"/>
          <w:color w:val="000000" w:themeColor="text1"/>
          <w:kern w:val="0"/>
          <w:sz w:val="18"/>
          <w:szCs w:val="18"/>
        </w:rPr>
        <w:t>：截止期末累计募集资金投入</w:t>
      </w:r>
      <w:r w:rsidRPr="00234AC9">
        <w:rPr>
          <w:color w:val="000000" w:themeColor="text1"/>
          <w:kern w:val="0"/>
          <w:sz w:val="18"/>
          <w:szCs w:val="18"/>
        </w:rPr>
        <w:t>50,787.21</w:t>
      </w:r>
      <w:r w:rsidRPr="00234AC9">
        <w:rPr>
          <w:rFonts w:hint="eastAsia"/>
          <w:color w:val="000000" w:themeColor="text1"/>
          <w:kern w:val="0"/>
          <w:sz w:val="18"/>
          <w:szCs w:val="18"/>
        </w:rPr>
        <w:t>万元，高于调整后募集资金承诺投资总额，是因累计募集资金利息收入扣除银行手续费支出等后的净额</w:t>
      </w:r>
      <w:r w:rsidRPr="00234AC9">
        <w:rPr>
          <w:rFonts w:hint="eastAsia"/>
          <w:color w:val="000000" w:themeColor="text1"/>
          <w:kern w:val="0"/>
          <w:sz w:val="18"/>
          <w:szCs w:val="18"/>
        </w:rPr>
        <w:t>828.80</w:t>
      </w:r>
      <w:r w:rsidRPr="00234AC9">
        <w:rPr>
          <w:rFonts w:hint="eastAsia"/>
          <w:color w:val="000000" w:themeColor="text1"/>
          <w:kern w:val="0"/>
          <w:sz w:val="18"/>
          <w:szCs w:val="18"/>
        </w:rPr>
        <w:t>万元已作为节余募集资金永久补充流动资金所致。</w:t>
      </w:r>
      <w:r w:rsidRPr="00234AC9">
        <w:rPr>
          <w:rFonts w:ascii="宋体" w:hAnsi="宋体"/>
          <w:color w:val="000000" w:themeColor="text1"/>
          <w:szCs w:val="21"/>
        </w:rPr>
        <w:br w:type="page"/>
      </w:r>
    </w:p>
    <w:p w14:paraId="652EFD68" w14:textId="77777777" w:rsidR="00C81C0C" w:rsidRPr="00234AC9" w:rsidRDefault="00000000">
      <w:pPr>
        <w:tabs>
          <w:tab w:val="left" w:pos="262"/>
          <w:tab w:val="left" w:pos="4253"/>
          <w:tab w:val="left" w:pos="4678"/>
        </w:tabs>
        <w:snapToGrid w:val="0"/>
        <w:spacing w:line="360" w:lineRule="auto"/>
        <w:ind w:rightChars="800" w:right="1680"/>
        <w:jc w:val="left"/>
        <w:rPr>
          <w:rFonts w:ascii="宋体" w:hAnsi="宋体" w:hint="eastAsia"/>
          <w:b/>
          <w:bCs/>
          <w:color w:val="000000" w:themeColor="text1"/>
          <w:szCs w:val="21"/>
        </w:rPr>
      </w:pPr>
      <w:r w:rsidRPr="00234AC9">
        <w:rPr>
          <w:rFonts w:ascii="宋体" w:hAnsi="宋体" w:hint="eastAsia"/>
          <w:b/>
          <w:bCs/>
          <w:color w:val="000000" w:themeColor="text1"/>
          <w:szCs w:val="21"/>
        </w:rPr>
        <w:lastRenderedPageBreak/>
        <w:t>附表2</w:t>
      </w:r>
    </w:p>
    <w:p w14:paraId="56BC6668" w14:textId="77777777" w:rsidR="00C81C0C" w:rsidRPr="00234AC9" w:rsidRDefault="00000000">
      <w:pPr>
        <w:tabs>
          <w:tab w:val="left" w:pos="262"/>
          <w:tab w:val="left" w:pos="4253"/>
          <w:tab w:val="left" w:pos="4678"/>
        </w:tabs>
        <w:snapToGrid w:val="0"/>
        <w:jc w:val="center"/>
        <w:rPr>
          <w:rFonts w:ascii="宋体" w:hAnsi="宋体" w:cs="宋体" w:hint="eastAsia"/>
          <w:b/>
          <w:bCs/>
          <w:color w:val="000000" w:themeColor="text1"/>
          <w:sz w:val="32"/>
          <w:szCs w:val="32"/>
        </w:rPr>
      </w:pPr>
      <w:r w:rsidRPr="00234AC9">
        <w:rPr>
          <w:rFonts w:ascii="宋体" w:hAnsi="宋体" w:cs="宋体" w:hint="eastAsia"/>
          <w:b/>
          <w:bCs/>
          <w:color w:val="000000" w:themeColor="text1"/>
          <w:sz w:val="32"/>
          <w:szCs w:val="32"/>
        </w:rPr>
        <w:t>变更募集资金投资项目情况表</w:t>
      </w:r>
    </w:p>
    <w:p w14:paraId="4917A0AC" w14:textId="190026BA" w:rsidR="00F8770C" w:rsidRDefault="00000000" w:rsidP="00F8770C">
      <w:pPr>
        <w:snapToGrid w:val="0"/>
        <w:spacing w:beforeLines="50" w:before="120" w:afterLines="50" w:after="120"/>
        <w:ind w:firstLineChars="100" w:firstLine="200"/>
        <w:jc w:val="left"/>
        <w:rPr>
          <w:color w:val="000000" w:themeColor="text1"/>
          <w:kern w:val="0"/>
          <w:sz w:val="20"/>
          <w:szCs w:val="18"/>
        </w:rPr>
      </w:pPr>
      <w:r w:rsidRPr="00234AC9">
        <w:rPr>
          <w:color w:val="000000" w:themeColor="text1"/>
          <w:sz w:val="20"/>
        </w:rPr>
        <w:t>编制单位：</w:t>
      </w:r>
      <w:r w:rsidRPr="00234AC9">
        <w:rPr>
          <w:color w:val="000000" w:themeColor="text1"/>
          <w:kern w:val="0"/>
          <w:sz w:val="20"/>
          <w:szCs w:val="18"/>
        </w:rPr>
        <w:t>福建广生堂药业股份有限公司</w:t>
      </w:r>
    </w:p>
    <w:p w14:paraId="14B185A4" w14:textId="2A7BB4F0" w:rsidR="00C81C0C" w:rsidRPr="00234AC9" w:rsidRDefault="00000000" w:rsidP="00F8770C">
      <w:pPr>
        <w:snapToGrid w:val="0"/>
        <w:ind w:firstLineChars="100" w:firstLine="200"/>
        <w:jc w:val="right"/>
        <w:rPr>
          <w:b/>
          <w:color w:val="000000" w:themeColor="text1"/>
          <w:sz w:val="28"/>
          <w:szCs w:val="28"/>
        </w:rPr>
      </w:pPr>
      <w:r w:rsidRPr="00234AC9">
        <w:rPr>
          <w:color w:val="000000" w:themeColor="text1"/>
          <w:sz w:val="20"/>
        </w:rPr>
        <w:t>金额单位：人民币万元</w:t>
      </w:r>
    </w:p>
    <w:tbl>
      <w:tblPr>
        <w:tblW w:w="139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Look w:val="04A0" w:firstRow="1" w:lastRow="0" w:firstColumn="1" w:lastColumn="0" w:noHBand="0" w:noVBand="1"/>
      </w:tblPr>
      <w:tblGrid>
        <w:gridCol w:w="1307"/>
        <w:gridCol w:w="1417"/>
        <w:gridCol w:w="1418"/>
        <w:gridCol w:w="1433"/>
        <w:gridCol w:w="1394"/>
        <w:gridCol w:w="1394"/>
        <w:gridCol w:w="1394"/>
        <w:gridCol w:w="1394"/>
        <w:gridCol w:w="1394"/>
        <w:gridCol w:w="1395"/>
      </w:tblGrid>
      <w:tr w:rsidR="00040FB7" w:rsidRPr="00040FB7" w14:paraId="7151690F" w14:textId="77777777" w:rsidTr="00040FB7">
        <w:trPr>
          <w:trHeight w:val="200"/>
        </w:trPr>
        <w:tc>
          <w:tcPr>
            <w:tcW w:w="1307" w:type="dxa"/>
            <w:shd w:val="clear" w:color="auto" w:fill="FFFFFF" w:themeFill="background1"/>
            <w:vAlign w:val="center"/>
          </w:tcPr>
          <w:p w14:paraId="7960A098" w14:textId="77777777" w:rsidR="00C81C0C" w:rsidRPr="00040FB7" w:rsidRDefault="00000000">
            <w:pPr>
              <w:spacing w:before="40" w:after="40" w:line="240" w:lineRule="exact"/>
              <w:jc w:val="center"/>
              <w:rPr>
                <w:rFonts w:ascii="宋体" w:hAnsi="宋体" w:cs="宋体" w:hint="eastAsia"/>
                <w:sz w:val="18"/>
                <w:szCs w:val="18"/>
              </w:rPr>
            </w:pPr>
            <w:r w:rsidRPr="00040FB7">
              <w:rPr>
                <w:rFonts w:ascii="宋体" w:hAnsi="宋体" w:cs="宋体"/>
                <w:sz w:val="18"/>
                <w:szCs w:val="18"/>
              </w:rPr>
              <w:t>变更后的项目</w:t>
            </w:r>
          </w:p>
        </w:tc>
        <w:tc>
          <w:tcPr>
            <w:tcW w:w="1417" w:type="dxa"/>
            <w:shd w:val="clear" w:color="auto" w:fill="FFFFFF" w:themeFill="background1"/>
            <w:vAlign w:val="center"/>
          </w:tcPr>
          <w:p w14:paraId="0AFDD405" w14:textId="77777777" w:rsidR="00C81C0C" w:rsidRPr="00040FB7" w:rsidRDefault="00000000">
            <w:pPr>
              <w:spacing w:before="40" w:after="40" w:line="240" w:lineRule="exact"/>
              <w:jc w:val="center"/>
              <w:rPr>
                <w:rFonts w:ascii="宋体" w:hAnsi="宋体" w:cs="宋体" w:hint="eastAsia"/>
                <w:sz w:val="18"/>
                <w:szCs w:val="18"/>
              </w:rPr>
            </w:pPr>
            <w:r w:rsidRPr="00040FB7">
              <w:rPr>
                <w:rFonts w:ascii="宋体" w:hAnsi="宋体" w:cs="宋体"/>
                <w:sz w:val="18"/>
                <w:szCs w:val="18"/>
              </w:rPr>
              <w:t>对应的原承诺项目</w:t>
            </w:r>
          </w:p>
        </w:tc>
        <w:tc>
          <w:tcPr>
            <w:tcW w:w="1418" w:type="dxa"/>
            <w:shd w:val="clear" w:color="auto" w:fill="FFFFFF" w:themeFill="background1"/>
            <w:vAlign w:val="center"/>
          </w:tcPr>
          <w:p w14:paraId="46BB6D67" w14:textId="77777777" w:rsidR="00C81C0C" w:rsidRPr="00040FB7" w:rsidRDefault="00000000">
            <w:pPr>
              <w:spacing w:before="40" w:after="40" w:line="240" w:lineRule="exact"/>
              <w:jc w:val="center"/>
              <w:rPr>
                <w:rFonts w:ascii="宋体" w:hAnsi="宋体" w:cs="宋体" w:hint="eastAsia"/>
                <w:sz w:val="18"/>
                <w:szCs w:val="18"/>
              </w:rPr>
            </w:pPr>
            <w:r w:rsidRPr="00040FB7">
              <w:rPr>
                <w:rFonts w:ascii="宋体" w:hAnsi="宋体" w:cs="宋体"/>
                <w:sz w:val="18"/>
                <w:szCs w:val="18"/>
              </w:rPr>
              <w:t>变更后项目拟投入募集资金总额(1)</w:t>
            </w:r>
          </w:p>
        </w:tc>
        <w:tc>
          <w:tcPr>
            <w:tcW w:w="1433" w:type="dxa"/>
            <w:shd w:val="clear" w:color="auto" w:fill="FFFFFF" w:themeFill="background1"/>
            <w:vAlign w:val="center"/>
          </w:tcPr>
          <w:p w14:paraId="1F60DAFE" w14:textId="77777777" w:rsidR="00C81C0C" w:rsidRPr="00040FB7" w:rsidRDefault="00000000">
            <w:pPr>
              <w:spacing w:before="40" w:after="40" w:line="240" w:lineRule="exact"/>
              <w:jc w:val="center"/>
              <w:rPr>
                <w:rFonts w:ascii="宋体" w:hAnsi="宋体" w:cs="宋体" w:hint="eastAsia"/>
                <w:sz w:val="18"/>
                <w:szCs w:val="18"/>
              </w:rPr>
            </w:pPr>
            <w:r w:rsidRPr="00040FB7">
              <w:rPr>
                <w:rFonts w:ascii="宋体" w:hAnsi="宋体" w:cs="宋体"/>
                <w:sz w:val="18"/>
                <w:szCs w:val="18"/>
              </w:rPr>
              <w:t>本报告期实际投入金额</w:t>
            </w:r>
          </w:p>
        </w:tc>
        <w:tc>
          <w:tcPr>
            <w:tcW w:w="1394" w:type="dxa"/>
            <w:shd w:val="clear" w:color="auto" w:fill="FFFFFF" w:themeFill="background1"/>
            <w:vAlign w:val="center"/>
          </w:tcPr>
          <w:p w14:paraId="61BDFC31" w14:textId="77777777" w:rsidR="00C81C0C" w:rsidRPr="00040FB7" w:rsidRDefault="00000000">
            <w:pPr>
              <w:spacing w:before="40" w:after="40" w:line="240" w:lineRule="exact"/>
              <w:jc w:val="center"/>
              <w:rPr>
                <w:rFonts w:ascii="宋体" w:hAnsi="宋体" w:cs="宋体" w:hint="eastAsia"/>
                <w:sz w:val="18"/>
                <w:szCs w:val="18"/>
              </w:rPr>
            </w:pPr>
            <w:r w:rsidRPr="00040FB7">
              <w:rPr>
                <w:rFonts w:ascii="宋体" w:hAnsi="宋体" w:cs="宋体"/>
                <w:sz w:val="18"/>
                <w:szCs w:val="18"/>
              </w:rPr>
              <w:t>截至期末实际累计投入金额(2)</w:t>
            </w:r>
          </w:p>
        </w:tc>
        <w:tc>
          <w:tcPr>
            <w:tcW w:w="1394" w:type="dxa"/>
            <w:shd w:val="clear" w:color="auto" w:fill="FFFFFF" w:themeFill="background1"/>
            <w:vAlign w:val="center"/>
          </w:tcPr>
          <w:p w14:paraId="5080CD4D" w14:textId="77777777" w:rsidR="00C81C0C" w:rsidRPr="00040FB7" w:rsidRDefault="00000000">
            <w:pPr>
              <w:spacing w:before="40" w:after="40" w:line="240" w:lineRule="exact"/>
              <w:jc w:val="center"/>
              <w:rPr>
                <w:rFonts w:ascii="宋体" w:hAnsi="宋体" w:cs="宋体" w:hint="eastAsia"/>
                <w:sz w:val="18"/>
                <w:szCs w:val="18"/>
              </w:rPr>
            </w:pPr>
            <w:r w:rsidRPr="00040FB7">
              <w:rPr>
                <w:rFonts w:ascii="宋体" w:hAnsi="宋体" w:cs="宋体"/>
                <w:sz w:val="18"/>
                <w:szCs w:val="18"/>
              </w:rPr>
              <w:t>截至期末投资进度(3)=(2)/(1)</w:t>
            </w:r>
          </w:p>
        </w:tc>
        <w:tc>
          <w:tcPr>
            <w:tcW w:w="1394" w:type="dxa"/>
            <w:shd w:val="clear" w:color="auto" w:fill="FFFFFF" w:themeFill="background1"/>
            <w:vAlign w:val="center"/>
          </w:tcPr>
          <w:p w14:paraId="7850D338" w14:textId="77777777" w:rsidR="00C81C0C" w:rsidRPr="00040FB7" w:rsidRDefault="00000000">
            <w:pPr>
              <w:spacing w:before="40" w:after="40" w:line="240" w:lineRule="exact"/>
              <w:jc w:val="center"/>
              <w:rPr>
                <w:rFonts w:ascii="宋体" w:hAnsi="宋体" w:cs="宋体" w:hint="eastAsia"/>
                <w:sz w:val="18"/>
                <w:szCs w:val="18"/>
              </w:rPr>
            </w:pPr>
            <w:r w:rsidRPr="00040FB7">
              <w:rPr>
                <w:rFonts w:ascii="宋体" w:hAnsi="宋体" w:cs="宋体"/>
                <w:sz w:val="18"/>
                <w:szCs w:val="18"/>
              </w:rPr>
              <w:t>项目达到预定可使用状态日期</w:t>
            </w:r>
          </w:p>
        </w:tc>
        <w:tc>
          <w:tcPr>
            <w:tcW w:w="1394" w:type="dxa"/>
            <w:shd w:val="clear" w:color="auto" w:fill="FFFFFF" w:themeFill="background1"/>
            <w:vAlign w:val="center"/>
          </w:tcPr>
          <w:p w14:paraId="4FC3F9CA" w14:textId="77777777" w:rsidR="00C81C0C" w:rsidRPr="00040FB7" w:rsidRDefault="00000000">
            <w:pPr>
              <w:spacing w:before="40" w:after="40" w:line="240" w:lineRule="exact"/>
              <w:jc w:val="center"/>
              <w:rPr>
                <w:rFonts w:ascii="宋体" w:hAnsi="宋体" w:cs="宋体" w:hint="eastAsia"/>
                <w:sz w:val="18"/>
                <w:szCs w:val="18"/>
              </w:rPr>
            </w:pPr>
            <w:r w:rsidRPr="00040FB7">
              <w:rPr>
                <w:rFonts w:ascii="宋体" w:hAnsi="宋体" w:cs="宋体"/>
                <w:sz w:val="18"/>
                <w:szCs w:val="18"/>
              </w:rPr>
              <w:t>本报告</w:t>
            </w:r>
            <w:proofErr w:type="gramStart"/>
            <w:r w:rsidRPr="00040FB7">
              <w:rPr>
                <w:rFonts w:ascii="宋体" w:hAnsi="宋体" w:cs="宋体"/>
                <w:sz w:val="18"/>
                <w:szCs w:val="18"/>
              </w:rPr>
              <w:t>期实现</w:t>
            </w:r>
            <w:proofErr w:type="gramEnd"/>
            <w:r w:rsidRPr="00040FB7">
              <w:rPr>
                <w:rFonts w:ascii="宋体" w:hAnsi="宋体" w:cs="宋体"/>
                <w:sz w:val="18"/>
                <w:szCs w:val="18"/>
              </w:rPr>
              <w:t>的效益</w:t>
            </w:r>
          </w:p>
        </w:tc>
        <w:tc>
          <w:tcPr>
            <w:tcW w:w="1394" w:type="dxa"/>
            <w:shd w:val="clear" w:color="auto" w:fill="FFFFFF" w:themeFill="background1"/>
            <w:vAlign w:val="center"/>
          </w:tcPr>
          <w:p w14:paraId="2C528A55" w14:textId="77777777" w:rsidR="00C81C0C" w:rsidRPr="00040FB7" w:rsidRDefault="00000000">
            <w:pPr>
              <w:spacing w:before="40" w:after="40" w:line="240" w:lineRule="exact"/>
              <w:jc w:val="center"/>
              <w:rPr>
                <w:rFonts w:ascii="宋体" w:hAnsi="宋体" w:cs="宋体" w:hint="eastAsia"/>
                <w:sz w:val="18"/>
                <w:szCs w:val="18"/>
              </w:rPr>
            </w:pPr>
            <w:r w:rsidRPr="00040FB7">
              <w:rPr>
                <w:rFonts w:ascii="宋体" w:hAnsi="宋体" w:cs="宋体"/>
                <w:sz w:val="18"/>
                <w:szCs w:val="18"/>
              </w:rPr>
              <w:t>是否达到预计效益</w:t>
            </w:r>
          </w:p>
        </w:tc>
        <w:tc>
          <w:tcPr>
            <w:tcW w:w="1395" w:type="dxa"/>
            <w:shd w:val="clear" w:color="auto" w:fill="FFFFFF" w:themeFill="background1"/>
            <w:vAlign w:val="center"/>
          </w:tcPr>
          <w:p w14:paraId="7591B172" w14:textId="77777777" w:rsidR="00C81C0C" w:rsidRPr="00040FB7" w:rsidRDefault="00000000">
            <w:pPr>
              <w:spacing w:before="40" w:after="40" w:line="240" w:lineRule="exact"/>
              <w:jc w:val="center"/>
              <w:rPr>
                <w:rFonts w:ascii="宋体" w:hAnsi="宋体" w:cs="宋体" w:hint="eastAsia"/>
                <w:sz w:val="18"/>
                <w:szCs w:val="18"/>
              </w:rPr>
            </w:pPr>
            <w:r w:rsidRPr="00040FB7">
              <w:rPr>
                <w:rFonts w:ascii="宋体" w:hAnsi="宋体" w:cs="宋体"/>
                <w:sz w:val="18"/>
                <w:szCs w:val="18"/>
              </w:rPr>
              <w:t>变更后的项目可行性是否发生重大变化</w:t>
            </w:r>
          </w:p>
        </w:tc>
      </w:tr>
      <w:tr w:rsidR="00040FB7" w:rsidRPr="00040FB7" w14:paraId="08543D0B" w14:textId="77777777" w:rsidTr="00040FB7">
        <w:trPr>
          <w:trHeight w:val="200"/>
        </w:trPr>
        <w:tc>
          <w:tcPr>
            <w:tcW w:w="1307" w:type="dxa"/>
            <w:shd w:val="clear" w:color="auto" w:fill="FFFFFF" w:themeFill="background1"/>
            <w:vAlign w:val="center"/>
          </w:tcPr>
          <w:p w14:paraId="5B384E06" w14:textId="77777777" w:rsidR="00C81C0C" w:rsidRPr="00040FB7" w:rsidRDefault="00000000">
            <w:pPr>
              <w:spacing w:line="240" w:lineRule="exact"/>
              <w:rPr>
                <w:rFonts w:ascii="宋体" w:hAnsi="宋体" w:cs="宋体" w:hint="eastAsia"/>
                <w:sz w:val="18"/>
                <w:szCs w:val="18"/>
              </w:rPr>
            </w:pPr>
            <w:r w:rsidRPr="00040FB7">
              <w:rPr>
                <w:rFonts w:ascii="宋体" w:hAnsi="宋体" w:cs="宋体"/>
                <w:sz w:val="18"/>
                <w:szCs w:val="18"/>
              </w:rPr>
              <w:t>永久补充流动资金</w:t>
            </w:r>
          </w:p>
        </w:tc>
        <w:tc>
          <w:tcPr>
            <w:tcW w:w="1417" w:type="dxa"/>
            <w:shd w:val="clear" w:color="auto" w:fill="FFFFFF" w:themeFill="background1"/>
            <w:vAlign w:val="center"/>
          </w:tcPr>
          <w:p w14:paraId="1A161379" w14:textId="77777777" w:rsidR="00C81C0C" w:rsidRPr="00040FB7" w:rsidRDefault="00000000">
            <w:pPr>
              <w:spacing w:line="240" w:lineRule="exact"/>
              <w:rPr>
                <w:rFonts w:ascii="宋体" w:hAnsi="宋体" w:cs="宋体" w:hint="eastAsia"/>
                <w:sz w:val="18"/>
                <w:szCs w:val="18"/>
              </w:rPr>
            </w:pPr>
            <w:r w:rsidRPr="00040FB7">
              <w:rPr>
                <w:rFonts w:ascii="宋体" w:hAnsi="宋体" w:cs="宋体"/>
                <w:sz w:val="18"/>
                <w:szCs w:val="18"/>
              </w:rPr>
              <w:t>江苏中兴制剂车间建设项目</w:t>
            </w:r>
          </w:p>
        </w:tc>
        <w:tc>
          <w:tcPr>
            <w:tcW w:w="1418" w:type="dxa"/>
            <w:shd w:val="clear" w:color="auto" w:fill="FFFFFF" w:themeFill="background1"/>
            <w:vAlign w:val="center"/>
          </w:tcPr>
          <w:p w14:paraId="5BF5D3E2" w14:textId="77777777" w:rsidR="00C81C0C" w:rsidRPr="00040FB7" w:rsidRDefault="00000000">
            <w:pPr>
              <w:spacing w:line="240" w:lineRule="exact"/>
              <w:jc w:val="right"/>
              <w:rPr>
                <w:rFonts w:ascii="宋体" w:hAnsi="宋体" w:cs="宋体" w:hint="eastAsia"/>
                <w:sz w:val="18"/>
                <w:szCs w:val="18"/>
              </w:rPr>
            </w:pPr>
            <w:r w:rsidRPr="00040FB7">
              <w:rPr>
                <w:rFonts w:ascii="宋体" w:hAnsi="宋体" w:cs="宋体"/>
                <w:sz w:val="18"/>
                <w:szCs w:val="18"/>
              </w:rPr>
              <w:t>23,043.87</w:t>
            </w:r>
          </w:p>
        </w:tc>
        <w:tc>
          <w:tcPr>
            <w:tcW w:w="1433" w:type="dxa"/>
            <w:shd w:val="clear" w:color="auto" w:fill="FFFFFF" w:themeFill="background1"/>
            <w:vAlign w:val="center"/>
          </w:tcPr>
          <w:p w14:paraId="00CE7785" w14:textId="43CDC84C" w:rsidR="00C81C0C" w:rsidRPr="00040FB7" w:rsidRDefault="00A57638">
            <w:pPr>
              <w:spacing w:line="240" w:lineRule="exact"/>
              <w:jc w:val="right"/>
              <w:rPr>
                <w:rFonts w:ascii="宋体" w:hAnsi="宋体" w:cs="宋体" w:hint="eastAsia"/>
                <w:sz w:val="18"/>
                <w:szCs w:val="18"/>
              </w:rPr>
            </w:pPr>
            <w:r>
              <w:rPr>
                <w:rFonts w:ascii="宋体" w:hAnsi="宋体" w:cs="宋体" w:hint="eastAsia"/>
                <w:sz w:val="18"/>
                <w:szCs w:val="18"/>
              </w:rPr>
              <w:t>8,510.52</w:t>
            </w:r>
            <w:r w:rsidRPr="00040FB7">
              <w:rPr>
                <w:rFonts w:ascii="宋体" w:hAnsi="宋体" w:cs="宋体"/>
                <w:sz w:val="18"/>
                <w:szCs w:val="18"/>
              </w:rPr>
              <w:t xml:space="preserve"> </w:t>
            </w:r>
          </w:p>
        </w:tc>
        <w:tc>
          <w:tcPr>
            <w:tcW w:w="1394" w:type="dxa"/>
            <w:shd w:val="clear" w:color="auto" w:fill="FFFFFF" w:themeFill="background1"/>
            <w:vAlign w:val="center"/>
          </w:tcPr>
          <w:p w14:paraId="0BCBEACF" w14:textId="77777777" w:rsidR="00C81C0C" w:rsidRPr="00040FB7" w:rsidRDefault="00000000">
            <w:pPr>
              <w:spacing w:line="240" w:lineRule="exact"/>
              <w:jc w:val="right"/>
              <w:rPr>
                <w:rFonts w:ascii="宋体" w:hAnsi="宋体" w:cs="宋体" w:hint="eastAsia"/>
                <w:sz w:val="18"/>
                <w:szCs w:val="18"/>
              </w:rPr>
            </w:pPr>
            <w:r w:rsidRPr="00040FB7">
              <w:rPr>
                <w:rFonts w:ascii="宋体" w:hAnsi="宋体" w:cs="宋体"/>
                <w:sz w:val="18"/>
                <w:szCs w:val="18"/>
              </w:rPr>
              <w:t xml:space="preserve"> 26,845.61 </w:t>
            </w:r>
          </w:p>
        </w:tc>
        <w:tc>
          <w:tcPr>
            <w:tcW w:w="1394" w:type="dxa"/>
            <w:shd w:val="clear" w:color="auto" w:fill="FFFFFF" w:themeFill="background1"/>
            <w:vAlign w:val="center"/>
          </w:tcPr>
          <w:p w14:paraId="28FBB13D" w14:textId="77777777" w:rsidR="00C81C0C" w:rsidRPr="00040FB7" w:rsidRDefault="00000000">
            <w:pPr>
              <w:spacing w:line="240" w:lineRule="exact"/>
              <w:jc w:val="right"/>
              <w:rPr>
                <w:rFonts w:ascii="宋体" w:hAnsi="宋体" w:cs="宋体" w:hint="eastAsia"/>
                <w:sz w:val="18"/>
                <w:szCs w:val="18"/>
              </w:rPr>
            </w:pPr>
            <w:r w:rsidRPr="00040FB7">
              <w:rPr>
                <w:rFonts w:ascii="宋体" w:hAnsi="宋体" w:cs="宋体"/>
                <w:sz w:val="18"/>
                <w:szCs w:val="18"/>
              </w:rPr>
              <w:t>1</w:t>
            </w:r>
            <w:r w:rsidRPr="00040FB7">
              <w:rPr>
                <w:rFonts w:ascii="宋体" w:hAnsi="宋体" w:cs="宋体" w:hint="eastAsia"/>
                <w:sz w:val="18"/>
                <w:szCs w:val="18"/>
              </w:rPr>
              <w:t>16</w:t>
            </w:r>
            <w:r w:rsidRPr="00040FB7">
              <w:rPr>
                <w:rFonts w:ascii="宋体" w:hAnsi="宋体" w:cs="宋体"/>
                <w:sz w:val="18"/>
                <w:szCs w:val="18"/>
              </w:rPr>
              <w:t>.</w:t>
            </w:r>
            <w:r w:rsidRPr="00040FB7">
              <w:rPr>
                <w:rFonts w:ascii="宋体" w:hAnsi="宋体" w:cs="宋体" w:hint="eastAsia"/>
                <w:sz w:val="18"/>
                <w:szCs w:val="18"/>
              </w:rPr>
              <w:t>5</w:t>
            </w:r>
            <w:r w:rsidRPr="00040FB7">
              <w:rPr>
                <w:rFonts w:ascii="宋体" w:hAnsi="宋体" w:cs="宋体"/>
                <w:sz w:val="18"/>
                <w:szCs w:val="18"/>
              </w:rPr>
              <w:t>0%</w:t>
            </w:r>
          </w:p>
        </w:tc>
        <w:tc>
          <w:tcPr>
            <w:tcW w:w="1394" w:type="dxa"/>
            <w:shd w:val="clear" w:color="auto" w:fill="FFFFFF" w:themeFill="background1"/>
            <w:vAlign w:val="center"/>
          </w:tcPr>
          <w:p w14:paraId="5ACB2C51" w14:textId="77777777" w:rsidR="00C81C0C" w:rsidRPr="00040FB7" w:rsidRDefault="00000000">
            <w:pPr>
              <w:spacing w:line="240" w:lineRule="exact"/>
              <w:jc w:val="center"/>
              <w:rPr>
                <w:rFonts w:ascii="宋体" w:hAnsi="宋体" w:cs="宋体" w:hint="eastAsia"/>
                <w:sz w:val="18"/>
                <w:szCs w:val="18"/>
              </w:rPr>
            </w:pPr>
            <w:r w:rsidRPr="00040FB7">
              <w:rPr>
                <w:rFonts w:ascii="宋体" w:hAnsi="宋体" w:cs="宋体" w:hint="eastAsia"/>
                <w:sz w:val="18"/>
                <w:szCs w:val="18"/>
              </w:rPr>
              <w:t>不适用</w:t>
            </w:r>
          </w:p>
        </w:tc>
        <w:tc>
          <w:tcPr>
            <w:tcW w:w="1394" w:type="dxa"/>
            <w:shd w:val="clear" w:color="auto" w:fill="FFFFFF" w:themeFill="background1"/>
            <w:vAlign w:val="center"/>
          </w:tcPr>
          <w:p w14:paraId="3F6FF5A2" w14:textId="77777777" w:rsidR="00C81C0C" w:rsidRPr="00040FB7" w:rsidRDefault="00000000">
            <w:pPr>
              <w:spacing w:line="240" w:lineRule="exact"/>
              <w:jc w:val="center"/>
              <w:rPr>
                <w:rFonts w:ascii="宋体" w:hAnsi="宋体" w:cs="宋体" w:hint="eastAsia"/>
                <w:sz w:val="18"/>
                <w:szCs w:val="18"/>
              </w:rPr>
            </w:pPr>
            <w:r w:rsidRPr="00040FB7">
              <w:rPr>
                <w:rFonts w:ascii="宋体" w:hAnsi="宋体" w:cs="宋体" w:hint="eastAsia"/>
                <w:sz w:val="18"/>
                <w:szCs w:val="18"/>
              </w:rPr>
              <w:t>不适用</w:t>
            </w:r>
          </w:p>
        </w:tc>
        <w:tc>
          <w:tcPr>
            <w:tcW w:w="1394" w:type="dxa"/>
            <w:shd w:val="clear" w:color="auto" w:fill="FFFFFF" w:themeFill="background1"/>
            <w:vAlign w:val="center"/>
          </w:tcPr>
          <w:p w14:paraId="452F0DAF" w14:textId="77777777" w:rsidR="00C81C0C" w:rsidRPr="00040FB7" w:rsidRDefault="00000000">
            <w:pPr>
              <w:spacing w:line="240" w:lineRule="exact"/>
              <w:jc w:val="center"/>
              <w:rPr>
                <w:rFonts w:ascii="宋体" w:hAnsi="宋体" w:cs="宋体" w:hint="eastAsia"/>
                <w:sz w:val="18"/>
                <w:szCs w:val="18"/>
              </w:rPr>
            </w:pPr>
            <w:r w:rsidRPr="00040FB7">
              <w:rPr>
                <w:rFonts w:ascii="宋体" w:hAnsi="宋体" w:cs="宋体"/>
                <w:sz w:val="18"/>
                <w:szCs w:val="18"/>
              </w:rPr>
              <w:t>不适用</w:t>
            </w:r>
          </w:p>
        </w:tc>
        <w:tc>
          <w:tcPr>
            <w:tcW w:w="1395" w:type="dxa"/>
            <w:shd w:val="clear" w:color="auto" w:fill="FFFFFF" w:themeFill="background1"/>
            <w:vAlign w:val="center"/>
          </w:tcPr>
          <w:p w14:paraId="392CD781" w14:textId="77777777" w:rsidR="00C81C0C" w:rsidRPr="00040FB7" w:rsidRDefault="00000000">
            <w:pPr>
              <w:spacing w:line="240" w:lineRule="exact"/>
              <w:jc w:val="center"/>
              <w:rPr>
                <w:rFonts w:ascii="宋体" w:hAnsi="宋体" w:cs="宋体" w:hint="eastAsia"/>
                <w:sz w:val="18"/>
                <w:szCs w:val="18"/>
              </w:rPr>
            </w:pPr>
            <w:r w:rsidRPr="00040FB7">
              <w:rPr>
                <w:rFonts w:ascii="宋体" w:hAnsi="宋体" w:cs="宋体" w:hint="eastAsia"/>
                <w:sz w:val="18"/>
                <w:szCs w:val="18"/>
              </w:rPr>
              <w:t>不适用</w:t>
            </w:r>
          </w:p>
        </w:tc>
      </w:tr>
      <w:tr w:rsidR="00040FB7" w:rsidRPr="00040FB7" w14:paraId="5CB5F7F3" w14:textId="77777777" w:rsidTr="00040FB7">
        <w:trPr>
          <w:trHeight w:val="200"/>
        </w:trPr>
        <w:tc>
          <w:tcPr>
            <w:tcW w:w="1307" w:type="dxa"/>
            <w:shd w:val="clear" w:color="auto" w:fill="FFFFFF" w:themeFill="background1"/>
            <w:vAlign w:val="center"/>
          </w:tcPr>
          <w:p w14:paraId="22B685EC" w14:textId="77777777" w:rsidR="00C81C0C" w:rsidRPr="00040FB7" w:rsidRDefault="00000000">
            <w:pPr>
              <w:spacing w:before="40" w:after="40" w:line="240" w:lineRule="exact"/>
              <w:rPr>
                <w:rFonts w:ascii="宋体" w:hAnsi="宋体" w:cs="宋体" w:hint="eastAsia"/>
                <w:sz w:val="18"/>
                <w:szCs w:val="18"/>
              </w:rPr>
            </w:pPr>
            <w:r w:rsidRPr="00040FB7">
              <w:rPr>
                <w:rFonts w:ascii="宋体" w:hAnsi="宋体" w:cs="宋体"/>
                <w:sz w:val="18"/>
                <w:szCs w:val="18"/>
              </w:rPr>
              <w:t>合计</w:t>
            </w:r>
          </w:p>
        </w:tc>
        <w:tc>
          <w:tcPr>
            <w:tcW w:w="1417" w:type="dxa"/>
            <w:shd w:val="clear" w:color="auto" w:fill="FFFFFF" w:themeFill="background1"/>
            <w:vAlign w:val="center"/>
          </w:tcPr>
          <w:p w14:paraId="4F3C67AE" w14:textId="77777777" w:rsidR="00C81C0C" w:rsidRPr="00040FB7" w:rsidRDefault="00000000">
            <w:pPr>
              <w:spacing w:before="40" w:after="40" w:line="240" w:lineRule="exact"/>
              <w:jc w:val="center"/>
              <w:rPr>
                <w:rFonts w:ascii="宋体" w:hAnsi="宋体" w:cs="宋体" w:hint="eastAsia"/>
                <w:sz w:val="18"/>
                <w:szCs w:val="18"/>
              </w:rPr>
            </w:pPr>
            <w:r w:rsidRPr="00040FB7">
              <w:rPr>
                <w:rFonts w:ascii="宋体" w:hAnsi="宋体" w:cs="宋体"/>
                <w:sz w:val="18"/>
                <w:szCs w:val="18"/>
              </w:rPr>
              <w:t>--</w:t>
            </w:r>
          </w:p>
        </w:tc>
        <w:tc>
          <w:tcPr>
            <w:tcW w:w="1418" w:type="dxa"/>
            <w:shd w:val="clear" w:color="auto" w:fill="FFFFFF" w:themeFill="background1"/>
            <w:vAlign w:val="center"/>
          </w:tcPr>
          <w:p w14:paraId="5B6259D9" w14:textId="77777777" w:rsidR="00C81C0C" w:rsidRPr="00040FB7" w:rsidRDefault="00000000">
            <w:pPr>
              <w:spacing w:line="240" w:lineRule="exact"/>
              <w:jc w:val="right"/>
              <w:rPr>
                <w:rFonts w:ascii="宋体" w:hAnsi="宋体" w:cs="宋体" w:hint="eastAsia"/>
                <w:sz w:val="18"/>
                <w:szCs w:val="18"/>
              </w:rPr>
            </w:pPr>
            <w:r w:rsidRPr="00040FB7">
              <w:rPr>
                <w:rFonts w:ascii="宋体" w:hAnsi="宋体" w:cs="宋体"/>
                <w:sz w:val="18"/>
                <w:szCs w:val="18"/>
              </w:rPr>
              <w:t>23,043.87</w:t>
            </w:r>
          </w:p>
        </w:tc>
        <w:tc>
          <w:tcPr>
            <w:tcW w:w="1433" w:type="dxa"/>
            <w:shd w:val="clear" w:color="auto" w:fill="FFFFFF" w:themeFill="background1"/>
            <w:vAlign w:val="center"/>
          </w:tcPr>
          <w:p w14:paraId="671DB94A" w14:textId="04F72E80" w:rsidR="00C81C0C" w:rsidRPr="00040FB7" w:rsidRDefault="00000000">
            <w:pPr>
              <w:spacing w:line="240" w:lineRule="exact"/>
              <w:jc w:val="right"/>
              <w:rPr>
                <w:rFonts w:ascii="宋体" w:hAnsi="宋体" w:cs="宋体" w:hint="eastAsia"/>
                <w:sz w:val="18"/>
                <w:szCs w:val="18"/>
              </w:rPr>
            </w:pPr>
            <w:r w:rsidRPr="00040FB7">
              <w:rPr>
                <w:rFonts w:ascii="宋体" w:hAnsi="宋体" w:cs="宋体"/>
                <w:sz w:val="18"/>
                <w:szCs w:val="18"/>
              </w:rPr>
              <w:t xml:space="preserve"> </w:t>
            </w:r>
            <w:r w:rsidR="00A57638">
              <w:rPr>
                <w:rFonts w:ascii="宋体" w:hAnsi="宋体" w:cs="宋体" w:hint="eastAsia"/>
                <w:sz w:val="18"/>
                <w:szCs w:val="18"/>
              </w:rPr>
              <w:t>8,510.52</w:t>
            </w:r>
            <w:r w:rsidRPr="00040FB7">
              <w:rPr>
                <w:rFonts w:ascii="宋体" w:hAnsi="宋体" w:cs="宋体"/>
                <w:sz w:val="18"/>
                <w:szCs w:val="18"/>
              </w:rPr>
              <w:t xml:space="preserve"> </w:t>
            </w:r>
          </w:p>
        </w:tc>
        <w:tc>
          <w:tcPr>
            <w:tcW w:w="1394" w:type="dxa"/>
            <w:shd w:val="clear" w:color="auto" w:fill="FFFFFF" w:themeFill="background1"/>
            <w:vAlign w:val="center"/>
          </w:tcPr>
          <w:p w14:paraId="7A5A3574" w14:textId="77777777" w:rsidR="00C81C0C" w:rsidRPr="00040FB7" w:rsidRDefault="00000000">
            <w:pPr>
              <w:spacing w:line="240" w:lineRule="exact"/>
              <w:jc w:val="right"/>
              <w:rPr>
                <w:rFonts w:ascii="宋体" w:hAnsi="宋体" w:cs="宋体" w:hint="eastAsia"/>
                <w:sz w:val="18"/>
                <w:szCs w:val="18"/>
              </w:rPr>
            </w:pPr>
            <w:r w:rsidRPr="00040FB7">
              <w:rPr>
                <w:rFonts w:ascii="宋体" w:hAnsi="宋体" w:cs="宋体"/>
                <w:sz w:val="18"/>
                <w:szCs w:val="18"/>
              </w:rPr>
              <w:t xml:space="preserve"> 26,845.61 </w:t>
            </w:r>
          </w:p>
        </w:tc>
        <w:tc>
          <w:tcPr>
            <w:tcW w:w="1394" w:type="dxa"/>
            <w:shd w:val="clear" w:color="auto" w:fill="FFFFFF" w:themeFill="background1"/>
            <w:vAlign w:val="center"/>
          </w:tcPr>
          <w:p w14:paraId="71C1A0B8" w14:textId="77777777" w:rsidR="00C81C0C" w:rsidRPr="00040FB7" w:rsidRDefault="00000000">
            <w:pPr>
              <w:spacing w:before="40" w:after="40" w:line="240" w:lineRule="exact"/>
              <w:jc w:val="right"/>
              <w:rPr>
                <w:rFonts w:ascii="宋体" w:hAnsi="宋体" w:cs="宋体" w:hint="eastAsia"/>
                <w:sz w:val="18"/>
                <w:szCs w:val="18"/>
              </w:rPr>
            </w:pPr>
            <w:r w:rsidRPr="00040FB7">
              <w:rPr>
                <w:rFonts w:ascii="宋体" w:hAnsi="宋体" w:cs="宋体" w:hint="eastAsia"/>
                <w:sz w:val="18"/>
                <w:szCs w:val="18"/>
              </w:rPr>
              <w:t>116.50%</w:t>
            </w:r>
          </w:p>
        </w:tc>
        <w:tc>
          <w:tcPr>
            <w:tcW w:w="1394" w:type="dxa"/>
            <w:shd w:val="clear" w:color="auto" w:fill="FFFFFF" w:themeFill="background1"/>
            <w:vAlign w:val="center"/>
          </w:tcPr>
          <w:p w14:paraId="2C3F9D2B" w14:textId="77777777" w:rsidR="00C81C0C" w:rsidRPr="00040FB7" w:rsidRDefault="00000000">
            <w:pPr>
              <w:spacing w:before="40" w:after="40" w:line="240" w:lineRule="exact"/>
              <w:jc w:val="center"/>
              <w:rPr>
                <w:rFonts w:ascii="宋体" w:hAnsi="宋体" w:cs="宋体" w:hint="eastAsia"/>
                <w:sz w:val="18"/>
                <w:szCs w:val="18"/>
              </w:rPr>
            </w:pPr>
            <w:r w:rsidRPr="00040FB7">
              <w:rPr>
                <w:rFonts w:ascii="宋体" w:hAnsi="宋体" w:cs="宋体"/>
                <w:sz w:val="18"/>
                <w:szCs w:val="18"/>
              </w:rPr>
              <w:t>--</w:t>
            </w:r>
          </w:p>
        </w:tc>
        <w:tc>
          <w:tcPr>
            <w:tcW w:w="1394" w:type="dxa"/>
            <w:shd w:val="clear" w:color="auto" w:fill="FFFFFF" w:themeFill="background1"/>
            <w:vAlign w:val="center"/>
          </w:tcPr>
          <w:p w14:paraId="1F7D4ADF" w14:textId="77777777" w:rsidR="00C81C0C" w:rsidRPr="00040FB7" w:rsidRDefault="00000000">
            <w:pPr>
              <w:spacing w:line="240" w:lineRule="exact"/>
              <w:jc w:val="center"/>
              <w:rPr>
                <w:rFonts w:ascii="宋体" w:hAnsi="宋体" w:cs="宋体" w:hint="eastAsia"/>
                <w:sz w:val="18"/>
                <w:szCs w:val="18"/>
              </w:rPr>
            </w:pPr>
            <w:r w:rsidRPr="00040FB7">
              <w:rPr>
                <w:rFonts w:ascii="宋体" w:hAnsi="宋体" w:cs="宋体"/>
                <w:sz w:val="18"/>
                <w:szCs w:val="18"/>
              </w:rPr>
              <w:t>--</w:t>
            </w:r>
          </w:p>
        </w:tc>
        <w:tc>
          <w:tcPr>
            <w:tcW w:w="1394" w:type="dxa"/>
            <w:shd w:val="clear" w:color="auto" w:fill="FFFFFF" w:themeFill="background1"/>
            <w:vAlign w:val="center"/>
          </w:tcPr>
          <w:p w14:paraId="24AE1518" w14:textId="77777777" w:rsidR="00C81C0C" w:rsidRPr="00040FB7" w:rsidRDefault="00000000">
            <w:pPr>
              <w:spacing w:before="40" w:after="40" w:line="240" w:lineRule="exact"/>
              <w:jc w:val="center"/>
              <w:rPr>
                <w:rFonts w:ascii="宋体" w:hAnsi="宋体" w:cs="宋体" w:hint="eastAsia"/>
                <w:sz w:val="18"/>
                <w:szCs w:val="18"/>
              </w:rPr>
            </w:pPr>
            <w:r w:rsidRPr="00040FB7">
              <w:rPr>
                <w:rFonts w:ascii="宋体" w:hAnsi="宋体" w:cs="宋体"/>
                <w:sz w:val="18"/>
                <w:szCs w:val="18"/>
              </w:rPr>
              <w:t>--</w:t>
            </w:r>
          </w:p>
        </w:tc>
        <w:tc>
          <w:tcPr>
            <w:tcW w:w="1395" w:type="dxa"/>
            <w:shd w:val="clear" w:color="auto" w:fill="FFFFFF" w:themeFill="background1"/>
            <w:vAlign w:val="center"/>
          </w:tcPr>
          <w:p w14:paraId="456C0984" w14:textId="77777777" w:rsidR="00C81C0C" w:rsidRPr="00040FB7" w:rsidRDefault="00000000">
            <w:pPr>
              <w:spacing w:before="40" w:after="40" w:line="240" w:lineRule="exact"/>
              <w:jc w:val="center"/>
              <w:rPr>
                <w:rFonts w:ascii="宋体" w:hAnsi="宋体" w:cs="宋体" w:hint="eastAsia"/>
                <w:sz w:val="18"/>
                <w:szCs w:val="18"/>
              </w:rPr>
            </w:pPr>
            <w:r w:rsidRPr="00040FB7">
              <w:rPr>
                <w:rFonts w:ascii="宋体" w:hAnsi="宋体" w:cs="宋体"/>
                <w:sz w:val="18"/>
                <w:szCs w:val="18"/>
              </w:rPr>
              <w:t>--</w:t>
            </w:r>
          </w:p>
        </w:tc>
      </w:tr>
      <w:tr w:rsidR="00040FB7" w:rsidRPr="00040FB7" w14:paraId="729E13FF" w14:textId="77777777" w:rsidTr="00040FB7">
        <w:trPr>
          <w:trHeight w:val="200"/>
        </w:trPr>
        <w:tc>
          <w:tcPr>
            <w:tcW w:w="4142" w:type="dxa"/>
            <w:gridSpan w:val="3"/>
            <w:shd w:val="clear" w:color="auto" w:fill="FFFFFF" w:themeFill="background1"/>
            <w:vAlign w:val="center"/>
          </w:tcPr>
          <w:p w14:paraId="4BF60DCD" w14:textId="77777777" w:rsidR="00C81C0C" w:rsidRPr="00040FB7" w:rsidRDefault="00000000">
            <w:pPr>
              <w:spacing w:before="40" w:after="40" w:line="240" w:lineRule="exact"/>
              <w:rPr>
                <w:rFonts w:ascii="宋体" w:hAnsi="宋体" w:cs="宋体" w:hint="eastAsia"/>
                <w:sz w:val="18"/>
                <w:szCs w:val="18"/>
              </w:rPr>
            </w:pPr>
            <w:r w:rsidRPr="00040FB7">
              <w:rPr>
                <w:rFonts w:ascii="宋体" w:hAnsi="宋体" w:cs="宋体"/>
                <w:sz w:val="18"/>
                <w:szCs w:val="18"/>
              </w:rPr>
              <w:t>变更原因、决策程序及信息披露情况说明(</w:t>
            </w:r>
            <w:proofErr w:type="gramStart"/>
            <w:r w:rsidRPr="00040FB7">
              <w:rPr>
                <w:rFonts w:ascii="宋体" w:hAnsi="宋体" w:cs="宋体"/>
                <w:sz w:val="18"/>
                <w:szCs w:val="18"/>
              </w:rPr>
              <w:t>分具体</w:t>
            </w:r>
            <w:proofErr w:type="gramEnd"/>
            <w:r w:rsidRPr="00040FB7">
              <w:rPr>
                <w:rFonts w:ascii="宋体" w:hAnsi="宋体" w:cs="宋体"/>
                <w:sz w:val="18"/>
                <w:szCs w:val="18"/>
              </w:rPr>
              <w:t>项目)</w:t>
            </w:r>
          </w:p>
        </w:tc>
        <w:tc>
          <w:tcPr>
            <w:tcW w:w="9798" w:type="dxa"/>
            <w:gridSpan w:val="7"/>
            <w:shd w:val="clear" w:color="auto" w:fill="FFFFFF" w:themeFill="background1"/>
            <w:vAlign w:val="center"/>
          </w:tcPr>
          <w:p w14:paraId="397C5A39" w14:textId="77777777" w:rsidR="00C81C0C" w:rsidRPr="00040FB7" w:rsidRDefault="00000000" w:rsidP="009A6AD8">
            <w:pPr>
              <w:spacing w:line="240" w:lineRule="exact"/>
              <w:jc w:val="left"/>
              <w:rPr>
                <w:rFonts w:ascii="宋体" w:hAnsi="宋体" w:cs="宋体" w:hint="eastAsia"/>
                <w:sz w:val="18"/>
                <w:szCs w:val="18"/>
              </w:rPr>
            </w:pPr>
            <w:r w:rsidRPr="00040FB7">
              <w:rPr>
                <w:rFonts w:ascii="宋体" w:hAnsi="宋体" w:cs="宋体"/>
                <w:sz w:val="18"/>
                <w:szCs w:val="18"/>
              </w:rPr>
              <w:t>公司于2023年12月29日召开第四届董事会第二十七次会议和第四届监事会第二十四次会议，审议通过了《关于终止部分募集资金投资项目并将剩余募集资金永久补充流动资金的议案》，为提高募集资金使用效率，降低募集资金投资风险，根据公司</w:t>
            </w:r>
            <w:proofErr w:type="gramStart"/>
            <w:r w:rsidRPr="00040FB7">
              <w:rPr>
                <w:rFonts w:ascii="宋体" w:hAnsi="宋体" w:cs="宋体"/>
                <w:sz w:val="18"/>
                <w:szCs w:val="18"/>
              </w:rPr>
              <w:t>募投项目</w:t>
            </w:r>
            <w:proofErr w:type="gramEnd"/>
            <w:r w:rsidRPr="00040FB7">
              <w:rPr>
                <w:rFonts w:ascii="宋体" w:hAnsi="宋体" w:cs="宋体"/>
                <w:sz w:val="18"/>
                <w:szCs w:val="18"/>
              </w:rPr>
              <w:t>的实际进展情况及市场环境变化，同意公司对向特定对象发行股票募集资金投资项目中的“江苏中兴制剂车间建设项目”予以终止，并将上述项目终止后剩余的募集资金8,543.49万元（最终金额以资金转出当日银行结息金额为准）永久补充流动资金，用于公司日常生产经营及业务发展。资金划转完成后，公司董事会授权相关人员对相关募集资金专户进行销户处理，对应的《募集资金四方监管协议》亦随之终止。2024 年1月15日，本议案在公司召开的2024年第一次临时股东大会决议中获得通过。2024年1月18日，公司将剩余募集资金8,510.5</w:t>
            </w:r>
            <w:r w:rsidRPr="00040FB7">
              <w:rPr>
                <w:rFonts w:ascii="宋体" w:hAnsi="宋体" w:cs="宋体" w:hint="eastAsia"/>
                <w:sz w:val="18"/>
                <w:szCs w:val="18"/>
              </w:rPr>
              <w:t>2</w:t>
            </w:r>
            <w:r w:rsidRPr="00040FB7">
              <w:rPr>
                <w:rFonts w:ascii="宋体" w:hAnsi="宋体" w:cs="宋体"/>
                <w:sz w:val="18"/>
                <w:szCs w:val="18"/>
              </w:rPr>
              <w:t>万元</w:t>
            </w:r>
            <w:r w:rsidRPr="00040FB7">
              <w:rPr>
                <w:rFonts w:ascii="宋体" w:hAnsi="宋体" w:cs="宋体" w:hint="eastAsia"/>
                <w:sz w:val="18"/>
                <w:szCs w:val="18"/>
              </w:rPr>
              <w:t>（不含利息）</w:t>
            </w:r>
            <w:r w:rsidRPr="00040FB7">
              <w:rPr>
                <w:rFonts w:ascii="宋体" w:hAnsi="宋体" w:cs="宋体"/>
                <w:sz w:val="18"/>
                <w:szCs w:val="18"/>
              </w:rPr>
              <w:t>划转至公司基本户。</w:t>
            </w:r>
          </w:p>
        </w:tc>
      </w:tr>
      <w:tr w:rsidR="00040FB7" w:rsidRPr="00040FB7" w14:paraId="53DE8189" w14:textId="77777777" w:rsidTr="00040FB7">
        <w:trPr>
          <w:trHeight w:val="200"/>
        </w:trPr>
        <w:tc>
          <w:tcPr>
            <w:tcW w:w="4142" w:type="dxa"/>
            <w:gridSpan w:val="3"/>
            <w:shd w:val="clear" w:color="auto" w:fill="FFFFFF" w:themeFill="background1"/>
            <w:vAlign w:val="center"/>
          </w:tcPr>
          <w:p w14:paraId="35720EEE" w14:textId="77777777" w:rsidR="00C81C0C" w:rsidRPr="00040FB7" w:rsidRDefault="00000000">
            <w:pPr>
              <w:spacing w:before="40" w:after="40" w:line="240" w:lineRule="exact"/>
              <w:rPr>
                <w:rFonts w:ascii="宋体" w:hAnsi="宋体" w:cs="宋体" w:hint="eastAsia"/>
                <w:sz w:val="18"/>
                <w:szCs w:val="18"/>
              </w:rPr>
            </w:pPr>
            <w:r w:rsidRPr="00040FB7">
              <w:rPr>
                <w:rFonts w:ascii="宋体" w:hAnsi="宋体" w:cs="宋体"/>
                <w:sz w:val="18"/>
                <w:szCs w:val="18"/>
              </w:rPr>
              <w:t>未达到计划进度或预计收益的情况和原因(</w:t>
            </w:r>
            <w:proofErr w:type="gramStart"/>
            <w:r w:rsidRPr="00040FB7">
              <w:rPr>
                <w:rFonts w:ascii="宋体" w:hAnsi="宋体" w:cs="宋体"/>
                <w:sz w:val="18"/>
                <w:szCs w:val="18"/>
              </w:rPr>
              <w:t>分具体</w:t>
            </w:r>
            <w:proofErr w:type="gramEnd"/>
            <w:r w:rsidRPr="00040FB7">
              <w:rPr>
                <w:rFonts w:ascii="宋体" w:hAnsi="宋体" w:cs="宋体"/>
                <w:sz w:val="18"/>
                <w:szCs w:val="18"/>
              </w:rPr>
              <w:t>项目)</w:t>
            </w:r>
          </w:p>
        </w:tc>
        <w:tc>
          <w:tcPr>
            <w:tcW w:w="9798" w:type="dxa"/>
            <w:gridSpan w:val="7"/>
            <w:shd w:val="clear" w:color="auto" w:fill="FFFFFF" w:themeFill="background1"/>
            <w:vAlign w:val="center"/>
          </w:tcPr>
          <w:p w14:paraId="249A709A" w14:textId="303888CB" w:rsidR="00C81C0C" w:rsidRPr="00040FB7" w:rsidRDefault="00000000" w:rsidP="009A6AD8">
            <w:pPr>
              <w:spacing w:line="240" w:lineRule="exact"/>
              <w:jc w:val="left"/>
              <w:rPr>
                <w:rFonts w:ascii="宋体" w:hAnsi="宋体" w:cs="宋体" w:hint="eastAsia"/>
                <w:sz w:val="18"/>
                <w:szCs w:val="18"/>
              </w:rPr>
            </w:pPr>
            <w:r w:rsidRPr="00040FB7">
              <w:rPr>
                <w:rFonts w:ascii="宋体" w:hAnsi="宋体" w:cs="宋体"/>
                <w:sz w:val="18"/>
                <w:szCs w:val="18"/>
              </w:rPr>
              <w:t>江苏中兴制剂车间建设项目是</w:t>
            </w:r>
            <w:r w:rsidRPr="00040FB7">
              <w:rPr>
                <w:rFonts w:ascii="宋体" w:hAnsi="宋体" w:cs="宋体" w:hint="eastAsia"/>
                <w:sz w:val="18"/>
                <w:szCs w:val="18"/>
              </w:rPr>
              <w:t>基于</w:t>
            </w:r>
            <w:r w:rsidRPr="00040FB7">
              <w:rPr>
                <w:rFonts w:ascii="宋体" w:hAnsi="宋体" w:cs="宋体"/>
                <w:sz w:val="18"/>
                <w:szCs w:val="18"/>
              </w:rPr>
              <w:t>进一步扩大水飞</w:t>
            </w:r>
            <w:proofErr w:type="gramStart"/>
            <w:r w:rsidRPr="00040FB7">
              <w:rPr>
                <w:rFonts w:ascii="宋体" w:hAnsi="宋体" w:cs="宋体"/>
                <w:sz w:val="18"/>
                <w:szCs w:val="18"/>
              </w:rPr>
              <w:t>蓟宾葡</w:t>
            </w:r>
            <w:proofErr w:type="gramEnd"/>
            <w:r w:rsidRPr="00040FB7">
              <w:rPr>
                <w:rFonts w:ascii="宋体" w:hAnsi="宋体" w:cs="宋体"/>
                <w:sz w:val="18"/>
                <w:szCs w:val="18"/>
              </w:rPr>
              <w:t>甲胺片、参</w:t>
            </w:r>
            <w:proofErr w:type="gramStart"/>
            <w:r w:rsidRPr="00040FB7">
              <w:rPr>
                <w:rFonts w:ascii="宋体" w:hAnsi="宋体" w:cs="宋体"/>
                <w:sz w:val="18"/>
                <w:szCs w:val="18"/>
              </w:rPr>
              <w:t>芪</w:t>
            </w:r>
            <w:proofErr w:type="gramEnd"/>
            <w:r w:rsidRPr="00040FB7">
              <w:rPr>
                <w:rFonts w:ascii="宋体" w:hAnsi="宋体" w:cs="宋体"/>
                <w:sz w:val="18"/>
                <w:szCs w:val="18"/>
              </w:rPr>
              <w:t>健胃颗粒等现有产品产能以满足下游市场需求</w:t>
            </w:r>
            <w:r w:rsidRPr="00040FB7">
              <w:rPr>
                <w:rFonts w:ascii="宋体" w:hAnsi="宋体" w:cs="宋体" w:hint="eastAsia"/>
                <w:sz w:val="18"/>
                <w:szCs w:val="18"/>
              </w:rPr>
              <w:t>的目的而进行投资建设</w:t>
            </w:r>
            <w:r w:rsidRPr="00040FB7">
              <w:rPr>
                <w:rFonts w:ascii="宋体" w:hAnsi="宋体" w:cs="宋体"/>
                <w:sz w:val="18"/>
                <w:szCs w:val="18"/>
              </w:rPr>
              <w:t>。</w:t>
            </w:r>
            <w:proofErr w:type="gramStart"/>
            <w:r w:rsidRPr="00040FB7">
              <w:rPr>
                <w:rFonts w:ascii="宋体" w:hAnsi="宋体" w:cs="宋体"/>
                <w:sz w:val="18"/>
                <w:szCs w:val="18"/>
              </w:rPr>
              <w:t>募投项目</w:t>
            </w:r>
            <w:proofErr w:type="gramEnd"/>
            <w:r w:rsidRPr="00040FB7">
              <w:rPr>
                <w:rFonts w:ascii="宋体" w:hAnsi="宋体" w:cs="宋体"/>
                <w:sz w:val="18"/>
                <w:szCs w:val="18"/>
              </w:rPr>
              <w:t>建设期内，水飞</w:t>
            </w:r>
            <w:proofErr w:type="gramStart"/>
            <w:r w:rsidRPr="00040FB7">
              <w:rPr>
                <w:rFonts w:ascii="宋体" w:hAnsi="宋体" w:cs="宋体"/>
                <w:sz w:val="18"/>
                <w:szCs w:val="18"/>
              </w:rPr>
              <w:t>蓟宾葡</w:t>
            </w:r>
            <w:proofErr w:type="gramEnd"/>
            <w:r w:rsidRPr="00040FB7">
              <w:rPr>
                <w:rFonts w:ascii="宋体" w:hAnsi="宋体" w:cs="宋体"/>
                <w:sz w:val="18"/>
                <w:szCs w:val="18"/>
              </w:rPr>
              <w:t>甲胺片、参</w:t>
            </w:r>
            <w:proofErr w:type="gramStart"/>
            <w:r w:rsidRPr="00040FB7">
              <w:rPr>
                <w:rFonts w:ascii="宋体" w:hAnsi="宋体" w:cs="宋体"/>
                <w:sz w:val="18"/>
                <w:szCs w:val="18"/>
              </w:rPr>
              <w:t>芪</w:t>
            </w:r>
            <w:proofErr w:type="gramEnd"/>
            <w:r w:rsidRPr="00040FB7">
              <w:rPr>
                <w:rFonts w:ascii="宋体" w:hAnsi="宋体" w:cs="宋体"/>
                <w:sz w:val="18"/>
                <w:szCs w:val="18"/>
              </w:rPr>
              <w:t>健胃颗粒等市场需求和产品销售总体平稳增长，但未发生重大变化，随着近几年江苏中兴生产组织和管理效率提升、生产工人技术更加成熟所带来的生产效率提高及生产车间的技改升级，相关产品生产线产能和产能利用率得到进一步优化及提升，结合相关产品最近</w:t>
            </w:r>
            <w:r w:rsidRPr="00040FB7">
              <w:rPr>
                <w:rFonts w:ascii="宋体" w:hAnsi="宋体" w:cs="宋体" w:hint="eastAsia"/>
                <w:sz w:val="18"/>
                <w:szCs w:val="18"/>
              </w:rPr>
              <w:t>几年</w:t>
            </w:r>
            <w:r w:rsidRPr="00040FB7">
              <w:rPr>
                <w:rFonts w:ascii="宋体" w:hAnsi="宋体" w:cs="宋体"/>
                <w:sz w:val="18"/>
                <w:szCs w:val="18"/>
              </w:rPr>
              <w:t>的产销情况及未来市场预期，预计现有产能并通过内部挖潜和技改能够满足现阶段及未来一定期间的市场需求。此外，随着药品上市许可持有人制度相关的配套法规出台，药品的生产不再受限于企业自身生产基地的制约，可以通过委托生产等方式，灵活保障产能并减少大额资金投入和节约生产成本。鉴于公司近几年持续的创新药研发投入及经营规模的扩大，公司对流动资金的需求不断增加，需要有足够的营运资金作为保障，以增强公司抗风险能力及竞争能力。</w:t>
            </w:r>
            <w:r w:rsidRPr="00040FB7">
              <w:rPr>
                <w:rFonts w:ascii="宋体" w:hAnsi="宋体" w:cs="宋体" w:hint="eastAsia"/>
                <w:sz w:val="18"/>
                <w:szCs w:val="18"/>
              </w:rPr>
              <w:t>根据公司创新战略发展和资源综合调度的需求，本着控制风险、审慎投资的原则，公司终止并将该项目全部剩余募集资金用于永久补充流动资金</w:t>
            </w:r>
            <w:r w:rsidRPr="00040FB7">
              <w:rPr>
                <w:rFonts w:ascii="宋体" w:hAnsi="宋体" w:cs="宋体"/>
                <w:sz w:val="18"/>
                <w:szCs w:val="18"/>
              </w:rPr>
              <w:t>。</w:t>
            </w:r>
          </w:p>
        </w:tc>
      </w:tr>
      <w:tr w:rsidR="00040FB7" w:rsidRPr="00040FB7" w14:paraId="02143C16" w14:textId="77777777" w:rsidTr="00040FB7">
        <w:trPr>
          <w:trHeight w:val="200"/>
        </w:trPr>
        <w:tc>
          <w:tcPr>
            <w:tcW w:w="4142" w:type="dxa"/>
            <w:gridSpan w:val="3"/>
            <w:shd w:val="clear" w:color="auto" w:fill="FFFFFF" w:themeFill="background1"/>
            <w:vAlign w:val="center"/>
          </w:tcPr>
          <w:p w14:paraId="1A1C4A73" w14:textId="77777777" w:rsidR="00C81C0C" w:rsidRPr="00040FB7" w:rsidRDefault="00000000">
            <w:pPr>
              <w:spacing w:before="40" w:after="40" w:line="240" w:lineRule="exact"/>
              <w:rPr>
                <w:rFonts w:ascii="宋体" w:hAnsi="宋体" w:cs="宋体" w:hint="eastAsia"/>
                <w:sz w:val="18"/>
                <w:szCs w:val="18"/>
              </w:rPr>
            </w:pPr>
            <w:r w:rsidRPr="00040FB7">
              <w:rPr>
                <w:rFonts w:ascii="宋体" w:hAnsi="宋体" w:cs="宋体"/>
                <w:sz w:val="18"/>
                <w:szCs w:val="18"/>
              </w:rPr>
              <w:t>变更后的项目可行性发生重大变化的情况说明</w:t>
            </w:r>
          </w:p>
        </w:tc>
        <w:tc>
          <w:tcPr>
            <w:tcW w:w="9798" w:type="dxa"/>
            <w:gridSpan w:val="7"/>
            <w:shd w:val="clear" w:color="auto" w:fill="FFFFFF" w:themeFill="background1"/>
            <w:vAlign w:val="center"/>
          </w:tcPr>
          <w:p w14:paraId="4A60E3E9" w14:textId="77777777" w:rsidR="00C81C0C" w:rsidRPr="00040FB7" w:rsidRDefault="00000000">
            <w:pPr>
              <w:spacing w:line="240" w:lineRule="exact"/>
              <w:rPr>
                <w:rFonts w:ascii="宋体" w:hAnsi="宋体" w:cs="宋体" w:hint="eastAsia"/>
                <w:sz w:val="18"/>
                <w:szCs w:val="18"/>
              </w:rPr>
            </w:pPr>
            <w:r w:rsidRPr="00040FB7">
              <w:rPr>
                <w:rFonts w:ascii="宋体" w:hAnsi="宋体" w:cs="宋体"/>
                <w:sz w:val="18"/>
                <w:szCs w:val="18"/>
              </w:rPr>
              <w:t>不适用</w:t>
            </w:r>
          </w:p>
        </w:tc>
      </w:tr>
    </w:tbl>
    <w:p w14:paraId="263A6A25" w14:textId="7E74A56A" w:rsidR="00C81C0C" w:rsidRPr="00234AC9" w:rsidRDefault="00466851">
      <w:pPr>
        <w:snapToGrid w:val="0"/>
        <w:spacing w:line="360" w:lineRule="auto"/>
        <w:ind w:firstLineChars="200" w:firstLine="420"/>
        <w:rPr>
          <w:rFonts w:ascii="宋体" w:hAnsi="宋体" w:hint="eastAsia"/>
          <w:color w:val="000000" w:themeColor="text1"/>
          <w:szCs w:val="21"/>
        </w:rPr>
      </w:pPr>
      <w:r w:rsidRPr="00770578">
        <w:rPr>
          <w:rFonts w:ascii="宋体" w:hAnsi="宋体" w:hint="eastAsia"/>
          <w:color w:val="000000" w:themeColor="text1"/>
          <w:szCs w:val="21"/>
        </w:rPr>
        <w:t>注1：本附表2所列“本报告期实际投入金额”系江苏中兴制剂车间建设项目终止后永久补充流动资金部分，与附表1中“补充流动资金项目”本年度投入金额12,312.26万元之间的差异</w:t>
      </w:r>
      <w:proofErr w:type="gramStart"/>
      <w:r w:rsidRPr="00770578">
        <w:rPr>
          <w:rFonts w:ascii="宋体" w:hAnsi="宋体" w:hint="eastAsia"/>
          <w:color w:val="000000" w:themeColor="text1"/>
          <w:szCs w:val="21"/>
        </w:rPr>
        <w:t>系募投项目</w:t>
      </w:r>
      <w:proofErr w:type="gramEnd"/>
      <w:r w:rsidRPr="00770578">
        <w:rPr>
          <w:rFonts w:ascii="宋体" w:hAnsi="宋体" w:hint="eastAsia"/>
          <w:color w:val="000000" w:themeColor="text1"/>
          <w:szCs w:val="21"/>
        </w:rPr>
        <w:t>“原料药制剂一体化生产基地建设项目”</w:t>
      </w:r>
      <w:proofErr w:type="gramStart"/>
      <w:r w:rsidRPr="00770578">
        <w:rPr>
          <w:rFonts w:ascii="宋体" w:hAnsi="宋体" w:hint="eastAsia"/>
          <w:color w:val="000000" w:themeColor="text1"/>
          <w:szCs w:val="21"/>
        </w:rPr>
        <w:t>结项并</w:t>
      </w:r>
      <w:proofErr w:type="gramEnd"/>
      <w:r w:rsidRPr="00770578">
        <w:rPr>
          <w:rFonts w:ascii="宋体" w:hAnsi="宋体" w:hint="eastAsia"/>
          <w:color w:val="000000" w:themeColor="text1"/>
          <w:szCs w:val="21"/>
        </w:rPr>
        <w:t>将节余募集资金永久补充流动资金所致</w:t>
      </w:r>
      <w:r>
        <w:rPr>
          <w:rFonts w:ascii="宋体" w:hAnsi="宋体" w:hint="eastAsia"/>
          <w:color w:val="000000" w:themeColor="text1"/>
          <w:szCs w:val="21"/>
        </w:rPr>
        <w:t>。</w:t>
      </w:r>
    </w:p>
    <w:sectPr w:rsidR="00C81C0C" w:rsidRPr="00234AC9" w:rsidSect="00040FB7">
      <w:pgSz w:w="16840" w:h="11907" w:orient="landscape"/>
      <w:pgMar w:top="1797" w:right="1418" w:bottom="1418" w:left="1418" w:header="851" w:footer="992"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9E0D4" w14:textId="77777777" w:rsidR="00064F56" w:rsidRDefault="00064F56">
      <w:r>
        <w:separator/>
      </w:r>
    </w:p>
  </w:endnote>
  <w:endnote w:type="continuationSeparator" w:id="0">
    <w:p w14:paraId="519F6EFA" w14:textId="77777777" w:rsidR="00064F56" w:rsidRDefault="000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0503C" w14:textId="77777777" w:rsidR="00114F96" w:rsidRDefault="00114F9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03545" w14:textId="77777777" w:rsidR="00114F96" w:rsidRDefault="00114F9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087F1" w14:textId="77777777" w:rsidR="00114F96" w:rsidRDefault="00114F96">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889AF" w14:textId="77777777" w:rsidR="00C81C0C" w:rsidRDefault="00C81C0C">
    <w:pPr>
      <w:pStyle w:val="ac"/>
      <w:jc w:val="center"/>
    </w:pPr>
  </w:p>
  <w:p w14:paraId="4B3889B0" w14:textId="77777777" w:rsidR="00C81C0C" w:rsidRDefault="00C81C0C">
    <w:pPr>
      <w:pStyle w:val="ac"/>
      <w:tabs>
        <w:tab w:val="left" w:pos="2835"/>
      </w:tab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889B2" w14:textId="77777777" w:rsidR="00C81C0C" w:rsidRDefault="00000000">
    <w:pPr>
      <w:pStyle w:val="ac"/>
      <w:jc w:val="center"/>
    </w:pPr>
    <w:r>
      <w:rPr>
        <w:rFonts w:hint="eastAsia"/>
      </w:rPr>
      <w:t>第</w:t>
    </w:r>
    <w:r>
      <w:fldChar w:fldCharType="begin"/>
    </w:r>
    <w:r>
      <w:instrText xml:space="preserve"> PAGE   \* MERGEFORMAT </w:instrText>
    </w:r>
    <w:r>
      <w:fldChar w:fldCharType="separate"/>
    </w:r>
    <w:r>
      <w:rPr>
        <w:lang w:val="zh-CN"/>
      </w:rPr>
      <w:t>3</w:t>
    </w:r>
    <w:r>
      <w:fldChar w:fldCharType="end"/>
    </w:r>
    <w:r>
      <w:rPr>
        <w:rFonts w:hint="eastAsia"/>
      </w:rPr>
      <w:t>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889B3" w14:textId="77777777" w:rsidR="00C81C0C" w:rsidRDefault="00000000">
    <w:pPr>
      <w:pStyle w:val="ac"/>
      <w:jc w:val="center"/>
    </w:pPr>
    <w:r>
      <w:rPr>
        <w:rFonts w:hint="eastAsia"/>
      </w:rPr>
      <w:t>第</w:t>
    </w:r>
    <w:r>
      <w:fldChar w:fldCharType="begin"/>
    </w:r>
    <w:r>
      <w:instrText xml:space="preserve"> PAGE   \* MERGEFORMAT </w:instrText>
    </w:r>
    <w:r>
      <w:fldChar w:fldCharType="separate"/>
    </w:r>
    <w:r>
      <w:rPr>
        <w:lang w:val="zh-CN"/>
      </w:rPr>
      <w:t>1</w:t>
    </w:r>
    <w:r>
      <w:fldChar w:fldCharType="end"/>
    </w:r>
    <w:r>
      <w:rPr>
        <w:rFonts w:hint="eastAsia"/>
      </w:rPr>
      <w:t>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889B7" w14:textId="77777777" w:rsidR="00C81C0C" w:rsidRDefault="00000000">
    <w:pPr>
      <w:pStyle w:val="ac"/>
      <w:jc w:val="center"/>
    </w:pPr>
    <w:r>
      <w:rPr>
        <w:rFonts w:hint="eastAsia"/>
      </w:rPr>
      <w:t>专项报告</w:t>
    </w:r>
    <w:r>
      <w:rPr>
        <w:rFonts w:hint="eastAsia"/>
      </w:rPr>
      <w:t xml:space="preserve"> </w:t>
    </w:r>
    <w:r>
      <w:rPr>
        <w:rFonts w:hint="eastAsia"/>
      </w:rPr>
      <w:t>第</w:t>
    </w:r>
    <w:r>
      <w:fldChar w:fldCharType="begin"/>
    </w:r>
    <w:r>
      <w:instrText xml:space="preserve"> PAGE   \* MERGEFORMAT </w:instrText>
    </w:r>
    <w:r>
      <w:fldChar w:fldCharType="separate"/>
    </w:r>
    <w:r>
      <w:rPr>
        <w:lang w:val="zh-CN"/>
      </w:rPr>
      <w:t>2</w:t>
    </w:r>
    <w:r>
      <w:fldChar w:fldCharType="end"/>
    </w:r>
    <w:r>
      <w:rPr>
        <w:rFonts w:hint="eastAsia"/>
      </w:rPr>
      <w:t>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889B8" w14:textId="77777777" w:rsidR="00C81C0C" w:rsidRDefault="00C81C0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4ECD8" w14:textId="77777777" w:rsidR="00064F56" w:rsidRDefault="00064F56">
      <w:r>
        <w:separator/>
      </w:r>
    </w:p>
  </w:footnote>
  <w:footnote w:type="continuationSeparator" w:id="0">
    <w:p w14:paraId="2FF971AD" w14:textId="77777777" w:rsidR="00064F56" w:rsidRDefault="000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37A5" w14:textId="77777777" w:rsidR="00114F96" w:rsidRDefault="00114F9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2C6D" w14:textId="77777777" w:rsidR="00114F96" w:rsidRDefault="00114F96">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21ABD" w14:textId="73891CA7" w:rsidR="00C81C0C" w:rsidRDefault="00234AC9" w:rsidP="00234AC9">
    <w:pPr>
      <w:pStyle w:val="ae"/>
      <w:pBdr>
        <w:bottom w:val="none" w:sz="0" w:space="0" w:color="auto"/>
      </w:pBdr>
      <w:jc w:val="left"/>
      <w:rPr>
        <w:rFonts w:ascii="等线 Light" w:eastAsia="等线" w:hAnsi="等线 Light" w:cs="等线 Light" w:hint="eastAsia"/>
        <w:b/>
        <w:bCs/>
        <w:i/>
        <w:iCs/>
        <w:color w:val="004B65"/>
        <w:sz w:val="15"/>
        <w:szCs w:val="15"/>
      </w:rPr>
    </w:pPr>
    <w:r>
      <w:rPr>
        <w:noProof/>
      </w:rPr>
      <w:drawing>
        <wp:inline distT="0" distB="0" distL="0" distR="0" wp14:anchorId="3A269976" wp14:editId="75DA27E5">
          <wp:extent cx="5274310" cy="1269365"/>
          <wp:effectExtent l="0" t="0" r="2540" b="6985"/>
          <wp:docPr id="10582359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35979" name="图片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274310" cy="126936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889B1" w14:textId="52EBFBBA" w:rsidR="00C81C0C" w:rsidRDefault="00114F96">
    <w:pPr>
      <w:pStyle w:val="ae"/>
      <w:jc w:val="right"/>
    </w:pPr>
    <w:r w:rsidRPr="00114F96">
      <w:rPr>
        <w:rFonts w:hint="eastAsia"/>
      </w:rPr>
      <w:t>德</w:t>
    </w:r>
    <w:proofErr w:type="gramStart"/>
    <w:r w:rsidRPr="00114F96">
      <w:rPr>
        <w:rFonts w:hint="eastAsia"/>
      </w:rPr>
      <w:t>皓</w:t>
    </w:r>
    <w:proofErr w:type="gramEnd"/>
    <w:r w:rsidRPr="00114F96">
      <w:rPr>
        <w:rFonts w:hint="eastAsia"/>
      </w:rPr>
      <w:t>核字</w:t>
    </w:r>
    <w:r w:rsidRPr="00114F96">
      <w:rPr>
        <w:rFonts w:hint="eastAsia"/>
      </w:rPr>
      <w:t>[2025]00000706</w:t>
    </w:r>
    <w:r w:rsidRPr="00114F96">
      <w:rPr>
        <w:rFonts w:hint="eastAsia"/>
      </w:rPr>
      <w:t>号</w:t>
    </w:r>
    <w:r>
      <w:rPr>
        <w:rFonts w:hint="eastAsia"/>
      </w:rPr>
      <w:t>募集资金存放与使用情况</w:t>
    </w:r>
    <w:proofErr w:type="gramStart"/>
    <w:r>
      <w:rPr>
        <w:rFonts w:hint="eastAsia"/>
      </w:rPr>
      <w:t>鉴证</w:t>
    </w:r>
    <w:proofErr w:type="gramEnd"/>
    <w:r>
      <w:rPr>
        <w:rFonts w:hint="eastAsia"/>
      </w:rPr>
      <w:t>报告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889B4" w14:textId="77777777" w:rsidR="00C81C0C" w:rsidRPr="00C758E4" w:rsidRDefault="00000000">
    <w:pPr>
      <w:pStyle w:val="ae"/>
      <w:jc w:val="left"/>
      <w:rPr>
        <w:color w:val="000000" w:themeColor="text1"/>
      </w:rPr>
    </w:pPr>
    <w:r w:rsidRPr="00C758E4">
      <w:rPr>
        <w:rFonts w:hint="eastAsia"/>
        <w:color w:val="000000" w:themeColor="text1"/>
      </w:rPr>
      <w:t>福建广生堂药业股份有限公司</w:t>
    </w:r>
  </w:p>
  <w:p w14:paraId="4B3889B5" w14:textId="77777777" w:rsidR="00C81C0C" w:rsidRPr="00C758E4" w:rsidRDefault="00000000">
    <w:pPr>
      <w:pStyle w:val="ae"/>
      <w:jc w:val="left"/>
      <w:rPr>
        <w:color w:val="000000" w:themeColor="text1"/>
      </w:rPr>
    </w:pPr>
    <w:r w:rsidRPr="00C758E4">
      <w:rPr>
        <w:rFonts w:hint="eastAsia"/>
        <w:color w:val="000000" w:themeColor="text1"/>
      </w:rPr>
      <w:t>20</w:t>
    </w:r>
    <w:r w:rsidRPr="00C758E4">
      <w:rPr>
        <w:color w:val="000000" w:themeColor="text1"/>
      </w:rPr>
      <w:t>2</w:t>
    </w:r>
    <w:r w:rsidRPr="00C758E4">
      <w:rPr>
        <w:rFonts w:hint="eastAsia"/>
        <w:color w:val="000000" w:themeColor="text1"/>
      </w:rPr>
      <w:t>4</w:t>
    </w:r>
    <w:r w:rsidRPr="00C758E4">
      <w:rPr>
        <w:rFonts w:hint="eastAsia"/>
        <w:color w:val="000000" w:themeColor="text1"/>
      </w:rPr>
      <w:t>年度</w:t>
    </w:r>
  </w:p>
  <w:p w14:paraId="4B3889B6" w14:textId="77777777" w:rsidR="00C81C0C" w:rsidRPr="00C758E4" w:rsidRDefault="00000000">
    <w:pPr>
      <w:pStyle w:val="ae"/>
      <w:jc w:val="left"/>
      <w:rPr>
        <w:color w:val="000000" w:themeColor="text1"/>
      </w:rPr>
    </w:pPr>
    <w:r w:rsidRPr="00C758E4">
      <w:rPr>
        <w:rFonts w:hint="eastAsia"/>
        <w:color w:val="000000" w:themeColor="text1"/>
      </w:rPr>
      <w:t>募集资金存放与使用情况专项报告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E1FCE"/>
    <w:multiLevelType w:val="multilevel"/>
    <w:tmpl w:val="2A4E1FCE"/>
    <w:lvl w:ilvl="0">
      <w:start w:val="1"/>
      <w:numFmt w:val="japaneseCounting"/>
      <w:lvlText w:val="%1、"/>
      <w:lvlJc w:val="left"/>
      <w:pPr>
        <w:tabs>
          <w:tab w:val="left" w:pos="870"/>
        </w:tabs>
        <w:ind w:left="870" w:hanging="45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4162151E"/>
    <w:multiLevelType w:val="multilevel"/>
    <w:tmpl w:val="4162151E"/>
    <w:lvl w:ilvl="0">
      <w:start w:val="1"/>
      <w:numFmt w:val="japaneseCounting"/>
      <w:lvlText w:val="%1、"/>
      <w:lvlJc w:val="left"/>
      <w:pPr>
        <w:ind w:left="1281" w:hanging="720"/>
      </w:pPr>
      <w:rPr>
        <w:rFonts w:hint="default"/>
        <w:b/>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num w:numId="1" w16cid:durableId="1840071945">
    <w:abstractNumId w:val="1"/>
  </w:num>
  <w:num w:numId="2" w16cid:durableId="116446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43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附注一级" w:val="附注一级"/>
  </w:docVars>
  <w:rsids>
    <w:rsidRoot w:val="00460EE8"/>
    <w:rsid w:val="000013DC"/>
    <w:rsid w:val="00001E00"/>
    <w:rsid w:val="00011A2B"/>
    <w:rsid w:val="00012B39"/>
    <w:rsid w:val="000133A9"/>
    <w:rsid w:val="00014DDC"/>
    <w:rsid w:val="00022222"/>
    <w:rsid w:val="00024E69"/>
    <w:rsid w:val="0003124C"/>
    <w:rsid w:val="00032913"/>
    <w:rsid w:val="00033249"/>
    <w:rsid w:val="00035162"/>
    <w:rsid w:val="0003517D"/>
    <w:rsid w:val="00036456"/>
    <w:rsid w:val="00040FB7"/>
    <w:rsid w:val="00045999"/>
    <w:rsid w:val="00051AC0"/>
    <w:rsid w:val="00055A8E"/>
    <w:rsid w:val="00062F75"/>
    <w:rsid w:val="00064F56"/>
    <w:rsid w:val="0006710F"/>
    <w:rsid w:val="00067911"/>
    <w:rsid w:val="00070971"/>
    <w:rsid w:val="00071FA1"/>
    <w:rsid w:val="00073012"/>
    <w:rsid w:val="00074415"/>
    <w:rsid w:val="000769AE"/>
    <w:rsid w:val="0008249B"/>
    <w:rsid w:val="00084D16"/>
    <w:rsid w:val="00086170"/>
    <w:rsid w:val="00087E54"/>
    <w:rsid w:val="000903E8"/>
    <w:rsid w:val="000915E7"/>
    <w:rsid w:val="00091981"/>
    <w:rsid w:val="000922B6"/>
    <w:rsid w:val="00092A0A"/>
    <w:rsid w:val="000948B8"/>
    <w:rsid w:val="00095AFE"/>
    <w:rsid w:val="000A0F7C"/>
    <w:rsid w:val="000A1C33"/>
    <w:rsid w:val="000A369C"/>
    <w:rsid w:val="000A5563"/>
    <w:rsid w:val="000A576E"/>
    <w:rsid w:val="000B1578"/>
    <w:rsid w:val="000B1A7C"/>
    <w:rsid w:val="000B434F"/>
    <w:rsid w:val="000B6236"/>
    <w:rsid w:val="000C0DA9"/>
    <w:rsid w:val="000C2D07"/>
    <w:rsid w:val="000C3192"/>
    <w:rsid w:val="000C496E"/>
    <w:rsid w:val="000C57A5"/>
    <w:rsid w:val="000D0A26"/>
    <w:rsid w:val="000D3402"/>
    <w:rsid w:val="000D63BC"/>
    <w:rsid w:val="000D6445"/>
    <w:rsid w:val="000F0ED6"/>
    <w:rsid w:val="000F4183"/>
    <w:rsid w:val="000F6DE4"/>
    <w:rsid w:val="00101D92"/>
    <w:rsid w:val="00105631"/>
    <w:rsid w:val="001079E8"/>
    <w:rsid w:val="00110A15"/>
    <w:rsid w:val="001125DA"/>
    <w:rsid w:val="001133FC"/>
    <w:rsid w:val="00114F96"/>
    <w:rsid w:val="00116A08"/>
    <w:rsid w:val="00116E62"/>
    <w:rsid w:val="001208F6"/>
    <w:rsid w:val="001209C2"/>
    <w:rsid w:val="00123441"/>
    <w:rsid w:val="00123D42"/>
    <w:rsid w:val="00124044"/>
    <w:rsid w:val="001252E3"/>
    <w:rsid w:val="00125DA9"/>
    <w:rsid w:val="001269B1"/>
    <w:rsid w:val="001300A3"/>
    <w:rsid w:val="00132675"/>
    <w:rsid w:val="00140B3A"/>
    <w:rsid w:val="00140D40"/>
    <w:rsid w:val="0014377A"/>
    <w:rsid w:val="001453D8"/>
    <w:rsid w:val="00152C12"/>
    <w:rsid w:val="00153054"/>
    <w:rsid w:val="0015315D"/>
    <w:rsid w:val="00153434"/>
    <w:rsid w:val="0015416E"/>
    <w:rsid w:val="001550D8"/>
    <w:rsid w:val="001563E7"/>
    <w:rsid w:val="00156D88"/>
    <w:rsid w:val="001617BF"/>
    <w:rsid w:val="00161D9F"/>
    <w:rsid w:val="00164A00"/>
    <w:rsid w:val="001657C2"/>
    <w:rsid w:val="00165855"/>
    <w:rsid w:val="00167111"/>
    <w:rsid w:val="0016785D"/>
    <w:rsid w:val="00170847"/>
    <w:rsid w:val="00173249"/>
    <w:rsid w:val="00174C70"/>
    <w:rsid w:val="00175EF0"/>
    <w:rsid w:val="00176FCB"/>
    <w:rsid w:val="00182A14"/>
    <w:rsid w:val="00182AFF"/>
    <w:rsid w:val="0018542E"/>
    <w:rsid w:val="00190193"/>
    <w:rsid w:val="00190D9E"/>
    <w:rsid w:val="0019118B"/>
    <w:rsid w:val="00192C91"/>
    <w:rsid w:val="0019398F"/>
    <w:rsid w:val="001A0BE5"/>
    <w:rsid w:val="001A1B37"/>
    <w:rsid w:val="001A1B63"/>
    <w:rsid w:val="001A50F8"/>
    <w:rsid w:val="001A74DF"/>
    <w:rsid w:val="001A78FA"/>
    <w:rsid w:val="001B0C01"/>
    <w:rsid w:val="001B2997"/>
    <w:rsid w:val="001B61BF"/>
    <w:rsid w:val="001C129D"/>
    <w:rsid w:val="001C197E"/>
    <w:rsid w:val="001C1D28"/>
    <w:rsid w:val="001C37A5"/>
    <w:rsid w:val="001C4436"/>
    <w:rsid w:val="001C5347"/>
    <w:rsid w:val="001C6243"/>
    <w:rsid w:val="001C6F35"/>
    <w:rsid w:val="001C7475"/>
    <w:rsid w:val="001D135B"/>
    <w:rsid w:val="001D23CB"/>
    <w:rsid w:val="001D28BF"/>
    <w:rsid w:val="001D3C50"/>
    <w:rsid w:val="001D3CB7"/>
    <w:rsid w:val="001D77BF"/>
    <w:rsid w:val="001E283F"/>
    <w:rsid w:val="001E3BDD"/>
    <w:rsid w:val="001E7507"/>
    <w:rsid w:val="001F0FDD"/>
    <w:rsid w:val="001F1DBA"/>
    <w:rsid w:val="001F2128"/>
    <w:rsid w:val="001F3565"/>
    <w:rsid w:val="001F3C44"/>
    <w:rsid w:val="001F5E5F"/>
    <w:rsid w:val="00201908"/>
    <w:rsid w:val="002020FB"/>
    <w:rsid w:val="002072D3"/>
    <w:rsid w:val="00211E92"/>
    <w:rsid w:val="002122A8"/>
    <w:rsid w:val="00214F63"/>
    <w:rsid w:val="0021721D"/>
    <w:rsid w:val="002226D2"/>
    <w:rsid w:val="00224C18"/>
    <w:rsid w:val="00226A98"/>
    <w:rsid w:val="00231A16"/>
    <w:rsid w:val="0023329C"/>
    <w:rsid w:val="002348B6"/>
    <w:rsid w:val="00234AC9"/>
    <w:rsid w:val="00237324"/>
    <w:rsid w:val="00240035"/>
    <w:rsid w:val="0024083E"/>
    <w:rsid w:val="002466C3"/>
    <w:rsid w:val="00253A21"/>
    <w:rsid w:val="002559E4"/>
    <w:rsid w:val="00260527"/>
    <w:rsid w:val="002645C6"/>
    <w:rsid w:val="002678FE"/>
    <w:rsid w:val="002739EF"/>
    <w:rsid w:val="00277F3E"/>
    <w:rsid w:val="002814F1"/>
    <w:rsid w:val="0028187B"/>
    <w:rsid w:val="002840A9"/>
    <w:rsid w:val="00284341"/>
    <w:rsid w:val="002858FD"/>
    <w:rsid w:val="0029048E"/>
    <w:rsid w:val="00294FF7"/>
    <w:rsid w:val="00295B48"/>
    <w:rsid w:val="002973BB"/>
    <w:rsid w:val="00297EBC"/>
    <w:rsid w:val="002A2A18"/>
    <w:rsid w:val="002A6058"/>
    <w:rsid w:val="002B3129"/>
    <w:rsid w:val="002B332B"/>
    <w:rsid w:val="002B5B5F"/>
    <w:rsid w:val="002B70D1"/>
    <w:rsid w:val="002C1102"/>
    <w:rsid w:val="002C4BC4"/>
    <w:rsid w:val="002C4DB4"/>
    <w:rsid w:val="002C5DEF"/>
    <w:rsid w:val="002C6788"/>
    <w:rsid w:val="002D0B5C"/>
    <w:rsid w:val="002D767E"/>
    <w:rsid w:val="002E1D3B"/>
    <w:rsid w:val="002E635C"/>
    <w:rsid w:val="002F03B0"/>
    <w:rsid w:val="002F6AD8"/>
    <w:rsid w:val="002F73E8"/>
    <w:rsid w:val="00301E8A"/>
    <w:rsid w:val="00302F28"/>
    <w:rsid w:val="0030328F"/>
    <w:rsid w:val="00304369"/>
    <w:rsid w:val="00304AD1"/>
    <w:rsid w:val="0030666B"/>
    <w:rsid w:val="00306D9B"/>
    <w:rsid w:val="003073C3"/>
    <w:rsid w:val="00310D4F"/>
    <w:rsid w:val="003110BF"/>
    <w:rsid w:val="00315B0D"/>
    <w:rsid w:val="00320909"/>
    <w:rsid w:val="00320C09"/>
    <w:rsid w:val="003211C7"/>
    <w:rsid w:val="00321F24"/>
    <w:rsid w:val="00322FEA"/>
    <w:rsid w:val="0032391B"/>
    <w:rsid w:val="003241A7"/>
    <w:rsid w:val="0032696A"/>
    <w:rsid w:val="00327D1D"/>
    <w:rsid w:val="00331B39"/>
    <w:rsid w:val="00335DD4"/>
    <w:rsid w:val="00340526"/>
    <w:rsid w:val="0034465C"/>
    <w:rsid w:val="00347F98"/>
    <w:rsid w:val="00350527"/>
    <w:rsid w:val="00357E1C"/>
    <w:rsid w:val="00360F6D"/>
    <w:rsid w:val="00361112"/>
    <w:rsid w:val="00361946"/>
    <w:rsid w:val="00363F83"/>
    <w:rsid w:val="003643F5"/>
    <w:rsid w:val="00364D5A"/>
    <w:rsid w:val="00367629"/>
    <w:rsid w:val="0037479A"/>
    <w:rsid w:val="0037589F"/>
    <w:rsid w:val="00376E4D"/>
    <w:rsid w:val="00377346"/>
    <w:rsid w:val="00382C58"/>
    <w:rsid w:val="00385938"/>
    <w:rsid w:val="00391667"/>
    <w:rsid w:val="00395365"/>
    <w:rsid w:val="00395786"/>
    <w:rsid w:val="00395F2D"/>
    <w:rsid w:val="0039760B"/>
    <w:rsid w:val="003976D6"/>
    <w:rsid w:val="003A0F8A"/>
    <w:rsid w:val="003A3025"/>
    <w:rsid w:val="003A3693"/>
    <w:rsid w:val="003A4640"/>
    <w:rsid w:val="003A4764"/>
    <w:rsid w:val="003A4D1C"/>
    <w:rsid w:val="003A6666"/>
    <w:rsid w:val="003A689C"/>
    <w:rsid w:val="003A6F17"/>
    <w:rsid w:val="003B5CBD"/>
    <w:rsid w:val="003B611A"/>
    <w:rsid w:val="003C2118"/>
    <w:rsid w:val="003C523E"/>
    <w:rsid w:val="003C7815"/>
    <w:rsid w:val="003D01AF"/>
    <w:rsid w:val="003D0A4D"/>
    <w:rsid w:val="003D125D"/>
    <w:rsid w:val="003E2633"/>
    <w:rsid w:val="003E4A62"/>
    <w:rsid w:val="003E5701"/>
    <w:rsid w:val="003E746D"/>
    <w:rsid w:val="003F0531"/>
    <w:rsid w:val="003F084C"/>
    <w:rsid w:val="003F1B50"/>
    <w:rsid w:val="003F2E98"/>
    <w:rsid w:val="003F357F"/>
    <w:rsid w:val="003F41BF"/>
    <w:rsid w:val="003F4BD8"/>
    <w:rsid w:val="003F6B0D"/>
    <w:rsid w:val="004001B6"/>
    <w:rsid w:val="00402313"/>
    <w:rsid w:val="0040270E"/>
    <w:rsid w:val="00403D14"/>
    <w:rsid w:val="00403D7D"/>
    <w:rsid w:val="004040E0"/>
    <w:rsid w:val="00404A11"/>
    <w:rsid w:val="00406B70"/>
    <w:rsid w:val="00406F0C"/>
    <w:rsid w:val="00407C15"/>
    <w:rsid w:val="004101FE"/>
    <w:rsid w:val="00410833"/>
    <w:rsid w:val="00412F03"/>
    <w:rsid w:val="0041492A"/>
    <w:rsid w:val="00416E74"/>
    <w:rsid w:val="004201CA"/>
    <w:rsid w:val="004206D2"/>
    <w:rsid w:val="004225AC"/>
    <w:rsid w:val="004231BF"/>
    <w:rsid w:val="00423C42"/>
    <w:rsid w:val="004305CD"/>
    <w:rsid w:val="004308D1"/>
    <w:rsid w:val="00430F98"/>
    <w:rsid w:val="004328D8"/>
    <w:rsid w:val="00441534"/>
    <w:rsid w:val="00441887"/>
    <w:rsid w:val="00442B40"/>
    <w:rsid w:val="0044345E"/>
    <w:rsid w:val="0044557E"/>
    <w:rsid w:val="00452483"/>
    <w:rsid w:val="00453D55"/>
    <w:rsid w:val="004559C8"/>
    <w:rsid w:val="00455C71"/>
    <w:rsid w:val="00460EE8"/>
    <w:rsid w:val="0046309C"/>
    <w:rsid w:val="004635DA"/>
    <w:rsid w:val="00466851"/>
    <w:rsid w:val="00467431"/>
    <w:rsid w:val="00471135"/>
    <w:rsid w:val="00472EC0"/>
    <w:rsid w:val="00473A60"/>
    <w:rsid w:val="00476E01"/>
    <w:rsid w:val="00476F39"/>
    <w:rsid w:val="00477A7F"/>
    <w:rsid w:val="0048116D"/>
    <w:rsid w:val="0048178C"/>
    <w:rsid w:val="00482FA6"/>
    <w:rsid w:val="0048334E"/>
    <w:rsid w:val="0048432B"/>
    <w:rsid w:val="004843F4"/>
    <w:rsid w:val="00484712"/>
    <w:rsid w:val="00486C01"/>
    <w:rsid w:val="004924C4"/>
    <w:rsid w:val="004A0BC3"/>
    <w:rsid w:val="004A10B1"/>
    <w:rsid w:val="004A7754"/>
    <w:rsid w:val="004B2200"/>
    <w:rsid w:val="004B2383"/>
    <w:rsid w:val="004B278C"/>
    <w:rsid w:val="004B3030"/>
    <w:rsid w:val="004B38EA"/>
    <w:rsid w:val="004B57D8"/>
    <w:rsid w:val="004B7641"/>
    <w:rsid w:val="004C0A50"/>
    <w:rsid w:val="004C0B4C"/>
    <w:rsid w:val="004C0D6B"/>
    <w:rsid w:val="004D58DC"/>
    <w:rsid w:val="004E42BD"/>
    <w:rsid w:val="004E6A04"/>
    <w:rsid w:val="004F402B"/>
    <w:rsid w:val="004F4662"/>
    <w:rsid w:val="004F4B34"/>
    <w:rsid w:val="004F4EAF"/>
    <w:rsid w:val="004F774C"/>
    <w:rsid w:val="005009AE"/>
    <w:rsid w:val="00500B3D"/>
    <w:rsid w:val="0050206B"/>
    <w:rsid w:val="005072D2"/>
    <w:rsid w:val="00507659"/>
    <w:rsid w:val="00510141"/>
    <w:rsid w:val="00512B53"/>
    <w:rsid w:val="00512CC9"/>
    <w:rsid w:val="00513D0B"/>
    <w:rsid w:val="00515739"/>
    <w:rsid w:val="005159AC"/>
    <w:rsid w:val="00515DDE"/>
    <w:rsid w:val="00516E06"/>
    <w:rsid w:val="00522285"/>
    <w:rsid w:val="00524A64"/>
    <w:rsid w:val="00532142"/>
    <w:rsid w:val="00532901"/>
    <w:rsid w:val="005336DC"/>
    <w:rsid w:val="0053678D"/>
    <w:rsid w:val="00537501"/>
    <w:rsid w:val="00541BA3"/>
    <w:rsid w:val="00541EE1"/>
    <w:rsid w:val="00543C86"/>
    <w:rsid w:val="00546BB9"/>
    <w:rsid w:val="0054737E"/>
    <w:rsid w:val="005507F4"/>
    <w:rsid w:val="005537AA"/>
    <w:rsid w:val="0055414B"/>
    <w:rsid w:val="00555034"/>
    <w:rsid w:val="00562B73"/>
    <w:rsid w:val="00567E22"/>
    <w:rsid w:val="005705A2"/>
    <w:rsid w:val="0057065C"/>
    <w:rsid w:val="0058484F"/>
    <w:rsid w:val="00590BAA"/>
    <w:rsid w:val="00591F1D"/>
    <w:rsid w:val="00591F59"/>
    <w:rsid w:val="00597B93"/>
    <w:rsid w:val="005A2E9F"/>
    <w:rsid w:val="005B01FA"/>
    <w:rsid w:val="005B12FB"/>
    <w:rsid w:val="005B3D18"/>
    <w:rsid w:val="005B3D34"/>
    <w:rsid w:val="005B7536"/>
    <w:rsid w:val="005C0240"/>
    <w:rsid w:val="005C0EAF"/>
    <w:rsid w:val="005C175E"/>
    <w:rsid w:val="005C2AFF"/>
    <w:rsid w:val="005C533F"/>
    <w:rsid w:val="005C5C84"/>
    <w:rsid w:val="005C62F8"/>
    <w:rsid w:val="005D1EE0"/>
    <w:rsid w:val="005D44DB"/>
    <w:rsid w:val="005D4BFA"/>
    <w:rsid w:val="005D4F53"/>
    <w:rsid w:val="005E1A7A"/>
    <w:rsid w:val="005E4169"/>
    <w:rsid w:val="005E48A7"/>
    <w:rsid w:val="005E4A2B"/>
    <w:rsid w:val="005E592F"/>
    <w:rsid w:val="005F0F38"/>
    <w:rsid w:val="005F13FE"/>
    <w:rsid w:val="005F52D7"/>
    <w:rsid w:val="005F5EE0"/>
    <w:rsid w:val="00601C09"/>
    <w:rsid w:val="00602354"/>
    <w:rsid w:val="0060291C"/>
    <w:rsid w:val="00602EAC"/>
    <w:rsid w:val="006051DE"/>
    <w:rsid w:val="006116D4"/>
    <w:rsid w:val="0061465F"/>
    <w:rsid w:val="00615EA4"/>
    <w:rsid w:val="00616FFE"/>
    <w:rsid w:val="00621123"/>
    <w:rsid w:val="00621775"/>
    <w:rsid w:val="00622AC5"/>
    <w:rsid w:val="00624DA1"/>
    <w:rsid w:val="00627F05"/>
    <w:rsid w:val="006309D7"/>
    <w:rsid w:val="0063162B"/>
    <w:rsid w:val="00631B57"/>
    <w:rsid w:val="00633165"/>
    <w:rsid w:val="00636D6D"/>
    <w:rsid w:val="0064003F"/>
    <w:rsid w:val="006437AE"/>
    <w:rsid w:val="0064385A"/>
    <w:rsid w:val="00644AA0"/>
    <w:rsid w:val="00645B70"/>
    <w:rsid w:val="00646286"/>
    <w:rsid w:val="00647B4D"/>
    <w:rsid w:val="0065645E"/>
    <w:rsid w:val="00656BB0"/>
    <w:rsid w:val="00660348"/>
    <w:rsid w:val="0066206A"/>
    <w:rsid w:val="00664333"/>
    <w:rsid w:val="006652A1"/>
    <w:rsid w:val="00665C1F"/>
    <w:rsid w:val="006705C8"/>
    <w:rsid w:val="00673540"/>
    <w:rsid w:val="006755E7"/>
    <w:rsid w:val="00675A8A"/>
    <w:rsid w:val="00676BE2"/>
    <w:rsid w:val="00681E8A"/>
    <w:rsid w:val="006824F6"/>
    <w:rsid w:val="00690C1E"/>
    <w:rsid w:val="00691DCC"/>
    <w:rsid w:val="00693228"/>
    <w:rsid w:val="00693AE2"/>
    <w:rsid w:val="00694EA7"/>
    <w:rsid w:val="00694F87"/>
    <w:rsid w:val="00695AA3"/>
    <w:rsid w:val="006A270D"/>
    <w:rsid w:val="006A3A3D"/>
    <w:rsid w:val="006A62E7"/>
    <w:rsid w:val="006A7FC4"/>
    <w:rsid w:val="006B2317"/>
    <w:rsid w:val="006B4755"/>
    <w:rsid w:val="006C485F"/>
    <w:rsid w:val="006C6663"/>
    <w:rsid w:val="006C72F7"/>
    <w:rsid w:val="006D01CB"/>
    <w:rsid w:val="006D1F94"/>
    <w:rsid w:val="006D3403"/>
    <w:rsid w:val="006D5874"/>
    <w:rsid w:val="006D69B0"/>
    <w:rsid w:val="006E398E"/>
    <w:rsid w:val="006F0EE3"/>
    <w:rsid w:val="006F2819"/>
    <w:rsid w:val="006F283A"/>
    <w:rsid w:val="006F3148"/>
    <w:rsid w:val="006F3359"/>
    <w:rsid w:val="006F4563"/>
    <w:rsid w:val="006F512A"/>
    <w:rsid w:val="006F7F39"/>
    <w:rsid w:val="0070100F"/>
    <w:rsid w:val="00701375"/>
    <w:rsid w:val="00703FAF"/>
    <w:rsid w:val="00705DB2"/>
    <w:rsid w:val="00706548"/>
    <w:rsid w:val="00710106"/>
    <w:rsid w:val="00712386"/>
    <w:rsid w:val="0071615A"/>
    <w:rsid w:val="00722801"/>
    <w:rsid w:val="00723F05"/>
    <w:rsid w:val="00724987"/>
    <w:rsid w:val="007262B7"/>
    <w:rsid w:val="007273AE"/>
    <w:rsid w:val="00732AB7"/>
    <w:rsid w:val="00735BCB"/>
    <w:rsid w:val="00737063"/>
    <w:rsid w:val="00740945"/>
    <w:rsid w:val="00743F06"/>
    <w:rsid w:val="007472DE"/>
    <w:rsid w:val="00747E16"/>
    <w:rsid w:val="00752EEF"/>
    <w:rsid w:val="0075380E"/>
    <w:rsid w:val="00753926"/>
    <w:rsid w:val="00753979"/>
    <w:rsid w:val="007541D9"/>
    <w:rsid w:val="00754E46"/>
    <w:rsid w:val="00757AEA"/>
    <w:rsid w:val="00764422"/>
    <w:rsid w:val="0076459D"/>
    <w:rsid w:val="00764DE7"/>
    <w:rsid w:val="00764F97"/>
    <w:rsid w:val="00770FED"/>
    <w:rsid w:val="00771AB8"/>
    <w:rsid w:val="00775F74"/>
    <w:rsid w:val="0077690A"/>
    <w:rsid w:val="00776E90"/>
    <w:rsid w:val="007779C8"/>
    <w:rsid w:val="00781641"/>
    <w:rsid w:val="007820DE"/>
    <w:rsid w:val="00782C22"/>
    <w:rsid w:val="007837F1"/>
    <w:rsid w:val="00783DBA"/>
    <w:rsid w:val="00783E93"/>
    <w:rsid w:val="00786CFE"/>
    <w:rsid w:val="0078777B"/>
    <w:rsid w:val="00790E9A"/>
    <w:rsid w:val="00793CBE"/>
    <w:rsid w:val="0079523E"/>
    <w:rsid w:val="00795430"/>
    <w:rsid w:val="007977F5"/>
    <w:rsid w:val="007A0A7D"/>
    <w:rsid w:val="007A348E"/>
    <w:rsid w:val="007B46B1"/>
    <w:rsid w:val="007B5968"/>
    <w:rsid w:val="007B67A4"/>
    <w:rsid w:val="007B6A46"/>
    <w:rsid w:val="007B6FAE"/>
    <w:rsid w:val="007B7D2D"/>
    <w:rsid w:val="007C1FD9"/>
    <w:rsid w:val="007C3352"/>
    <w:rsid w:val="007C336D"/>
    <w:rsid w:val="007D14C4"/>
    <w:rsid w:val="007D451D"/>
    <w:rsid w:val="007D6E1C"/>
    <w:rsid w:val="007D736B"/>
    <w:rsid w:val="007D7F7A"/>
    <w:rsid w:val="007E07E6"/>
    <w:rsid w:val="007E2B54"/>
    <w:rsid w:val="007E4818"/>
    <w:rsid w:val="007E5989"/>
    <w:rsid w:val="007E5E11"/>
    <w:rsid w:val="007E6F64"/>
    <w:rsid w:val="007F075B"/>
    <w:rsid w:val="007F0844"/>
    <w:rsid w:val="007F0BD1"/>
    <w:rsid w:val="007F2D8A"/>
    <w:rsid w:val="007F4729"/>
    <w:rsid w:val="007F4AF4"/>
    <w:rsid w:val="007F7D19"/>
    <w:rsid w:val="00802398"/>
    <w:rsid w:val="00802F05"/>
    <w:rsid w:val="008030D4"/>
    <w:rsid w:val="0080341D"/>
    <w:rsid w:val="00806BE9"/>
    <w:rsid w:val="00810CCA"/>
    <w:rsid w:val="00810DAF"/>
    <w:rsid w:val="00812F3D"/>
    <w:rsid w:val="00813C9D"/>
    <w:rsid w:val="00814A67"/>
    <w:rsid w:val="00815105"/>
    <w:rsid w:val="00816B94"/>
    <w:rsid w:val="00817420"/>
    <w:rsid w:val="00817506"/>
    <w:rsid w:val="00820608"/>
    <w:rsid w:val="00820EAE"/>
    <w:rsid w:val="008226C5"/>
    <w:rsid w:val="008247A0"/>
    <w:rsid w:val="00825CA0"/>
    <w:rsid w:val="008265B8"/>
    <w:rsid w:val="00832A9A"/>
    <w:rsid w:val="00834C94"/>
    <w:rsid w:val="00840681"/>
    <w:rsid w:val="00843A7E"/>
    <w:rsid w:val="008470CD"/>
    <w:rsid w:val="00847798"/>
    <w:rsid w:val="00847C52"/>
    <w:rsid w:val="00853230"/>
    <w:rsid w:val="00854856"/>
    <w:rsid w:val="00856B25"/>
    <w:rsid w:val="00862047"/>
    <w:rsid w:val="00863666"/>
    <w:rsid w:val="00870095"/>
    <w:rsid w:val="00870D3C"/>
    <w:rsid w:val="008728FD"/>
    <w:rsid w:val="008736DD"/>
    <w:rsid w:val="00874FEC"/>
    <w:rsid w:val="00877C67"/>
    <w:rsid w:val="00880275"/>
    <w:rsid w:val="00881F44"/>
    <w:rsid w:val="0088768D"/>
    <w:rsid w:val="00890DFF"/>
    <w:rsid w:val="008A0652"/>
    <w:rsid w:val="008A3B95"/>
    <w:rsid w:val="008A5C43"/>
    <w:rsid w:val="008A6F33"/>
    <w:rsid w:val="008A7296"/>
    <w:rsid w:val="008B08CE"/>
    <w:rsid w:val="008B5B9E"/>
    <w:rsid w:val="008B7049"/>
    <w:rsid w:val="008C2824"/>
    <w:rsid w:val="008C4D02"/>
    <w:rsid w:val="008C79BC"/>
    <w:rsid w:val="008D0F5D"/>
    <w:rsid w:val="008D1A93"/>
    <w:rsid w:val="008D37EF"/>
    <w:rsid w:val="008D3C97"/>
    <w:rsid w:val="008E12A5"/>
    <w:rsid w:val="008E2195"/>
    <w:rsid w:val="008E5627"/>
    <w:rsid w:val="008E56B2"/>
    <w:rsid w:val="008E5F52"/>
    <w:rsid w:val="008E780F"/>
    <w:rsid w:val="008F3448"/>
    <w:rsid w:val="008F3B6B"/>
    <w:rsid w:val="008F46F1"/>
    <w:rsid w:val="008F5D99"/>
    <w:rsid w:val="00900BF7"/>
    <w:rsid w:val="00900F91"/>
    <w:rsid w:val="00902AB4"/>
    <w:rsid w:val="00902C67"/>
    <w:rsid w:val="0090351C"/>
    <w:rsid w:val="009122DF"/>
    <w:rsid w:val="009124C0"/>
    <w:rsid w:val="009132F4"/>
    <w:rsid w:val="00914BCC"/>
    <w:rsid w:val="0092093C"/>
    <w:rsid w:val="00926A3D"/>
    <w:rsid w:val="0092758E"/>
    <w:rsid w:val="009302F4"/>
    <w:rsid w:val="00931907"/>
    <w:rsid w:val="00931E7E"/>
    <w:rsid w:val="00933BD9"/>
    <w:rsid w:val="00934EB8"/>
    <w:rsid w:val="00936BFA"/>
    <w:rsid w:val="009416C0"/>
    <w:rsid w:val="00943F70"/>
    <w:rsid w:val="00944D8D"/>
    <w:rsid w:val="0095044A"/>
    <w:rsid w:val="00950B1F"/>
    <w:rsid w:val="00953B00"/>
    <w:rsid w:val="00953CA8"/>
    <w:rsid w:val="00953F56"/>
    <w:rsid w:val="00954FE7"/>
    <w:rsid w:val="009561E5"/>
    <w:rsid w:val="00957FEF"/>
    <w:rsid w:val="00961383"/>
    <w:rsid w:val="0097017F"/>
    <w:rsid w:val="00971086"/>
    <w:rsid w:val="0097125B"/>
    <w:rsid w:val="00971998"/>
    <w:rsid w:val="00973157"/>
    <w:rsid w:val="00974A80"/>
    <w:rsid w:val="00976051"/>
    <w:rsid w:val="009762F1"/>
    <w:rsid w:val="00976BA2"/>
    <w:rsid w:val="0098159E"/>
    <w:rsid w:val="0098161B"/>
    <w:rsid w:val="00981BA0"/>
    <w:rsid w:val="00983725"/>
    <w:rsid w:val="0098686B"/>
    <w:rsid w:val="009A0C42"/>
    <w:rsid w:val="009A4180"/>
    <w:rsid w:val="009A6465"/>
    <w:rsid w:val="009A6AD8"/>
    <w:rsid w:val="009A744A"/>
    <w:rsid w:val="009B4513"/>
    <w:rsid w:val="009B534A"/>
    <w:rsid w:val="009B534E"/>
    <w:rsid w:val="009B7B17"/>
    <w:rsid w:val="009C43FD"/>
    <w:rsid w:val="009C454A"/>
    <w:rsid w:val="009C67C4"/>
    <w:rsid w:val="009C706D"/>
    <w:rsid w:val="009C75C5"/>
    <w:rsid w:val="009D13CE"/>
    <w:rsid w:val="009D580B"/>
    <w:rsid w:val="009D64CF"/>
    <w:rsid w:val="009D6DEB"/>
    <w:rsid w:val="009E0780"/>
    <w:rsid w:val="009E0F19"/>
    <w:rsid w:val="009E28DD"/>
    <w:rsid w:val="009E2E49"/>
    <w:rsid w:val="009E3133"/>
    <w:rsid w:val="009E443B"/>
    <w:rsid w:val="009E4676"/>
    <w:rsid w:val="009E533F"/>
    <w:rsid w:val="009E7176"/>
    <w:rsid w:val="009E7C9A"/>
    <w:rsid w:val="009F34FD"/>
    <w:rsid w:val="009F4970"/>
    <w:rsid w:val="009F4D51"/>
    <w:rsid w:val="00A02A24"/>
    <w:rsid w:val="00A02D0A"/>
    <w:rsid w:val="00A10598"/>
    <w:rsid w:val="00A11619"/>
    <w:rsid w:val="00A12148"/>
    <w:rsid w:val="00A144FC"/>
    <w:rsid w:val="00A14E4E"/>
    <w:rsid w:val="00A2288A"/>
    <w:rsid w:val="00A257EB"/>
    <w:rsid w:val="00A25A2A"/>
    <w:rsid w:val="00A27A99"/>
    <w:rsid w:val="00A33D42"/>
    <w:rsid w:val="00A34641"/>
    <w:rsid w:val="00A3548E"/>
    <w:rsid w:val="00A35C3F"/>
    <w:rsid w:val="00A36DA5"/>
    <w:rsid w:val="00A4027E"/>
    <w:rsid w:val="00A40BDE"/>
    <w:rsid w:val="00A40D3C"/>
    <w:rsid w:val="00A427D8"/>
    <w:rsid w:val="00A45606"/>
    <w:rsid w:val="00A475D9"/>
    <w:rsid w:val="00A54678"/>
    <w:rsid w:val="00A57638"/>
    <w:rsid w:val="00A57CC2"/>
    <w:rsid w:val="00A60C92"/>
    <w:rsid w:val="00A636E4"/>
    <w:rsid w:val="00A63A75"/>
    <w:rsid w:val="00A64369"/>
    <w:rsid w:val="00A66A4A"/>
    <w:rsid w:val="00A66F2D"/>
    <w:rsid w:val="00A66FDB"/>
    <w:rsid w:val="00A678C2"/>
    <w:rsid w:val="00A70C4C"/>
    <w:rsid w:val="00A7196D"/>
    <w:rsid w:val="00A721D0"/>
    <w:rsid w:val="00A72533"/>
    <w:rsid w:val="00A732A4"/>
    <w:rsid w:val="00A76294"/>
    <w:rsid w:val="00A765F0"/>
    <w:rsid w:val="00A806CD"/>
    <w:rsid w:val="00A83C6A"/>
    <w:rsid w:val="00A8565B"/>
    <w:rsid w:val="00A9258E"/>
    <w:rsid w:val="00AA001F"/>
    <w:rsid w:val="00AA0A91"/>
    <w:rsid w:val="00AA1E78"/>
    <w:rsid w:val="00AA2072"/>
    <w:rsid w:val="00AA34D4"/>
    <w:rsid w:val="00AA4AAB"/>
    <w:rsid w:val="00AA5715"/>
    <w:rsid w:val="00AA5C8A"/>
    <w:rsid w:val="00AA5CE5"/>
    <w:rsid w:val="00AB2F2F"/>
    <w:rsid w:val="00AB538E"/>
    <w:rsid w:val="00AB686C"/>
    <w:rsid w:val="00AB7A66"/>
    <w:rsid w:val="00AB7ABA"/>
    <w:rsid w:val="00AC5935"/>
    <w:rsid w:val="00AC5BB5"/>
    <w:rsid w:val="00AC5BD8"/>
    <w:rsid w:val="00AC6932"/>
    <w:rsid w:val="00AC7069"/>
    <w:rsid w:val="00AD2B31"/>
    <w:rsid w:val="00AD6C1D"/>
    <w:rsid w:val="00AE0FB7"/>
    <w:rsid w:val="00AE1B1C"/>
    <w:rsid w:val="00AE2B79"/>
    <w:rsid w:val="00AE3797"/>
    <w:rsid w:val="00AE56B2"/>
    <w:rsid w:val="00AE62B4"/>
    <w:rsid w:val="00AF66A8"/>
    <w:rsid w:val="00AF7248"/>
    <w:rsid w:val="00B10FC7"/>
    <w:rsid w:val="00B11745"/>
    <w:rsid w:val="00B12F3B"/>
    <w:rsid w:val="00B14A2E"/>
    <w:rsid w:val="00B15B90"/>
    <w:rsid w:val="00B15ED1"/>
    <w:rsid w:val="00B16220"/>
    <w:rsid w:val="00B20F6C"/>
    <w:rsid w:val="00B24E3D"/>
    <w:rsid w:val="00B2681D"/>
    <w:rsid w:val="00B26BE6"/>
    <w:rsid w:val="00B33071"/>
    <w:rsid w:val="00B34D64"/>
    <w:rsid w:val="00B36098"/>
    <w:rsid w:val="00B36B22"/>
    <w:rsid w:val="00B3798B"/>
    <w:rsid w:val="00B40CEA"/>
    <w:rsid w:val="00B414FA"/>
    <w:rsid w:val="00B44B20"/>
    <w:rsid w:val="00B53158"/>
    <w:rsid w:val="00B54A84"/>
    <w:rsid w:val="00B64D01"/>
    <w:rsid w:val="00B65621"/>
    <w:rsid w:val="00B715CA"/>
    <w:rsid w:val="00B740AB"/>
    <w:rsid w:val="00B75F38"/>
    <w:rsid w:val="00B81481"/>
    <w:rsid w:val="00B81975"/>
    <w:rsid w:val="00B81999"/>
    <w:rsid w:val="00B8333D"/>
    <w:rsid w:val="00B83628"/>
    <w:rsid w:val="00B8588F"/>
    <w:rsid w:val="00B87203"/>
    <w:rsid w:val="00B93035"/>
    <w:rsid w:val="00B93B75"/>
    <w:rsid w:val="00BA1468"/>
    <w:rsid w:val="00BA1DD2"/>
    <w:rsid w:val="00BA7043"/>
    <w:rsid w:val="00BB0BA2"/>
    <w:rsid w:val="00BB1D85"/>
    <w:rsid w:val="00BB2B20"/>
    <w:rsid w:val="00BC0858"/>
    <w:rsid w:val="00BC1106"/>
    <w:rsid w:val="00BC1C34"/>
    <w:rsid w:val="00BC2E7F"/>
    <w:rsid w:val="00BC2E98"/>
    <w:rsid w:val="00BC2F7E"/>
    <w:rsid w:val="00BC3095"/>
    <w:rsid w:val="00BC4287"/>
    <w:rsid w:val="00BC55B1"/>
    <w:rsid w:val="00BC6466"/>
    <w:rsid w:val="00BD4D9A"/>
    <w:rsid w:val="00BD5156"/>
    <w:rsid w:val="00BD6F87"/>
    <w:rsid w:val="00BD7124"/>
    <w:rsid w:val="00BD73E3"/>
    <w:rsid w:val="00BD7E3E"/>
    <w:rsid w:val="00BE032A"/>
    <w:rsid w:val="00BE2999"/>
    <w:rsid w:val="00BE41F8"/>
    <w:rsid w:val="00BE693E"/>
    <w:rsid w:val="00BE7A91"/>
    <w:rsid w:val="00BE7E06"/>
    <w:rsid w:val="00BF4FFC"/>
    <w:rsid w:val="00BF60CC"/>
    <w:rsid w:val="00C00485"/>
    <w:rsid w:val="00C00BE0"/>
    <w:rsid w:val="00C00D97"/>
    <w:rsid w:val="00C014C0"/>
    <w:rsid w:val="00C01832"/>
    <w:rsid w:val="00C01B06"/>
    <w:rsid w:val="00C02CBA"/>
    <w:rsid w:val="00C04C51"/>
    <w:rsid w:val="00C06233"/>
    <w:rsid w:val="00C06749"/>
    <w:rsid w:val="00C071E1"/>
    <w:rsid w:val="00C202DE"/>
    <w:rsid w:val="00C217EB"/>
    <w:rsid w:val="00C23392"/>
    <w:rsid w:val="00C263B6"/>
    <w:rsid w:val="00C270A5"/>
    <w:rsid w:val="00C339FE"/>
    <w:rsid w:val="00C35A39"/>
    <w:rsid w:val="00C35F37"/>
    <w:rsid w:val="00C435D4"/>
    <w:rsid w:val="00C43FBF"/>
    <w:rsid w:val="00C441CC"/>
    <w:rsid w:val="00C4511A"/>
    <w:rsid w:val="00C45FD2"/>
    <w:rsid w:val="00C461FF"/>
    <w:rsid w:val="00C47A0E"/>
    <w:rsid w:val="00C50051"/>
    <w:rsid w:val="00C519D2"/>
    <w:rsid w:val="00C52538"/>
    <w:rsid w:val="00C52DDF"/>
    <w:rsid w:val="00C52F26"/>
    <w:rsid w:val="00C531C1"/>
    <w:rsid w:val="00C56E0C"/>
    <w:rsid w:val="00C577F4"/>
    <w:rsid w:val="00C57CC8"/>
    <w:rsid w:val="00C60C93"/>
    <w:rsid w:val="00C616A1"/>
    <w:rsid w:val="00C63D1A"/>
    <w:rsid w:val="00C66318"/>
    <w:rsid w:val="00C667D7"/>
    <w:rsid w:val="00C70A2F"/>
    <w:rsid w:val="00C73A92"/>
    <w:rsid w:val="00C74529"/>
    <w:rsid w:val="00C758E4"/>
    <w:rsid w:val="00C7770A"/>
    <w:rsid w:val="00C81C0C"/>
    <w:rsid w:val="00C8211A"/>
    <w:rsid w:val="00C85745"/>
    <w:rsid w:val="00C878B0"/>
    <w:rsid w:val="00C87C56"/>
    <w:rsid w:val="00C9165F"/>
    <w:rsid w:val="00C91670"/>
    <w:rsid w:val="00C9369A"/>
    <w:rsid w:val="00C93C5D"/>
    <w:rsid w:val="00C94763"/>
    <w:rsid w:val="00C957B3"/>
    <w:rsid w:val="00CA029A"/>
    <w:rsid w:val="00CA0364"/>
    <w:rsid w:val="00CA4569"/>
    <w:rsid w:val="00CA5BEE"/>
    <w:rsid w:val="00CA70D5"/>
    <w:rsid w:val="00CA72EB"/>
    <w:rsid w:val="00CB2F64"/>
    <w:rsid w:val="00CB3328"/>
    <w:rsid w:val="00CB4D85"/>
    <w:rsid w:val="00CB5670"/>
    <w:rsid w:val="00CB7C72"/>
    <w:rsid w:val="00CB7D53"/>
    <w:rsid w:val="00CC01B6"/>
    <w:rsid w:val="00CC446B"/>
    <w:rsid w:val="00CC4CA2"/>
    <w:rsid w:val="00CC5CA6"/>
    <w:rsid w:val="00CC77DD"/>
    <w:rsid w:val="00CC798A"/>
    <w:rsid w:val="00CD1B02"/>
    <w:rsid w:val="00CD5616"/>
    <w:rsid w:val="00CD6249"/>
    <w:rsid w:val="00CD68C0"/>
    <w:rsid w:val="00CD7607"/>
    <w:rsid w:val="00CE077B"/>
    <w:rsid w:val="00CE0854"/>
    <w:rsid w:val="00CE19AF"/>
    <w:rsid w:val="00CE415E"/>
    <w:rsid w:val="00CE665D"/>
    <w:rsid w:val="00CE68C5"/>
    <w:rsid w:val="00CF18AC"/>
    <w:rsid w:val="00CF5759"/>
    <w:rsid w:val="00D0252D"/>
    <w:rsid w:val="00D100A7"/>
    <w:rsid w:val="00D10383"/>
    <w:rsid w:val="00D1212A"/>
    <w:rsid w:val="00D178B0"/>
    <w:rsid w:val="00D20087"/>
    <w:rsid w:val="00D2143C"/>
    <w:rsid w:val="00D21C43"/>
    <w:rsid w:val="00D23CB1"/>
    <w:rsid w:val="00D25FB7"/>
    <w:rsid w:val="00D306CC"/>
    <w:rsid w:val="00D306D5"/>
    <w:rsid w:val="00D3107F"/>
    <w:rsid w:val="00D322E4"/>
    <w:rsid w:val="00D3476A"/>
    <w:rsid w:val="00D34BB5"/>
    <w:rsid w:val="00D438DC"/>
    <w:rsid w:val="00D43BDF"/>
    <w:rsid w:val="00D46EB4"/>
    <w:rsid w:val="00D47237"/>
    <w:rsid w:val="00D5283F"/>
    <w:rsid w:val="00D52B57"/>
    <w:rsid w:val="00D530D5"/>
    <w:rsid w:val="00D55097"/>
    <w:rsid w:val="00D55E0A"/>
    <w:rsid w:val="00D56B55"/>
    <w:rsid w:val="00D577C5"/>
    <w:rsid w:val="00D609F2"/>
    <w:rsid w:val="00D65094"/>
    <w:rsid w:val="00D65E94"/>
    <w:rsid w:val="00D70365"/>
    <w:rsid w:val="00D71214"/>
    <w:rsid w:val="00D71FA6"/>
    <w:rsid w:val="00D802C1"/>
    <w:rsid w:val="00D82DE4"/>
    <w:rsid w:val="00D86456"/>
    <w:rsid w:val="00D86918"/>
    <w:rsid w:val="00D90FC4"/>
    <w:rsid w:val="00D91021"/>
    <w:rsid w:val="00D92756"/>
    <w:rsid w:val="00D97C34"/>
    <w:rsid w:val="00DA2084"/>
    <w:rsid w:val="00DA2451"/>
    <w:rsid w:val="00DA39BE"/>
    <w:rsid w:val="00DA41A5"/>
    <w:rsid w:val="00DA422B"/>
    <w:rsid w:val="00DA4D58"/>
    <w:rsid w:val="00DA60D4"/>
    <w:rsid w:val="00DA7FAE"/>
    <w:rsid w:val="00DB12E6"/>
    <w:rsid w:val="00DB1474"/>
    <w:rsid w:val="00DB2231"/>
    <w:rsid w:val="00DB231C"/>
    <w:rsid w:val="00DB23A8"/>
    <w:rsid w:val="00DB5EB1"/>
    <w:rsid w:val="00DB6EA4"/>
    <w:rsid w:val="00DC0C0F"/>
    <w:rsid w:val="00DC2CDF"/>
    <w:rsid w:val="00DC3ADA"/>
    <w:rsid w:val="00DC68A8"/>
    <w:rsid w:val="00DC760E"/>
    <w:rsid w:val="00DD0349"/>
    <w:rsid w:val="00DD0DF0"/>
    <w:rsid w:val="00DD2C64"/>
    <w:rsid w:val="00DD322D"/>
    <w:rsid w:val="00DD6B5B"/>
    <w:rsid w:val="00DE13B3"/>
    <w:rsid w:val="00DE213F"/>
    <w:rsid w:val="00DE331B"/>
    <w:rsid w:val="00DE3E9E"/>
    <w:rsid w:val="00DE43E8"/>
    <w:rsid w:val="00DE5C75"/>
    <w:rsid w:val="00DF1F96"/>
    <w:rsid w:val="00DF714A"/>
    <w:rsid w:val="00E01B8F"/>
    <w:rsid w:val="00E03FD5"/>
    <w:rsid w:val="00E04A54"/>
    <w:rsid w:val="00E051B6"/>
    <w:rsid w:val="00E073A3"/>
    <w:rsid w:val="00E07AED"/>
    <w:rsid w:val="00E13A7D"/>
    <w:rsid w:val="00E16E96"/>
    <w:rsid w:val="00E176B6"/>
    <w:rsid w:val="00E20121"/>
    <w:rsid w:val="00E213A5"/>
    <w:rsid w:val="00E22C95"/>
    <w:rsid w:val="00E31B9F"/>
    <w:rsid w:val="00E331FE"/>
    <w:rsid w:val="00E33FE2"/>
    <w:rsid w:val="00E3456A"/>
    <w:rsid w:val="00E348AE"/>
    <w:rsid w:val="00E40061"/>
    <w:rsid w:val="00E43728"/>
    <w:rsid w:val="00E45F56"/>
    <w:rsid w:val="00E4681A"/>
    <w:rsid w:val="00E479C9"/>
    <w:rsid w:val="00E57082"/>
    <w:rsid w:val="00E573CC"/>
    <w:rsid w:val="00E57DF8"/>
    <w:rsid w:val="00E60DFD"/>
    <w:rsid w:val="00E61851"/>
    <w:rsid w:val="00E6200E"/>
    <w:rsid w:val="00E62425"/>
    <w:rsid w:val="00E62720"/>
    <w:rsid w:val="00E633C4"/>
    <w:rsid w:val="00E64DEA"/>
    <w:rsid w:val="00E65B27"/>
    <w:rsid w:val="00E70CD7"/>
    <w:rsid w:val="00E72755"/>
    <w:rsid w:val="00E75130"/>
    <w:rsid w:val="00E77CD8"/>
    <w:rsid w:val="00E825FC"/>
    <w:rsid w:val="00E83293"/>
    <w:rsid w:val="00E922E3"/>
    <w:rsid w:val="00E929D6"/>
    <w:rsid w:val="00E938F0"/>
    <w:rsid w:val="00E95EE3"/>
    <w:rsid w:val="00EA0AAD"/>
    <w:rsid w:val="00EA43CE"/>
    <w:rsid w:val="00EA4960"/>
    <w:rsid w:val="00EA6C7C"/>
    <w:rsid w:val="00EA73D8"/>
    <w:rsid w:val="00EA7AD1"/>
    <w:rsid w:val="00EB0E48"/>
    <w:rsid w:val="00EB661F"/>
    <w:rsid w:val="00EC06A3"/>
    <w:rsid w:val="00EC0C50"/>
    <w:rsid w:val="00EC1A6E"/>
    <w:rsid w:val="00EC1BDA"/>
    <w:rsid w:val="00EC3997"/>
    <w:rsid w:val="00EC46AE"/>
    <w:rsid w:val="00ED3E57"/>
    <w:rsid w:val="00ED4B2F"/>
    <w:rsid w:val="00ED790D"/>
    <w:rsid w:val="00ED7AE2"/>
    <w:rsid w:val="00EE01AF"/>
    <w:rsid w:val="00EE0987"/>
    <w:rsid w:val="00EE1677"/>
    <w:rsid w:val="00EE4FA1"/>
    <w:rsid w:val="00EE5A57"/>
    <w:rsid w:val="00EF0798"/>
    <w:rsid w:val="00EF491C"/>
    <w:rsid w:val="00EF71E0"/>
    <w:rsid w:val="00EF72DE"/>
    <w:rsid w:val="00F00403"/>
    <w:rsid w:val="00F00A13"/>
    <w:rsid w:val="00F00D5A"/>
    <w:rsid w:val="00F024D6"/>
    <w:rsid w:val="00F03264"/>
    <w:rsid w:val="00F04830"/>
    <w:rsid w:val="00F056A8"/>
    <w:rsid w:val="00F0770E"/>
    <w:rsid w:val="00F11207"/>
    <w:rsid w:val="00F20512"/>
    <w:rsid w:val="00F21198"/>
    <w:rsid w:val="00F22691"/>
    <w:rsid w:val="00F318E2"/>
    <w:rsid w:val="00F32742"/>
    <w:rsid w:val="00F32BF0"/>
    <w:rsid w:val="00F33374"/>
    <w:rsid w:val="00F33C46"/>
    <w:rsid w:val="00F33CC6"/>
    <w:rsid w:val="00F33F62"/>
    <w:rsid w:val="00F35F61"/>
    <w:rsid w:val="00F40271"/>
    <w:rsid w:val="00F425AD"/>
    <w:rsid w:val="00F429B9"/>
    <w:rsid w:val="00F435E4"/>
    <w:rsid w:val="00F47211"/>
    <w:rsid w:val="00F52B7B"/>
    <w:rsid w:val="00F622CD"/>
    <w:rsid w:val="00F62E8E"/>
    <w:rsid w:val="00F64F12"/>
    <w:rsid w:val="00F659D4"/>
    <w:rsid w:val="00F704F3"/>
    <w:rsid w:val="00F70BE1"/>
    <w:rsid w:val="00F71C48"/>
    <w:rsid w:val="00F742B5"/>
    <w:rsid w:val="00F74A7E"/>
    <w:rsid w:val="00F75331"/>
    <w:rsid w:val="00F75B47"/>
    <w:rsid w:val="00F80737"/>
    <w:rsid w:val="00F81774"/>
    <w:rsid w:val="00F825BC"/>
    <w:rsid w:val="00F83EDB"/>
    <w:rsid w:val="00F842B1"/>
    <w:rsid w:val="00F8770C"/>
    <w:rsid w:val="00F90E06"/>
    <w:rsid w:val="00F9274B"/>
    <w:rsid w:val="00F92A9E"/>
    <w:rsid w:val="00F94225"/>
    <w:rsid w:val="00F967B2"/>
    <w:rsid w:val="00FA343E"/>
    <w:rsid w:val="00FA5DBA"/>
    <w:rsid w:val="00FA723A"/>
    <w:rsid w:val="00FB1BD2"/>
    <w:rsid w:val="00FB67CA"/>
    <w:rsid w:val="00FB7854"/>
    <w:rsid w:val="00FC0312"/>
    <w:rsid w:val="00FC2188"/>
    <w:rsid w:val="00FC2853"/>
    <w:rsid w:val="00FC65F7"/>
    <w:rsid w:val="00FC6F5E"/>
    <w:rsid w:val="00FD2D3D"/>
    <w:rsid w:val="00FD6B52"/>
    <w:rsid w:val="00FD7153"/>
    <w:rsid w:val="00FD73E9"/>
    <w:rsid w:val="00FD7FE4"/>
    <w:rsid w:val="00FE01C1"/>
    <w:rsid w:val="00FE0DD5"/>
    <w:rsid w:val="00FE34F8"/>
    <w:rsid w:val="00FE7132"/>
    <w:rsid w:val="00FF586A"/>
    <w:rsid w:val="00FF5D1A"/>
    <w:rsid w:val="00FF5E11"/>
    <w:rsid w:val="013100F2"/>
    <w:rsid w:val="01E53702"/>
    <w:rsid w:val="064D3AF9"/>
    <w:rsid w:val="0C79736A"/>
    <w:rsid w:val="0D23626B"/>
    <w:rsid w:val="12EE1802"/>
    <w:rsid w:val="15617265"/>
    <w:rsid w:val="184305B7"/>
    <w:rsid w:val="1A365DC0"/>
    <w:rsid w:val="1F8673EE"/>
    <w:rsid w:val="2A9E1E8E"/>
    <w:rsid w:val="2E371BAB"/>
    <w:rsid w:val="3B0C5DFB"/>
    <w:rsid w:val="4C495277"/>
    <w:rsid w:val="62F7306F"/>
    <w:rsid w:val="655C6080"/>
    <w:rsid w:val="65640DE3"/>
    <w:rsid w:val="6876296E"/>
    <w:rsid w:val="6BB64C54"/>
    <w:rsid w:val="6EBD15E3"/>
    <w:rsid w:val="75C53718"/>
    <w:rsid w:val="77552659"/>
    <w:rsid w:val="7CDE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DA685"/>
  <w15:docId w15:val="{12C52B65-373D-4729-AB33-303098CB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Closing" w:qFormat="1"/>
    <w:lsdException w:name="Default Paragraph Font" w:semiHidden="1" w:uiPriority="1" w:unhideWhenUsed="1"/>
    <w:lsdException w:name="Body Text Indent" w:qFormat="1"/>
    <w:lsdException w:name="Subtitle" w:qFormat="1"/>
    <w:lsdException w:name="Date" w:qFormat="1"/>
    <w:lsdException w:name="Body Text Indent 3" w:qFormat="1"/>
    <w:lsdException w:name="Hyperlink"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annotation text"/>
    <w:basedOn w:val="a"/>
    <w:link w:val="a6"/>
    <w:qFormat/>
    <w:pPr>
      <w:jc w:val="left"/>
    </w:pPr>
  </w:style>
  <w:style w:type="paragraph" w:styleId="a7">
    <w:name w:val="Closing"/>
    <w:basedOn w:val="a"/>
    <w:qFormat/>
    <w:pPr>
      <w:ind w:leftChars="2100" w:left="100"/>
    </w:pPr>
    <w:rPr>
      <w:szCs w:val="24"/>
    </w:rPr>
  </w:style>
  <w:style w:type="paragraph" w:styleId="a8">
    <w:name w:val="Body Text Indent"/>
    <w:basedOn w:val="a"/>
    <w:qFormat/>
    <w:pPr>
      <w:spacing w:line="360" w:lineRule="auto"/>
      <w:ind w:firstLine="420"/>
    </w:pPr>
  </w:style>
  <w:style w:type="paragraph" w:styleId="a9">
    <w:name w:val="Plain Text"/>
    <w:basedOn w:val="a"/>
    <w:qFormat/>
    <w:rPr>
      <w:rFonts w:ascii="宋体" w:hAnsi="Courier New"/>
    </w:rPr>
  </w:style>
  <w:style w:type="paragraph" w:styleId="aa">
    <w:name w:val="Date"/>
    <w:basedOn w:val="a"/>
    <w:next w:val="a"/>
    <w:qFormat/>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0">
    <w:name w:val="annotation subject"/>
    <w:basedOn w:val="a5"/>
    <w:next w:val="a5"/>
    <w:link w:val="af1"/>
    <w:qFormat/>
    <w:rPr>
      <w:b/>
      <w:bCs/>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Hyperlink"/>
    <w:unhideWhenUsed/>
    <w:qFormat/>
    <w:rPr>
      <w:color w:val="0563C1"/>
      <w:u w:val="single"/>
    </w:rPr>
  </w:style>
  <w:style w:type="character" w:styleId="af5">
    <w:name w:val="annotation reference"/>
    <w:qFormat/>
    <w:rPr>
      <w:sz w:val="21"/>
      <w:szCs w:val="21"/>
    </w:rPr>
  </w:style>
  <w:style w:type="character" w:customStyle="1" w:styleId="a4">
    <w:name w:val="文档结构图 字符"/>
    <w:link w:val="a3"/>
    <w:qFormat/>
    <w:rPr>
      <w:rFonts w:ascii="宋体"/>
      <w:kern w:val="2"/>
      <w:sz w:val="18"/>
      <w:szCs w:val="18"/>
    </w:rPr>
  </w:style>
  <w:style w:type="character" w:customStyle="1" w:styleId="ad">
    <w:name w:val="页脚 字符"/>
    <w:link w:val="ac"/>
    <w:uiPriority w:val="99"/>
    <w:qFormat/>
    <w:rPr>
      <w:kern w:val="2"/>
      <w:sz w:val="18"/>
      <w:szCs w:val="18"/>
    </w:rPr>
  </w:style>
  <w:style w:type="character" w:customStyle="1" w:styleId="a6">
    <w:name w:val="批注文字 字符"/>
    <w:link w:val="a5"/>
    <w:qFormat/>
    <w:rPr>
      <w:kern w:val="2"/>
      <w:sz w:val="21"/>
    </w:rPr>
  </w:style>
  <w:style w:type="character" w:customStyle="1" w:styleId="title31">
    <w:name w:val="title31"/>
    <w:qFormat/>
    <w:rPr>
      <w:b/>
      <w:bCs/>
      <w:sz w:val="21"/>
      <w:szCs w:val="21"/>
    </w:rPr>
  </w:style>
  <w:style w:type="character" w:customStyle="1" w:styleId="af">
    <w:name w:val="页眉 字符"/>
    <w:link w:val="ae"/>
    <w:qFormat/>
    <w:rPr>
      <w:kern w:val="2"/>
      <w:sz w:val="18"/>
      <w:szCs w:val="18"/>
    </w:rPr>
  </w:style>
  <w:style w:type="character" w:customStyle="1" w:styleId="af1">
    <w:name w:val="批注主题 字符"/>
    <w:link w:val="af0"/>
    <w:qFormat/>
    <w:rPr>
      <w:b/>
      <w:bCs/>
      <w:kern w:val="2"/>
      <w:sz w:val="21"/>
    </w:rPr>
  </w:style>
  <w:style w:type="paragraph" w:customStyle="1" w:styleId="af6">
    <w:name w:val="附注一级"/>
    <w:basedOn w:val="a"/>
    <w:qFormat/>
    <w:pPr>
      <w:tabs>
        <w:tab w:val="left" w:pos="714"/>
      </w:tabs>
      <w:adjustRightInd w:val="0"/>
      <w:snapToGrid w:val="0"/>
      <w:spacing w:line="360" w:lineRule="atLeast"/>
      <w:ind w:left="720" w:hanging="734"/>
      <w:outlineLvl w:val="0"/>
    </w:pPr>
    <w:rPr>
      <w:rFonts w:ascii="黑体" w:eastAsia="黑体" w:hAnsi="宋体"/>
      <w:b/>
      <w:szCs w:val="28"/>
    </w:rPr>
  </w:style>
  <w:style w:type="paragraph" w:customStyle="1" w:styleId="Char">
    <w:name w:val="Char"/>
    <w:basedOn w:val="a"/>
    <w:qFormat/>
    <w:pPr>
      <w:widowControl/>
      <w:spacing w:after="160" w:line="240" w:lineRule="exact"/>
      <w:jc w:val="left"/>
    </w:pPr>
    <w:rPr>
      <w:rFonts w:ascii="Verdana" w:hAnsi="Verdana"/>
      <w:kern w:val="0"/>
      <w:sz w:val="20"/>
      <w:lang w:eastAsia="en-US"/>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4641</Words>
  <Characters>5245</Characters>
  <Application>Microsoft Office Word</Application>
  <DocSecurity>0</DocSecurity>
  <Lines>308</Lines>
  <Paragraphs>260</Paragraphs>
  <ScaleCrop>false</ScaleCrop>
  <Company>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关于下发《前次募集资金使用情况的审核程序》的通知</dc:title>
  <dc:creator>as</dc:creator>
  <cp:lastModifiedBy>LZY</cp:lastModifiedBy>
  <cp:revision>164</cp:revision>
  <cp:lastPrinted>2011-02-23T02:40:00Z</cp:lastPrinted>
  <dcterms:created xsi:type="dcterms:W3CDTF">2019-12-19T06:44:00Z</dcterms:created>
  <dcterms:modified xsi:type="dcterms:W3CDTF">2025-04-17T03:31:00Z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F91EBA708F5A4749A7FECB49EA90F3D3_12</vt:lpwstr>
  </property>
  <property fmtid="{D5CDD505-2E9C-101B-9397-08002B2CF9AE}" pid="4" name="KSOTemplateDocerSaveRecord">
    <vt:lpwstr>eyJoZGlkIjoiZjQ2MmQxYjc2ODlmNjE4ZjM3MzlmZmYwNmI1OWE2ZWUiLCJ1c2VySWQiOiIxMjAwOTc5MjE0In0=</vt:lpwstr>
  </property>
</Properties>
</file>