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5A663A">
      <w:pPr>
        <w:spacing w:before="200" w:after="1000" w:line="560" w:lineRule="exact"/>
        <w:jc w:val="center"/>
        <w:rPr>
          <w:rFonts w:hint="eastAsia" w:ascii="宋体" w:hAnsi="宋体" w:cs="宋体"/>
          <w:sz w:val="18"/>
          <w:szCs w:val="18"/>
        </w:rPr>
      </w:pPr>
      <w:r>
        <w:rPr>
          <w:rFonts w:ascii="宋体" w:hAnsi="宋体" w:cs="宋体"/>
          <w:sz w:val="18"/>
          <w:szCs w:val="18"/>
        </w:rPr>
        <w:t xml:space="preserve">证券代码：300436        </w:t>
      </w:r>
      <w:r>
        <w:rPr>
          <w:rFonts w:hint="eastAsia" w:ascii="宋体" w:hAnsi="宋体" w:cs="宋体"/>
          <w:sz w:val="18"/>
          <w:szCs w:val="18"/>
        </w:rPr>
        <w:t xml:space="preserve">              </w:t>
      </w:r>
      <w:r>
        <w:rPr>
          <w:rFonts w:ascii="宋体" w:hAnsi="宋体" w:cs="宋体"/>
          <w:sz w:val="18"/>
          <w:szCs w:val="18"/>
        </w:rPr>
        <w:t xml:space="preserve">        证券简称：广生堂       </w:t>
      </w:r>
      <w:r>
        <w:rPr>
          <w:rFonts w:hint="eastAsia" w:ascii="宋体" w:hAnsi="宋体" w:cs="宋体"/>
          <w:sz w:val="18"/>
          <w:szCs w:val="18"/>
        </w:rPr>
        <w:t xml:space="preserve">      </w:t>
      </w:r>
      <w:r>
        <w:rPr>
          <w:rFonts w:ascii="宋体" w:hAnsi="宋体" w:cs="宋体"/>
          <w:sz w:val="18"/>
          <w:szCs w:val="18"/>
        </w:rPr>
        <w:t xml:space="preserve">  </w:t>
      </w:r>
      <w:r>
        <w:rPr>
          <w:rFonts w:hint="eastAsia" w:ascii="宋体" w:hAnsi="宋体" w:cs="宋体"/>
          <w:sz w:val="18"/>
          <w:szCs w:val="18"/>
        </w:rPr>
        <w:t xml:space="preserve">    </w:t>
      </w:r>
      <w:r>
        <w:rPr>
          <w:rFonts w:ascii="宋体" w:hAnsi="宋体" w:cs="宋体"/>
          <w:sz w:val="18"/>
          <w:szCs w:val="18"/>
        </w:rPr>
        <w:t xml:space="preserve">       公告编号：</w:t>
      </w:r>
      <w:r>
        <w:rPr>
          <w:rFonts w:hint="eastAsia" w:ascii="宋体" w:hAnsi="宋体" w:cs="宋体"/>
          <w:sz w:val="18"/>
          <w:szCs w:val="18"/>
        </w:rPr>
        <w:t>2025025</w:t>
      </w:r>
    </w:p>
    <w:p w14:paraId="5E107564">
      <w:pPr>
        <w:spacing w:after="1000" w:line="400" w:lineRule="exact"/>
        <w:jc w:val="center"/>
        <w:rPr>
          <w:rFonts w:hint="eastAsia" w:ascii="宋体" w:hAnsi="宋体" w:cs="宋体"/>
          <w:b/>
          <w:bCs/>
          <w:sz w:val="36"/>
          <w:szCs w:val="36"/>
        </w:rPr>
      </w:pPr>
      <w:r>
        <w:rPr>
          <w:rFonts w:ascii="宋体" w:hAnsi="宋体" w:cs="宋体"/>
          <w:b/>
          <w:bCs/>
          <w:sz w:val="36"/>
          <w:szCs w:val="36"/>
        </w:rPr>
        <w:t>福建广生堂药业股份有限公司2024年年度报告摘要</w:t>
      </w:r>
    </w:p>
    <w:p w14:paraId="3874719E">
      <w:pPr>
        <w:keepNext/>
        <w:keepLines/>
        <w:spacing w:before="300" w:after="300" w:line="320" w:lineRule="exact"/>
        <w:jc w:val="left"/>
        <w:outlineLvl w:val="1"/>
        <w:rPr>
          <w:rFonts w:hint="eastAsia" w:ascii="宋体" w:hAnsi="宋体" w:cs="宋体"/>
          <w:b/>
          <w:bCs/>
          <w:sz w:val="24"/>
          <w:szCs w:val="24"/>
        </w:rPr>
      </w:pPr>
      <w:bookmarkStart w:id="0" w:name="_Toc988889"/>
      <w:r>
        <w:rPr>
          <w:rFonts w:ascii="宋体" w:hAnsi="宋体" w:cs="宋体"/>
          <w:b/>
          <w:bCs/>
          <w:sz w:val="24"/>
          <w:szCs w:val="24"/>
        </w:rPr>
        <w:t>一、重要提示</w:t>
      </w:r>
      <w:bookmarkEnd w:id="0"/>
    </w:p>
    <w:p w14:paraId="663790A4">
      <w:pPr>
        <w:spacing w:line="240" w:lineRule="exact"/>
        <w:jc w:val="left"/>
        <w:rPr>
          <w:rFonts w:hint="eastAsia" w:ascii="宋体" w:hAnsi="宋体" w:cs="宋体"/>
          <w:sz w:val="18"/>
          <w:szCs w:val="18"/>
        </w:rPr>
      </w:pPr>
      <w:r>
        <w:rPr>
          <w:rFonts w:ascii="宋体" w:hAnsi="宋体" w:cs="宋体"/>
          <w:sz w:val="18"/>
          <w:szCs w:val="18"/>
        </w:rPr>
        <w:t>本年度报告摘要来自年度报告全文，为全面了解本公司的经营成果、财务状况及未来发展规划，投资者应当到证监会指定媒体仔细阅读年度报告全文。</w:t>
      </w:r>
    </w:p>
    <w:p w14:paraId="7CB4C009">
      <w:pPr>
        <w:spacing w:line="240" w:lineRule="exact"/>
        <w:jc w:val="left"/>
        <w:rPr>
          <w:rFonts w:hint="eastAsia" w:ascii="宋体" w:hAnsi="宋体" w:cs="宋体"/>
          <w:sz w:val="18"/>
          <w:szCs w:val="18"/>
        </w:rPr>
      </w:pPr>
      <w:r>
        <w:rPr>
          <w:rFonts w:ascii="宋体" w:hAnsi="宋体" w:cs="宋体"/>
          <w:sz w:val="18"/>
          <w:szCs w:val="18"/>
        </w:rPr>
        <w:t>所有董事均已出席了审议本报告的董事会会议。</w:t>
      </w:r>
    </w:p>
    <w:p w14:paraId="3D381F04">
      <w:pPr>
        <w:spacing w:line="240" w:lineRule="exact"/>
        <w:jc w:val="left"/>
        <w:rPr>
          <w:rFonts w:hint="eastAsia" w:ascii="宋体" w:hAnsi="宋体" w:cs="宋体"/>
          <w:sz w:val="18"/>
          <w:szCs w:val="18"/>
        </w:rPr>
      </w:pPr>
      <w:r>
        <w:rPr>
          <w:rFonts w:ascii="宋体" w:hAnsi="宋体" w:cs="宋体"/>
          <w:sz w:val="18"/>
          <w:szCs w:val="18"/>
        </w:rPr>
        <w:t>北京德皓国际会计师事务所（特殊普通合伙）对本年度公司财务报告的审计意见为：标准的无保留意见。</w:t>
      </w:r>
    </w:p>
    <w:p w14:paraId="2D0ABF23">
      <w:pPr>
        <w:spacing w:line="240" w:lineRule="exact"/>
        <w:jc w:val="left"/>
        <w:rPr>
          <w:rFonts w:hint="eastAsia" w:ascii="宋体" w:hAnsi="宋体" w:cs="宋体"/>
          <w:sz w:val="18"/>
          <w:szCs w:val="18"/>
        </w:rPr>
      </w:pPr>
      <w:r>
        <w:rPr>
          <w:rFonts w:ascii="宋体" w:hAnsi="宋体" w:cs="宋体"/>
          <w:sz w:val="18"/>
          <w:szCs w:val="18"/>
        </w:rPr>
        <w:t>本报告期会计师事务所变更情况：公司本年度会计师事务所由大华会计师事务所（特殊普通合伙）变更为北京德皓国际会计师事务所（特殊普通合伙）。</w:t>
      </w:r>
    </w:p>
    <w:p w14:paraId="10535DA9">
      <w:pPr>
        <w:spacing w:line="240" w:lineRule="exact"/>
        <w:jc w:val="left"/>
        <w:rPr>
          <w:rFonts w:hint="eastAsia" w:ascii="宋体" w:hAnsi="宋体" w:cs="宋体"/>
          <w:sz w:val="18"/>
          <w:szCs w:val="18"/>
        </w:rPr>
      </w:pPr>
      <w:r>
        <w:rPr>
          <w:rFonts w:ascii="宋体" w:hAnsi="宋体" w:cs="宋体"/>
          <w:sz w:val="18"/>
          <w:szCs w:val="18"/>
        </w:rPr>
        <w:t>非标准审计意见提示</w:t>
      </w:r>
    </w:p>
    <w:p w14:paraId="693CDBDB">
      <w:pPr>
        <w:spacing w:line="240" w:lineRule="exact"/>
        <w:jc w:val="left"/>
        <w:rPr>
          <w:rFonts w:hint="eastAsia" w:ascii="宋体" w:hAnsi="宋体" w:cs="宋体"/>
          <w:sz w:val="18"/>
          <w:szCs w:val="18"/>
        </w:rPr>
      </w:pPr>
      <w:r>
        <w:rPr>
          <w:rFonts w:ascii="宋体" w:hAnsi="宋体" w:cs="宋体"/>
          <w:sz w:val="18"/>
          <w:szCs w:val="18"/>
        </w:rPr>
        <w:t xml:space="preserve">□适用 </w:t>
      </w:r>
      <w:r>
        <w:rPr>
          <w:rFonts w:ascii="宋体" w:hAnsi="宋体" w:cs="宋体"/>
          <w:sz w:val="18"/>
          <w:szCs w:val="18"/>
        </w:rPr>
        <w:sym w:font="Wingdings 2" w:char="F052"/>
      </w:r>
      <w:r>
        <w:rPr>
          <w:rFonts w:ascii="宋体" w:hAnsi="宋体" w:cs="宋体"/>
          <w:sz w:val="18"/>
          <w:szCs w:val="18"/>
        </w:rPr>
        <w:t>不适用</w:t>
      </w:r>
    </w:p>
    <w:p w14:paraId="5ECB5AFD">
      <w:pPr>
        <w:spacing w:line="240" w:lineRule="exact"/>
        <w:jc w:val="left"/>
        <w:rPr>
          <w:rFonts w:hint="eastAsia" w:ascii="宋体" w:hAnsi="宋体" w:cs="宋体"/>
          <w:sz w:val="18"/>
          <w:szCs w:val="18"/>
        </w:rPr>
      </w:pPr>
      <w:r>
        <w:rPr>
          <w:rFonts w:ascii="宋体" w:hAnsi="宋体" w:cs="宋体"/>
          <w:sz w:val="18"/>
          <w:szCs w:val="18"/>
        </w:rPr>
        <w:t>公司上市时未盈利且目前未实现盈利</w:t>
      </w:r>
    </w:p>
    <w:p w14:paraId="3A6E9478">
      <w:pPr>
        <w:spacing w:line="240" w:lineRule="exact"/>
        <w:jc w:val="left"/>
        <w:rPr>
          <w:rFonts w:hint="eastAsia" w:ascii="宋体" w:hAnsi="宋体" w:cs="宋体"/>
          <w:sz w:val="18"/>
          <w:szCs w:val="18"/>
        </w:rPr>
      </w:pPr>
      <w:r>
        <w:rPr>
          <w:rFonts w:ascii="宋体" w:hAnsi="宋体" w:cs="宋体"/>
          <w:sz w:val="18"/>
          <w:szCs w:val="18"/>
        </w:rPr>
        <w:t xml:space="preserve">□适用 </w:t>
      </w:r>
      <w:r>
        <w:rPr>
          <w:rFonts w:ascii="宋体" w:hAnsi="宋体" w:cs="宋体"/>
          <w:sz w:val="18"/>
          <w:szCs w:val="18"/>
        </w:rPr>
        <w:sym w:font="Wingdings 2" w:char="F052"/>
      </w:r>
      <w:r>
        <w:rPr>
          <w:rFonts w:ascii="宋体" w:hAnsi="宋体" w:cs="宋体"/>
          <w:sz w:val="18"/>
          <w:szCs w:val="18"/>
        </w:rPr>
        <w:t>不适用</w:t>
      </w:r>
    </w:p>
    <w:p w14:paraId="3F42A366">
      <w:pPr>
        <w:spacing w:line="240" w:lineRule="exact"/>
        <w:jc w:val="left"/>
        <w:rPr>
          <w:rFonts w:hint="eastAsia" w:ascii="宋体" w:hAnsi="宋体" w:cs="宋体"/>
          <w:sz w:val="18"/>
          <w:szCs w:val="18"/>
        </w:rPr>
      </w:pPr>
      <w:r>
        <w:rPr>
          <w:rFonts w:ascii="宋体" w:hAnsi="宋体" w:cs="宋体"/>
          <w:sz w:val="18"/>
          <w:szCs w:val="18"/>
        </w:rPr>
        <w:t>董事会审议的报告期利润分配预案或公积金转增股本预案</w:t>
      </w:r>
    </w:p>
    <w:p w14:paraId="7A8357CB">
      <w:pPr>
        <w:spacing w:line="240" w:lineRule="exact"/>
        <w:jc w:val="left"/>
        <w:rPr>
          <w:rFonts w:hint="eastAsia" w:ascii="宋体" w:hAnsi="宋体" w:cs="宋体"/>
          <w:sz w:val="18"/>
          <w:szCs w:val="18"/>
        </w:rPr>
      </w:pPr>
      <w:r>
        <w:rPr>
          <w:rFonts w:ascii="宋体" w:hAnsi="宋体" w:cs="宋体"/>
          <w:sz w:val="18"/>
          <w:szCs w:val="18"/>
        </w:rPr>
        <w:t xml:space="preserve">□适用 </w:t>
      </w:r>
      <w:r>
        <w:rPr>
          <w:rFonts w:ascii="宋体" w:hAnsi="宋体" w:cs="宋体"/>
          <w:sz w:val="18"/>
          <w:szCs w:val="18"/>
        </w:rPr>
        <w:sym w:font="Wingdings 2" w:char="F052"/>
      </w:r>
      <w:r>
        <w:rPr>
          <w:rFonts w:ascii="宋体" w:hAnsi="宋体" w:cs="宋体"/>
          <w:sz w:val="18"/>
          <w:szCs w:val="18"/>
        </w:rPr>
        <w:t>不适用</w:t>
      </w:r>
    </w:p>
    <w:p w14:paraId="1BCBFB7D">
      <w:pPr>
        <w:spacing w:line="240" w:lineRule="exact"/>
        <w:jc w:val="left"/>
        <w:rPr>
          <w:rFonts w:hint="eastAsia" w:ascii="宋体" w:hAnsi="宋体" w:cs="宋体"/>
          <w:sz w:val="18"/>
          <w:szCs w:val="18"/>
        </w:rPr>
      </w:pPr>
      <w:r>
        <w:rPr>
          <w:rFonts w:ascii="宋体" w:hAnsi="宋体" w:cs="宋体"/>
          <w:sz w:val="18"/>
          <w:szCs w:val="18"/>
        </w:rPr>
        <w:t>公司计划不派发现金红利，不送红股，不以公积金转增股本。</w:t>
      </w:r>
    </w:p>
    <w:p w14:paraId="7B7B9DE2">
      <w:pPr>
        <w:spacing w:line="240" w:lineRule="exact"/>
        <w:jc w:val="left"/>
        <w:rPr>
          <w:rFonts w:hint="eastAsia" w:ascii="宋体" w:hAnsi="宋体" w:cs="宋体"/>
          <w:sz w:val="18"/>
          <w:szCs w:val="18"/>
        </w:rPr>
      </w:pPr>
      <w:r>
        <w:rPr>
          <w:rFonts w:ascii="宋体" w:hAnsi="宋体" w:cs="宋体"/>
          <w:sz w:val="18"/>
          <w:szCs w:val="18"/>
        </w:rPr>
        <w:t>董事会决议通过的本报告期优先股利润分配预案</w:t>
      </w:r>
    </w:p>
    <w:p w14:paraId="5064DF23">
      <w:pPr>
        <w:spacing w:line="240" w:lineRule="exact"/>
        <w:jc w:val="left"/>
        <w:rPr>
          <w:rFonts w:hint="eastAsia" w:ascii="宋体" w:hAnsi="宋体" w:cs="宋体"/>
          <w:sz w:val="18"/>
          <w:szCs w:val="18"/>
        </w:rPr>
      </w:pPr>
      <w:r>
        <w:rPr>
          <w:rFonts w:ascii="宋体" w:hAnsi="宋体" w:cs="宋体"/>
          <w:sz w:val="18"/>
          <w:szCs w:val="18"/>
        </w:rPr>
        <w:t>□适用 □不适用</w:t>
      </w:r>
    </w:p>
    <w:p w14:paraId="48D11B41">
      <w:pPr>
        <w:keepNext/>
        <w:keepLines/>
        <w:spacing w:before="300" w:after="300" w:line="320" w:lineRule="exact"/>
        <w:jc w:val="left"/>
        <w:outlineLvl w:val="1"/>
        <w:rPr>
          <w:rFonts w:hint="eastAsia" w:ascii="宋体" w:hAnsi="宋体" w:cs="宋体"/>
          <w:b/>
          <w:bCs/>
          <w:sz w:val="24"/>
          <w:szCs w:val="24"/>
        </w:rPr>
      </w:pPr>
      <w:bookmarkStart w:id="1" w:name="_Toc988890"/>
      <w:r>
        <w:rPr>
          <w:rFonts w:ascii="宋体" w:hAnsi="宋体" w:cs="宋体"/>
          <w:b/>
          <w:bCs/>
          <w:sz w:val="24"/>
          <w:szCs w:val="24"/>
        </w:rPr>
        <w:t>二、公司基本情况</w:t>
      </w:r>
      <w:bookmarkEnd w:id="1"/>
    </w:p>
    <w:p w14:paraId="190F68C7">
      <w:pPr>
        <w:keepNext/>
        <w:keepLines/>
        <w:spacing w:before="300" w:after="300" w:line="280" w:lineRule="exact"/>
        <w:jc w:val="left"/>
        <w:outlineLvl w:val="2"/>
        <w:rPr>
          <w:rFonts w:hint="eastAsia" w:ascii="宋体" w:hAnsi="宋体" w:cs="宋体"/>
          <w:b/>
          <w:bCs/>
          <w:szCs w:val="21"/>
        </w:rPr>
      </w:pPr>
      <w:bookmarkStart w:id="2" w:name="_Toc988891"/>
      <w:r>
        <w:rPr>
          <w:rFonts w:ascii="宋体" w:hAnsi="宋体" w:cs="宋体"/>
          <w:b/>
          <w:bCs/>
          <w:szCs w:val="21"/>
        </w:rPr>
        <w:t>1、公司简介</w:t>
      </w:r>
      <w:bookmarkEnd w:id="2"/>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747"/>
        <w:gridCol w:w="3950"/>
        <w:gridCol w:w="1660"/>
        <w:gridCol w:w="2283"/>
      </w:tblGrid>
      <w:tr w14:paraId="3B17F8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47" w:type="dxa"/>
            <w:tcBorders>
              <w:top w:val="single" w:color="auto" w:sz="2" w:space="0"/>
              <w:left w:val="single" w:color="auto" w:sz="2" w:space="0"/>
              <w:bottom w:val="single" w:color="auto" w:sz="2" w:space="0"/>
              <w:right w:val="single" w:color="auto" w:sz="2" w:space="0"/>
            </w:tcBorders>
            <w:shd w:val="clear" w:color="auto" w:fill="D3D3D3"/>
            <w:vAlign w:val="center"/>
          </w:tcPr>
          <w:p w14:paraId="7F335DCD">
            <w:pPr>
              <w:spacing w:before="40" w:after="40" w:line="240" w:lineRule="exact"/>
              <w:jc w:val="left"/>
              <w:rPr>
                <w:rFonts w:hint="eastAsia" w:ascii="宋体" w:hAnsi="宋体" w:cs="宋体"/>
                <w:sz w:val="18"/>
                <w:szCs w:val="18"/>
              </w:rPr>
            </w:pPr>
            <w:r>
              <w:rPr>
                <w:rFonts w:ascii="宋体" w:hAnsi="宋体" w:cs="宋体"/>
                <w:sz w:val="18"/>
                <w:szCs w:val="18"/>
              </w:rPr>
              <w:t>股票简称</w:t>
            </w:r>
          </w:p>
        </w:tc>
        <w:tc>
          <w:tcPr>
            <w:tcW w:w="3950" w:type="dxa"/>
            <w:tcBorders>
              <w:top w:val="single" w:color="auto" w:sz="2" w:space="0"/>
              <w:left w:val="single" w:color="auto" w:sz="2" w:space="0"/>
              <w:bottom w:val="single" w:color="auto" w:sz="2" w:space="0"/>
              <w:right w:val="single" w:color="auto" w:sz="2" w:space="0"/>
            </w:tcBorders>
            <w:vAlign w:val="center"/>
          </w:tcPr>
          <w:p w14:paraId="70A2748F">
            <w:pPr>
              <w:spacing w:line="240" w:lineRule="exact"/>
              <w:jc w:val="left"/>
              <w:rPr>
                <w:rFonts w:hint="eastAsia" w:ascii="宋体" w:hAnsi="宋体" w:cs="宋体"/>
                <w:sz w:val="18"/>
                <w:szCs w:val="18"/>
              </w:rPr>
            </w:pPr>
            <w:r>
              <w:rPr>
                <w:rFonts w:ascii="宋体" w:hAnsi="宋体" w:cs="宋体"/>
                <w:sz w:val="18"/>
                <w:szCs w:val="18"/>
              </w:rPr>
              <w:t>广生堂</w:t>
            </w:r>
          </w:p>
        </w:tc>
        <w:tc>
          <w:tcPr>
            <w:tcW w:w="1660" w:type="dxa"/>
            <w:tcBorders>
              <w:top w:val="single" w:color="auto" w:sz="2" w:space="0"/>
              <w:left w:val="single" w:color="auto" w:sz="2" w:space="0"/>
              <w:bottom w:val="single" w:color="auto" w:sz="2" w:space="0"/>
              <w:right w:val="single" w:color="auto" w:sz="2" w:space="0"/>
            </w:tcBorders>
            <w:shd w:val="clear" w:color="auto" w:fill="D3D3D3"/>
            <w:vAlign w:val="center"/>
          </w:tcPr>
          <w:p w14:paraId="235E9227">
            <w:pPr>
              <w:spacing w:before="40" w:after="40" w:line="240" w:lineRule="exact"/>
              <w:jc w:val="left"/>
              <w:rPr>
                <w:rFonts w:hint="eastAsia" w:ascii="宋体" w:hAnsi="宋体" w:cs="宋体"/>
                <w:sz w:val="18"/>
                <w:szCs w:val="18"/>
              </w:rPr>
            </w:pPr>
            <w:r>
              <w:rPr>
                <w:rFonts w:ascii="宋体" w:hAnsi="宋体" w:cs="宋体"/>
                <w:sz w:val="18"/>
                <w:szCs w:val="18"/>
              </w:rPr>
              <w:t>股票代码</w:t>
            </w:r>
          </w:p>
        </w:tc>
        <w:tc>
          <w:tcPr>
            <w:tcW w:w="2283" w:type="dxa"/>
            <w:tcBorders>
              <w:top w:val="single" w:color="auto" w:sz="2" w:space="0"/>
              <w:left w:val="single" w:color="auto" w:sz="2" w:space="0"/>
              <w:bottom w:val="single" w:color="auto" w:sz="2" w:space="0"/>
              <w:right w:val="single" w:color="auto" w:sz="2" w:space="0"/>
            </w:tcBorders>
            <w:vAlign w:val="center"/>
          </w:tcPr>
          <w:p w14:paraId="7E19B3E9">
            <w:pPr>
              <w:spacing w:line="240" w:lineRule="exact"/>
              <w:jc w:val="left"/>
              <w:rPr>
                <w:rFonts w:hint="eastAsia" w:ascii="宋体" w:hAnsi="宋体" w:cs="宋体"/>
                <w:sz w:val="18"/>
                <w:szCs w:val="18"/>
              </w:rPr>
            </w:pPr>
            <w:r>
              <w:rPr>
                <w:rFonts w:ascii="宋体" w:hAnsi="宋体" w:cs="宋体"/>
                <w:sz w:val="18"/>
                <w:szCs w:val="18"/>
              </w:rPr>
              <w:t>300436</w:t>
            </w:r>
          </w:p>
        </w:tc>
      </w:tr>
      <w:tr w14:paraId="2FED92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47" w:type="dxa"/>
            <w:tcBorders>
              <w:top w:val="single" w:color="auto" w:sz="2" w:space="0"/>
              <w:left w:val="single" w:color="auto" w:sz="2" w:space="0"/>
              <w:bottom w:val="single" w:color="auto" w:sz="2" w:space="0"/>
              <w:right w:val="single" w:color="auto" w:sz="2" w:space="0"/>
            </w:tcBorders>
            <w:shd w:val="clear" w:color="auto" w:fill="D3D3D3"/>
            <w:vAlign w:val="center"/>
          </w:tcPr>
          <w:p w14:paraId="219FF868">
            <w:pPr>
              <w:spacing w:before="40" w:after="40" w:line="240" w:lineRule="exact"/>
              <w:jc w:val="left"/>
              <w:rPr>
                <w:rFonts w:hint="eastAsia" w:ascii="宋体" w:hAnsi="宋体" w:cs="宋体"/>
                <w:sz w:val="18"/>
                <w:szCs w:val="18"/>
              </w:rPr>
            </w:pPr>
            <w:r>
              <w:rPr>
                <w:rFonts w:ascii="宋体" w:hAnsi="宋体" w:cs="宋体"/>
                <w:sz w:val="18"/>
                <w:szCs w:val="18"/>
              </w:rPr>
              <w:t>股票上市交易所</w:t>
            </w:r>
          </w:p>
        </w:tc>
        <w:tc>
          <w:tcPr>
            <w:tcW w:w="7893" w:type="dxa"/>
            <w:gridSpan w:val="3"/>
            <w:tcBorders>
              <w:top w:val="single" w:color="auto" w:sz="2" w:space="0"/>
              <w:left w:val="single" w:color="auto" w:sz="2" w:space="0"/>
              <w:bottom w:val="single" w:color="auto" w:sz="2" w:space="0"/>
              <w:right w:val="single" w:color="auto" w:sz="2" w:space="0"/>
            </w:tcBorders>
            <w:vAlign w:val="center"/>
          </w:tcPr>
          <w:p w14:paraId="1109617C">
            <w:pPr>
              <w:spacing w:line="240" w:lineRule="exact"/>
              <w:jc w:val="left"/>
              <w:rPr>
                <w:rFonts w:hint="eastAsia" w:ascii="宋体" w:hAnsi="宋体" w:cs="宋体"/>
                <w:sz w:val="18"/>
                <w:szCs w:val="18"/>
              </w:rPr>
            </w:pPr>
            <w:r>
              <w:rPr>
                <w:rFonts w:ascii="宋体" w:hAnsi="宋体" w:cs="宋体"/>
                <w:sz w:val="18"/>
                <w:szCs w:val="18"/>
              </w:rPr>
              <w:t>深圳证券交易所</w:t>
            </w:r>
          </w:p>
        </w:tc>
      </w:tr>
      <w:tr w14:paraId="3C863F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47" w:type="dxa"/>
            <w:tcBorders>
              <w:top w:val="single" w:color="auto" w:sz="2" w:space="0"/>
              <w:left w:val="single" w:color="auto" w:sz="2" w:space="0"/>
              <w:bottom w:val="single" w:color="auto" w:sz="2" w:space="0"/>
              <w:right w:val="single" w:color="auto" w:sz="2" w:space="0"/>
            </w:tcBorders>
            <w:shd w:val="clear" w:color="auto" w:fill="D3D3D3"/>
            <w:vAlign w:val="center"/>
          </w:tcPr>
          <w:p w14:paraId="4810E15E">
            <w:pPr>
              <w:spacing w:before="40" w:after="40" w:line="240" w:lineRule="exact"/>
              <w:jc w:val="center"/>
              <w:rPr>
                <w:rFonts w:hint="eastAsia" w:ascii="宋体" w:hAnsi="宋体" w:cs="宋体"/>
                <w:sz w:val="18"/>
                <w:szCs w:val="18"/>
              </w:rPr>
            </w:pPr>
            <w:r>
              <w:rPr>
                <w:rFonts w:ascii="宋体" w:hAnsi="宋体" w:cs="宋体"/>
                <w:sz w:val="18"/>
                <w:szCs w:val="18"/>
              </w:rPr>
              <w:t>联系人和联系方式</w:t>
            </w:r>
          </w:p>
        </w:tc>
        <w:tc>
          <w:tcPr>
            <w:tcW w:w="3950" w:type="dxa"/>
            <w:tcBorders>
              <w:top w:val="single" w:color="auto" w:sz="2" w:space="0"/>
              <w:left w:val="single" w:color="auto" w:sz="2" w:space="0"/>
              <w:bottom w:val="single" w:color="auto" w:sz="2" w:space="0"/>
              <w:right w:val="single" w:color="auto" w:sz="2" w:space="0"/>
            </w:tcBorders>
            <w:shd w:val="clear" w:color="auto" w:fill="D3D3D3"/>
            <w:vAlign w:val="center"/>
          </w:tcPr>
          <w:p w14:paraId="4AA2A27F">
            <w:pPr>
              <w:spacing w:before="40" w:after="40" w:line="240" w:lineRule="exact"/>
              <w:jc w:val="center"/>
              <w:rPr>
                <w:rFonts w:hint="eastAsia" w:ascii="宋体" w:hAnsi="宋体" w:cs="宋体"/>
                <w:sz w:val="18"/>
                <w:szCs w:val="18"/>
              </w:rPr>
            </w:pPr>
            <w:r>
              <w:rPr>
                <w:rFonts w:ascii="宋体" w:hAnsi="宋体" w:cs="宋体"/>
                <w:sz w:val="18"/>
                <w:szCs w:val="18"/>
              </w:rPr>
              <w:t>董事会秘书</w:t>
            </w:r>
          </w:p>
        </w:tc>
        <w:tc>
          <w:tcPr>
            <w:tcW w:w="3943"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5C40C9B0">
            <w:pPr>
              <w:spacing w:before="40" w:after="40" w:line="240" w:lineRule="exact"/>
              <w:jc w:val="center"/>
              <w:rPr>
                <w:rFonts w:hint="eastAsia" w:ascii="宋体" w:hAnsi="宋体" w:cs="宋体"/>
                <w:sz w:val="18"/>
                <w:szCs w:val="18"/>
              </w:rPr>
            </w:pPr>
            <w:r>
              <w:rPr>
                <w:rFonts w:ascii="宋体" w:hAnsi="宋体" w:cs="宋体"/>
                <w:sz w:val="18"/>
                <w:szCs w:val="18"/>
              </w:rPr>
              <w:t>证券事务代表</w:t>
            </w:r>
          </w:p>
        </w:tc>
      </w:tr>
      <w:tr w14:paraId="4E5B67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47" w:type="dxa"/>
            <w:tcBorders>
              <w:top w:val="single" w:color="auto" w:sz="2" w:space="0"/>
              <w:left w:val="single" w:color="auto" w:sz="2" w:space="0"/>
              <w:bottom w:val="single" w:color="auto" w:sz="2" w:space="0"/>
              <w:right w:val="single" w:color="auto" w:sz="2" w:space="0"/>
            </w:tcBorders>
            <w:shd w:val="clear" w:color="auto" w:fill="D3D3D3"/>
            <w:vAlign w:val="center"/>
          </w:tcPr>
          <w:p w14:paraId="054B6828">
            <w:pPr>
              <w:spacing w:before="40" w:after="40" w:line="240" w:lineRule="exact"/>
              <w:jc w:val="left"/>
              <w:rPr>
                <w:rFonts w:hint="eastAsia" w:ascii="宋体" w:hAnsi="宋体" w:cs="宋体"/>
                <w:sz w:val="18"/>
                <w:szCs w:val="18"/>
              </w:rPr>
            </w:pPr>
            <w:r>
              <w:rPr>
                <w:rFonts w:ascii="宋体" w:hAnsi="宋体" w:cs="宋体"/>
                <w:sz w:val="18"/>
                <w:szCs w:val="18"/>
              </w:rPr>
              <w:t>姓名</w:t>
            </w:r>
          </w:p>
        </w:tc>
        <w:tc>
          <w:tcPr>
            <w:tcW w:w="3950" w:type="dxa"/>
            <w:tcBorders>
              <w:top w:val="single" w:color="auto" w:sz="2" w:space="0"/>
              <w:left w:val="single" w:color="auto" w:sz="2" w:space="0"/>
              <w:bottom w:val="single" w:color="auto" w:sz="2" w:space="0"/>
              <w:right w:val="single" w:color="auto" w:sz="2" w:space="0"/>
            </w:tcBorders>
            <w:vAlign w:val="center"/>
          </w:tcPr>
          <w:p w14:paraId="38E78C97">
            <w:pPr>
              <w:spacing w:line="240" w:lineRule="exact"/>
              <w:jc w:val="left"/>
              <w:rPr>
                <w:rFonts w:hint="eastAsia" w:ascii="宋体" w:hAnsi="宋体" w:cs="宋体"/>
                <w:sz w:val="18"/>
                <w:szCs w:val="18"/>
              </w:rPr>
            </w:pPr>
            <w:r>
              <w:rPr>
                <w:rFonts w:ascii="宋体" w:hAnsi="宋体" w:cs="宋体"/>
                <w:sz w:val="18"/>
                <w:szCs w:val="18"/>
              </w:rPr>
              <w:t>张清河</w:t>
            </w:r>
          </w:p>
        </w:tc>
        <w:tc>
          <w:tcPr>
            <w:tcW w:w="3943" w:type="dxa"/>
            <w:gridSpan w:val="2"/>
            <w:tcBorders>
              <w:top w:val="single" w:color="auto" w:sz="2" w:space="0"/>
              <w:left w:val="single" w:color="auto" w:sz="2" w:space="0"/>
              <w:bottom w:val="single" w:color="auto" w:sz="2" w:space="0"/>
              <w:right w:val="single" w:color="auto" w:sz="2" w:space="0"/>
            </w:tcBorders>
            <w:vAlign w:val="center"/>
          </w:tcPr>
          <w:p w14:paraId="26095054">
            <w:pPr>
              <w:spacing w:line="240" w:lineRule="exact"/>
              <w:jc w:val="left"/>
              <w:rPr>
                <w:rFonts w:hint="eastAsia" w:ascii="宋体" w:hAnsi="宋体" w:cs="宋体"/>
                <w:sz w:val="18"/>
                <w:szCs w:val="18"/>
              </w:rPr>
            </w:pPr>
            <w:r>
              <w:rPr>
                <w:rFonts w:ascii="宋体" w:hAnsi="宋体" w:cs="宋体"/>
                <w:sz w:val="18"/>
                <w:szCs w:val="18"/>
              </w:rPr>
              <w:t>陈丹青</w:t>
            </w:r>
          </w:p>
        </w:tc>
      </w:tr>
      <w:tr w14:paraId="04B3B8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47" w:type="dxa"/>
            <w:tcBorders>
              <w:top w:val="single" w:color="auto" w:sz="2" w:space="0"/>
              <w:left w:val="single" w:color="auto" w:sz="2" w:space="0"/>
              <w:bottom w:val="single" w:color="auto" w:sz="2" w:space="0"/>
              <w:right w:val="single" w:color="auto" w:sz="2" w:space="0"/>
            </w:tcBorders>
            <w:shd w:val="clear" w:color="auto" w:fill="D3D3D3"/>
            <w:vAlign w:val="center"/>
          </w:tcPr>
          <w:p w14:paraId="2397DFED">
            <w:pPr>
              <w:spacing w:before="40" w:after="40" w:line="240" w:lineRule="exact"/>
              <w:jc w:val="left"/>
              <w:rPr>
                <w:rFonts w:hint="eastAsia" w:ascii="宋体" w:hAnsi="宋体" w:cs="宋体"/>
                <w:sz w:val="18"/>
                <w:szCs w:val="18"/>
              </w:rPr>
            </w:pPr>
            <w:r>
              <w:rPr>
                <w:rFonts w:ascii="宋体" w:hAnsi="宋体" w:cs="宋体"/>
                <w:sz w:val="18"/>
                <w:szCs w:val="18"/>
              </w:rPr>
              <w:t>办公地址</w:t>
            </w:r>
          </w:p>
        </w:tc>
        <w:tc>
          <w:tcPr>
            <w:tcW w:w="3950" w:type="dxa"/>
            <w:tcBorders>
              <w:top w:val="single" w:color="auto" w:sz="2" w:space="0"/>
              <w:left w:val="single" w:color="auto" w:sz="2" w:space="0"/>
              <w:bottom w:val="single" w:color="auto" w:sz="2" w:space="0"/>
              <w:right w:val="single" w:color="auto" w:sz="2" w:space="0"/>
            </w:tcBorders>
            <w:vAlign w:val="center"/>
          </w:tcPr>
          <w:p w14:paraId="14765BD8">
            <w:pPr>
              <w:spacing w:line="240" w:lineRule="exact"/>
              <w:jc w:val="left"/>
              <w:rPr>
                <w:rFonts w:hint="eastAsia" w:ascii="宋体" w:hAnsi="宋体" w:cs="宋体"/>
                <w:sz w:val="18"/>
                <w:szCs w:val="18"/>
              </w:rPr>
            </w:pPr>
            <w:r>
              <w:rPr>
                <w:rFonts w:ascii="宋体" w:hAnsi="宋体" w:cs="宋体"/>
                <w:sz w:val="18"/>
                <w:szCs w:val="18"/>
              </w:rPr>
              <w:t>福建省福州市闽侯县福州高新区乌龙江中大道7号海西高新技术产业园创新园二期16号楼</w:t>
            </w:r>
          </w:p>
        </w:tc>
        <w:tc>
          <w:tcPr>
            <w:tcW w:w="3943" w:type="dxa"/>
            <w:gridSpan w:val="2"/>
            <w:tcBorders>
              <w:top w:val="single" w:color="auto" w:sz="2" w:space="0"/>
              <w:left w:val="single" w:color="auto" w:sz="2" w:space="0"/>
              <w:bottom w:val="single" w:color="auto" w:sz="2" w:space="0"/>
              <w:right w:val="single" w:color="auto" w:sz="2" w:space="0"/>
            </w:tcBorders>
            <w:vAlign w:val="center"/>
          </w:tcPr>
          <w:p w14:paraId="1BAE31A8">
            <w:pPr>
              <w:spacing w:line="240" w:lineRule="exact"/>
              <w:jc w:val="left"/>
              <w:rPr>
                <w:rFonts w:hint="eastAsia" w:ascii="宋体" w:hAnsi="宋体" w:cs="宋体"/>
                <w:sz w:val="18"/>
                <w:szCs w:val="18"/>
              </w:rPr>
            </w:pPr>
            <w:r>
              <w:rPr>
                <w:rFonts w:ascii="宋体" w:hAnsi="宋体" w:cs="宋体"/>
                <w:sz w:val="18"/>
                <w:szCs w:val="18"/>
              </w:rPr>
              <w:t>福建省福州市闽侯县福州高新区乌龙江中大道7号海西高新技术产业园创新园二期16号楼</w:t>
            </w:r>
          </w:p>
        </w:tc>
      </w:tr>
      <w:tr w14:paraId="455555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47" w:type="dxa"/>
            <w:tcBorders>
              <w:top w:val="single" w:color="auto" w:sz="2" w:space="0"/>
              <w:left w:val="single" w:color="auto" w:sz="2" w:space="0"/>
              <w:bottom w:val="single" w:color="auto" w:sz="2" w:space="0"/>
              <w:right w:val="single" w:color="auto" w:sz="2" w:space="0"/>
            </w:tcBorders>
            <w:shd w:val="clear" w:color="auto" w:fill="D3D3D3"/>
            <w:vAlign w:val="center"/>
          </w:tcPr>
          <w:p w14:paraId="7DC3527F">
            <w:pPr>
              <w:spacing w:before="40" w:after="40" w:line="240" w:lineRule="exact"/>
              <w:jc w:val="left"/>
              <w:rPr>
                <w:rFonts w:hint="eastAsia" w:ascii="宋体" w:hAnsi="宋体" w:cs="宋体"/>
                <w:sz w:val="18"/>
                <w:szCs w:val="18"/>
              </w:rPr>
            </w:pPr>
            <w:r>
              <w:rPr>
                <w:rFonts w:ascii="宋体" w:hAnsi="宋体" w:cs="宋体"/>
                <w:sz w:val="18"/>
                <w:szCs w:val="18"/>
              </w:rPr>
              <w:t>传真</w:t>
            </w:r>
          </w:p>
        </w:tc>
        <w:tc>
          <w:tcPr>
            <w:tcW w:w="3950" w:type="dxa"/>
            <w:tcBorders>
              <w:top w:val="single" w:color="auto" w:sz="2" w:space="0"/>
              <w:left w:val="single" w:color="auto" w:sz="2" w:space="0"/>
              <w:bottom w:val="single" w:color="auto" w:sz="2" w:space="0"/>
              <w:right w:val="single" w:color="auto" w:sz="2" w:space="0"/>
            </w:tcBorders>
            <w:vAlign w:val="center"/>
          </w:tcPr>
          <w:p w14:paraId="4940CD8B">
            <w:pPr>
              <w:spacing w:line="240" w:lineRule="exact"/>
              <w:jc w:val="left"/>
              <w:rPr>
                <w:rFonts w:hint="eastAsia" w:ascii="宋体" w:hAnsi="宋体" w:cs="宋体"/>
                <w:sz w:val="18"/>
                <w:szCs w:val="18"/>
              </w:rPr>
            </w:pPr>
            <w:r>
              <w:rPr>
                <w:rFonts w:ascii="宋体" w:hAnsi="宋体" w:cs="宋体"/>
                <w:sz w:val="18"/>
                <w:szCs w:val="18"/>
              </w:rPr>
              <w:t>0591-83052199</w:t>
            </w:r>
          </w:p>
        </w:tc>
        <w:tc>
          <w:tcPr>
            <w:tcW w:w="3943" w:type="dxa"/>
            <w:gridSpan w:val="2"/>
            <w:tcBorders>
              <w:top w:val="single" w:color="auto" w:sz="2" w:space="0"/>
              <w:left w:val="single" w:color="auto" w:sz="2" w:space="0"/>
              <w:bottom w:val="single" w:color="auto" w:sz="2" w:space="0"/>
              <w:right w:val="single" w:color="auto" w:sz="2" w:space="0"/>
            </w:tcBorders>
            <w:vAlign w:val="center"/>
          </w:tcPr>
          <w:p w14:paraId="561A2DA1">
            <w:pPr>
              <w:spacing w:line="240" w:lineRule="exact"/>
              <w:jc w:val="left"/>
              <w:rPr>
                <w:rFonts w:hint="eastAsia" w:ascii="宋体" w:hAnsi="宋体" w:cs="宋体"/>
                <w:sz w:val="18"/>
                <w:szCs w:val="18"/>
              </w:rPr>
            </w:pPr>
            <w:r>
              <w:rPr>
                <w:rFonts w:ascii="宋体" w:hAnsi="宋体" w:cs="宋体"/>
                <w:sz w:val="18"/>
                <w:szCs w:val="18"/>
              </w:rPr>
              <w:t>0591-83052199</w:t>
            </w:r>
          </w:p>
        </w:tc>
      </w:tr>
      <w:tr w14:paraId="1C777B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47" w:type="dxa"/>
            <w:tcBorders>
              <w:top w:val="single" w:color="auto" w:sz="2" w:space="0"/>
              <w:left w:val="single" w:color="auto" w:sz="2" w:space="0"/>
              <w:bottom w:val="single" w:color="auto" w:sz="2" w:space="0"/>
              <w:right w:val="single" w:color="auto" w:sz="2" w:space="0"/>
            </w:tcBorders>
            <w:shd w:val="clear" w:color="auto" w:fill="D3D3D3"/>
            <w:vAlign w:val="center"/>
          </w:tcPr>
          <w:p w14:paraId="75ACAC36">
            <w:pPr>
              <w:spacing w:before="40" w:after="40" w:line="240" w:lineRule="exact"/>
              <w:jc w:val="left"/>
              <w:rPr>
                <w:rFonts w:hint="eastAsia" w:ascii="宋体" w:hAnsi="宋体" w:cs="宋体"/>
                <w:sz w:val="18"/>
                <w:szCs w:val="18"/>
              </w:rPr>
            </w:pPr>
            <w:r>
              <w:rPr>
                <w:rFonts w:ascii="宋体" w:hAnsi="宋体" w:cs="宋体"/>
                <w:sz w:val="18"/>
                <w:szCs w:val="18"/>
              </w:rPr>
              <w:t>电话</w:t>
            </w:r>
          </w:p>
        </w:tc>
        <w:tc>
          <w:tcPr>
            <w:tcW w:w="3950" w:type="dxa"/>
            <w:tcBorders>
              <w:top w:val="single" w:color="auto" w:sz="2" w:space="0"/>
              <w:left w:val="single" w:color="auto" w:sz="2" w:space="0"/>
              <w:bottom w:val="single" w:color="auto" w:sz="2" w:space="0"/>
              <w:right w:val="single" w:color="auto" w:sz="2" w:space="0"/>
            </w:tcBorders>
            <w:vAlign w:val="center"/>
          </w:tcPr>
          <w:p w14:paraId="7C57814F">
            <w:pPr>
              <w:spacing w:line="240" w:lineRule="exact"/>
              <w:jc w:val="left"/>
              <w:rPr>
                <w:rFonts w:hint="eastAsia" w:ascii="宋体" w:hAnsi="宋体" w:cs="宋体"/>
                <w:sz w:val="18"/>
                <w:szCs w:val="18"/>
              </w:rPr>
            </w:pPr>
            <w:r>
              <w:rPr>
                <w:rFonts w:ascii="宋体" w:hAnsi="宋体" w:cs="宋体"/>
                <w:sz w:val="18"/>
                <w:szCs w:val="18"/>
              </w:rPr>
              <w:t>0591-38265188</w:t>
            </w:r>
          </w:p>
        </w:tc>
        <w:tc>
          <w:tcPr>
            <w:tcW w:w="3943" w:type="dxa"/>
            <w:gridSpan w:val="2"/>
            <w:tcBorders>
              <w:top w:val="single" w:color="auto" w:sz="2" w:space="0"/>
              <w:left w:val="single" w:color="auto" w:sz="2" w:space="0"/>
              <w:bottom w:val="single" w:color="auto" w:sz="2" w:space="0"/>
              <w:right w:val="single" w:color="auto" w:sz="2" w:space="0"/>
            </w:tcBorders>
            <w:vAlign w:val="center"/>
          </w:tcPr>
          <w:p w14:paraId="4408B0E8">
            <w:pPr>
              <w:spacing w:line="240" w:lineRule="exact"/>
              <w:jc w:val="left"/>
              <w:rPr>
                <w:rFonts w:hint="eastAsia" w:ascii="宋体" w:hAnsi="宋体" w:cs="宋体"/>
                <w:sz w:val="18"/>
                <w:szCs w:val="18"/>
              </w:rPr>
            </w:pPr>
            <w:r>
              <w:rPr>
                <w:rFonts w:ascii="宋体" w:hAnsi="宋体" w:cs="宋体"/>
                <w:sz w:val="18"/>
                <w:szCs w:val="18"/>
              </w:rPr>
              <w:t>0591-38265188</w:t>
            </w:r>
          </w:p>
        </w:tc>
      </w:tr>
      <w:tr w14:paraId="623088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47" w:type="dxa"/>
            <w:tcBorders>
              <w:top w:val="single" w:color="auto" w:sz="2" w:space="0"/>
              <w:left w:val="single" w:color="auto" w:sz="2" w:space="0"/>
              <w:bottom w:val="single" w:color="auto" w:sz="2" w:space="0"/>
              <w:right w:val="single" w:color="auto" w:sz="2" w:space="0"/>
            </w:tcBorders>
            <w:shd w:val="clear" w:color="auto" w:fill="D3D3D3"/>
            <w:vAlign w:val="center"/>
          </w:tcPr>
          <w:p w14:paraId="2ED6AC7E">
            <w:pPr>
              <w:spacing w:before="40" w:after="40" w:line="240" w:lineRule="exact"/>
              <w:jc w:val="left"/>
              <w:rPr>
                <w:rFonts w:hint="eastAsia" w:ascii="宋体" w:hAnsi="宋体" w:cs="宋体"/>
                <w:sz w:val="18"/>
                <w:szCs w:val="18"/>
              </w:rPr>
            </w:pPr>
            <w:r>
              <w:rPr>
                <w:rFonts w:ascii="宋体" w:hAnsi="宋体" w:cs="宋体"/>
                <w:sz w:val="18"/>
                <w:szCs w:val="18"/>
              </w:rPr>
              <w:t>电子信箱</w:t>
            </w:r>
          </w:p>
        </w:tc>
        <w:tc>
          <w:tcPr>
            <w:tcW w:w="3950" w:type="dxa"/>
            <w:tcBorders>
              <w:top w:val="single" w:color="auto" w:sz="2" w:space="0"/>
              <w:left w:val="single" w:color="auto" w:sz="2" w:space="0"/>
              <w:bottom w:val="single" w:color="auto" w:sz="2" w:space="0"/>
              <w:right w:val="single" w:color="auto" w:sz="2" w:space="0"/>
            </w:tcBorders>
            <w:vAlign w:val="center"/>
          </w:tcPr>
          <w:p w14:paraId="7CA418E3">
            <w:pPr>
              <w:spacing w:line="240" w:lineRule="exact"/>
              <w:jc w:val="left"/>
              <w:rPr>
                <w:rFonts w:hint="eastAsia" w:ascii="宋体" w:hAnsi="宋体" w:cs="宋体"/>
                <w:sz w:val="18"/>
                <w:szCs w:val="18"/>
              </w:rPr>
            </w:pPr>
            <w:r>
              <w:rPr>
                <w:rFonts w:ascii="宋体" w:hAnsi="宋体" w:cs="宋体"/>
                <w:sz w:val="18"/>
                <w:szCs w:val="18"/>
              </w:rPr>
              <w:t>zhangqinghe@cosunter.com</w:t>
            </w:r>
          </w:p>
        </w:tc>
        <w:tc>
          <w:tcPr>
            <w:tcW w:w="3943" w:type="dxa"/>
            <w:gridSpan w:val="2"/>
            <w:tcBorders>
              <w:top w:val="single" w:color="auto" w:sz="2" w:space="0"/>
              <w:left w:val="single" w:color="auto" w:sz="2" w:space="0"/>
              <w:bottom w:val="single" w:color="auto" w:sz="2" w:space="0"/>
              <w:right w:val="single" w:color="auto" w:sz="2" w:space="0"/>
            </w:tcBorders>
            <w:vAlign w:val="center"/>
          </w:tcPr>
          <w:p w14:paraId="3E5BC8BB">
            <w:pPr>
              <w:spacing w:line="240" w:lineRule="exact"/>
              <w:jc w:val="left"/>
              <w:rPr>
                <w:rFonts w:hint="eastAsia" w:ascii="宋体" w:hAnsi="宋体" w:cs="宋体"/>
                <w:sz w:val="18"/>
                <w:szCs w:val="18"/>
              </w:rPr>
            </w:pPr>
            <w:r>
              <w:rPr>
                <w:rFonts w:ascii="宋体" w:hAnsi="宋体" w:cs="宋体"/>
                <w:sz w:val="18"/>
                <w:szCs w:val="18"/>
              </w:rPr>
              <w:t>chendanqing@cosunter.com</w:t>
            </w:r>
          </w:p>
        </w:tc>
      </w:tr>
    </w:tbl>
    <w:p w14:paraId="7B038687">
      <w:pPr>
        <w:keepNext/>
        <w:keepLines/>
        <w:spacing w:before="300" w:after="300" w:line="280" w:lineRule="exact"/>
        <w:jc w:val="left"/>
        <w:outlineLvl w:val="2"/>
        <w:rPr>
          <w:rFonts w:hint="eastAsia" w:ascii="宋体" w:hAnsi="宋体" w:cs="宋体"/>
          <w:b/>
          <w:bCs/>
          <w:szCs w:val="21"/>
        </w:rPr>
      </w:pPr>
      <w:bookmarkStart w:id="3" w:name="_Toc988892"/>
      <w:r>
        <w:rPr>
          <w:rFonts w:ascii="宋体" w:hAnsi="宋体" w:cs="宋体"/>
          <w:b/>
          <w:bCs/>
          <w:szCs w:val="21"/>
        </w:rPr>
        <w:t>2、报告期主要业务或产品简介</w:t>
      </w:r>
      <w:bookmarkEnd w:id="3"/>
    </w:p>
    <w:p w14:paraId="514CF396">
      <w:pPr>
        <w:spacing w:before="40" w:after="40"/>
        <w:ind w:firstLine="361"/>
        <w:jc w:val="left"/>
      </w:pPr>
      <w:bookmarkStart w:id="4" w:name="_Toc988893"/>
      <w:r>
        <w:rPr>
          <w:rFonts w:ascii="宋体" w:hAnsi="宋体"/>
          <w:b/>
          <w:sz w:val="18"/>
        </w:rPr>
        <w:t>（一）主要业务、产品及用途</w:t>
      </w:r>
    </w:p>
    <w:p w14:paraId="102995CA">
      <w:pPr>
        <w:spacing w:before="40" w:after="40"/>
        <w:ind w:firstLine="361"/>
        <w:jc w:val="left"/>
      </w:pPr>
      <w:r>
        <w:rPr>
          <w:rFonts w:ascii="宋体" w:hAnsi="宋体"/>
          <w:sz w:val="18"/>
        </w:rPr>
        <w:t>公司秉承“广播仁爱·关注民生”的企业使命，坚定为人类的肝脏健康提供科学解决方案的梦想，坚定不移推动创新药物研发，实施创新发展战略，致力于为中国抗击新冠病毒、乙肝、肝癌、肝纤维化，打造属于中国人的创新药，为推动我国自主可控药物研发创新发展贡献核心力量。</w:t>
      </w:r>
    </w:p>
    <w:p w14:paraId="2664271F">
      <w:pPr>
        <w:spacing w:before="40" w:after="40"/>
        <w:ind w:firstLine="361"/>
        <w:jc w:val="left"/>
      </w:pPr>
      <w:r>
        <w:rPr>
          <w:rFonts w:ascii="宋体" w:hAnsi="宋体"/>
          <w:sz w:val="18"/>
        </w:rPr>
        <w:t>通过自主研发、合作开发和产业并购等方式，公司已形成以核苷（酸）类抗乙肝病毒药物和保肝护肝药物销售为核心，覆盖乙肝、丙肝、脂肪肝、肝纤维化、肝癌、保肝护肝等肝脏健康产品线的布局，并积极拓展了心血管、男性健康、抗新冠病毒领域产品。未来，公司将坚持通过以仿哺创、仿创结合方式持续推进创新发展战略，坚持内生式增长为主和外延式拓展齐头并进，不断丰富公司的产品管线和优化产品结构，致力于成就抗病毒和肝脏健康药物领域领先的创新药研发生产企业。</w:t>
      </w:r>
    </w:p>
    <w:p w14:paraId="6B3DA7B3">
      <w:pPr>
        <w:spacing w:before="40" w:after="40"/>
        <w:ind w:firstLine="361"/>
        <w:jc w:val="left"/>
      </w:pPr>
      <w:r>
        <w:rPr>
          <w:rFonts w:ascii="宋体" w:hAnsi="宋体"/>
          <w:b/>
          <w:sz w:val="18"/>
        </w:rPr>
        <w:t>1、仿制药领域</w:t>
      </w:r>
    </w:p>
    <w:p w14:paraId="37577D42">
      <w:pPr>
        <w:spacing w:before="40" w:after="40"/>
        <w:ind w:firstLine="361"/>
        <w:jc w:val="left"/>
      </w:pPr>
      <w:r>
        <w:rPr>
          <w:rFonts w:ascii="宋体" w:hAnsi="宋体"/>
          <w:b/>
          <w:sz w:val="18"/>
        </w:rPr>
        <w:t>1.1已上市销售产品</w:t>
      </w:r>
    </w:p>
    <w:p w14:paraId="326D10F0">
      <w:pPr>
        <w:spacing w:before="40" w:after="40"/>
        <w:ind w:firstLine="361"/>
        <w:jc w:val="left"/>
      </w:pPr>
      <w:r>
        <w:rPr>
          <w:rFonts w:ascii="宋体" w:hAnsi="宋体"/>
          <w:b/>
          <w:sz w:val="18"/>
        </w:rPr>
        <w:t>（1）抗乙肝病毒药物</w:t>
      </w:r>
    </w:p>
    <w:p w14:paraId="1D2F975D">
      <w:pPr>
        <w:spacing w:before="40" w:after="40"/>
        <w:ind w:firstLine="361"/>
      </w:pPr>
      <w:r>
        <w:rPr>
          <w:rFonts w:ascii="宋体" w:hAnsi="宋体"/>
          <w:sz w:val="18"/>
        </w:rPr>
        <w:t>公司为国内同时拥有丙酚替诺福韦、替诺福韦、恩替卡韦、拉米夫定、阿德福韦酯五大核苷（酸）类抗乙肝病毒用药的高新技术企业，且公司五大核苷（酸）类抗乙肝病毒药物产品均已顺利通过一致性评价，有力增强了公司市场销售的竞争优势，加速仿制药对原研的进口替代，为广大患者提供优质优价的用药选择。其中，丙酚替诺福韦、替诺福韦和恩替卡韦为各国慢性乙型肝炎防治指南一致推荐的一线药物。丙酚替诺福韦、替诺福韦、恩替卡韦、拉米夫定、阿德福韦酯均被纳入2024年版《国家基本医疗保险、工伤保险和生育保险药品目录》。</w:t>
      </w:r>
    </w:p>
    <w:p w14:paraId="45CE8BE6">
      <w:pPr>
        <w:spacing w:before="40" w:after="40"/>
        <w:ind w:firstLine="361"/>
      </w:pPr>
      <w:r>
        <w:rPr>
          <w:rFonts w:ascii="宋体" w:hAnsi="宋体"/>
          <w:sz w:val="18"/>
        </w:rPr>
        <w:t>2024年3月18日是中国第二十四个“爱肝日”，其宣传主题是“早防早筛，远离肝硬化”。2022年版《慢性乙型肝炎防治指南》重磅发布，该指南在2019年指南基础上进行了更新，以更好地规范CHB的预防、诊断和治疗，并大幅提高慢性乙型肝炎（CHB）的诊断率和治疗率，减少相关死亡率，助力实现WHO提出的“2030年消除病毒性肝炎作为公共卫生危害”的目标，即CHB新发感染率减少90%、死亡率减少65%、诊断率达到90%和治疗率达到80%。目前，我国诊断率和治疗率仅分别为 22% 和15%，未来乙肝市场仍有广阔的增长空间。</w:t>
      </w:r>
    </w:p>
    <w:p w14:paraId="1FD9CA7A">
      <w:pPr>
        <w:spacing w:before="40" w:after="40"/>
        <w:ind w:firstLine="361"/>
        <w:jc w:val="left"/>
      </w:pPr>
      <w:r>
        <w:rPr>
          <w:rFonts w:ascii="宋体" w:hAnsi="宋体"/>
          <w:sz w:val="20"/>
        </w:rPr>
        <w:t> </w:t>
      </w:r>
    </w:p>
    <w:p w14:paraId="01396E96">
      <w:pPr>
        <w:spacing w:before="40" w:after="40"/>
        <w:ind w:firstLine="361"/>
        <w:jc w:val="center"/>
      </w:pPr>
      <w:r>
        <w:rPr>
          <w:rFonts w:ascii="宋体" w:hAnsi="宋体"/>
          <w:sz w:val="20"/>
        </w:rPr>
        <w:t> </w:t>
      </w:r>
      <w:r>
        <w:rPr>
          <w:rFonts w:ascii="宋体" w:hAnsi="宋体"/>
          <w:sz w:val="22"/>
        </w:rPr>
        <w:t> </w:t>
      </w:r>
      <w:r>
        <w:rPr>
          <w:rFonts w:ascii="宋体" w:hAnsi="宋体"/>
          <w:sz w:val="20"/>
        </w:rPr>
        <w:t> </w:t>
      </w:r>
      <w:r>
        <w:drawing>
          <wp:inline distT="0" distB="0" distL="0" distR="0">
            <wp:extent cx="5543550" cy="28479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srcRect/>
                    <a:stretch>
                      <a:fillRect/>
                    </a:stretch>
                  </pic:blipFill>
                  <pic:spPr>
                    <a:xfrm>
                      <a:off x="0" y="0"/>
                      <a:ext cx="5543550" cy="2847975"/>
                    </a:xfrm>
                    <a:prstGeom prst="rect">
                      <a:avLst/>
                    </a:prstGeom>
                  </pic:spPr>
                </pic:pic>
              </a:graphicData>
            </a:graphic>
          </wp:inline>
        </w:drawing>
      </w:r>
      <w:r>
        <w:rPr>
          <w:rFonts w:ascii="宋体" w:hAnsi="宋体"/>
          <w:sz w:val="20"/>
        </w:rPr>
        <w:t> </w:t>
      </w:r>
      <w:r>
        <w:rPr>
          <w:rFonts w:ascii="宋体" w:hAnsi="宋体"/>
          <w:sz w:val="22"/>
        </w:rPr>
        <w:t> </w:t>
      </w:r>
      <w:r>
        <w:rPr>
          <w:rFonts w:ascii="宋体" w:hAnsi="宋体"/>
          <w:sz w:val="20"/>
        </w:rPr>
        <w:t> </w:t>
      </w:r>
    </w:p>
    <w:p w14:paraId="13540FD1">
      <w:pPr>
        <w:spacing w:before="40" w:after="40"/>
        <w:ind w:firstLine="361"/>
        <w:jc w:val="left"/>
      </w:pPr>
      <w:r>
        <w:rPr>
          <w:rFonts w:ascii="宋体" w:hAnsi="宋体"/>
          <w:b/>
          <w:sz w:val="18"/>
        </w:rPr>
        <w:t>（2）保肝护肝类药物</w:t>
      </w:r>
    </w:p>
    <w:p w14:paraId="1AEF758F">
      <w:pPr>
        <w:spacing w:before="40" w:after="40"/>
        <w:ind w:firstLine="361"/>
      </w:pPr>
      <w:r>
        <w:rPr>
          <w:rFonts w:ascii="宋体" w:hAnsi="宋体"/>
          <w:sz w:val="18"/>
        </w:rPr>
        <w:t>公司全资子公司中兴药业是国内较大的水飞蓟制剂生产企业之一。水飞蓟宾类药物作为目前在世界范围内被认可的一类天然植物保肝药，能保护和稳定肝细胞膜，提高肝脏解毒能力，促进肝细胞再生，是治疗肝炎的有效药物，广泛应用于保肝护肝领域，是《慢性乙型肝炎防治指南》、《药物性肝损伤诊治指南》明确的指南药物。中兴药业水飞蓟宾葡甲胺片、益肝灵片、复方益肝灵片等药品继续被纳入2024年版《国家基本医疗保险、工伤保险和生育保险药品目录》。</w:t>
      </w:r>
    </w:p>
    <w:p w14:paraId="6F7DA981">
      <w:pPr>
        <w:spacing w:before="40" w:after="40"/>
        <w:ind w:firstLine="361"/>
      </w:pPr>
      <w:r>
        <w:rPr>
          <w:rFonts w:ascii="宋体" w:hAnsi="宋体"/>
          <w:sz w:val="18"/>
        </w:rPr>
        <w:t>水飞蓟宾葡甲胺片除在传统的保肝护肝领域受欢迎外，其在联合用药领域的保肝护肝作用也逐渐被发现，近年来在抗结核、精神病治疗领域等多项疾病的治疗方案中开始联合使用保肝护肝产品，并取得了良好的效果。</w:t>
      </w:r>
    </w:p>
    <w:p w14:paraId="42DCA50C">
      <w:pPr>
        <w:spacing w:before="40" w:after="40"/>
        <w:ind w:firstLine="361"/>
        <w:jc w:val="center"/>
      </w:pPr>
      <w:r>
        <w:rPr>
          <w:rFonts w:ascii="宋体" w:hAnsi="宋体"/>
          <w:sz w:val="20"/>
        </w:rPr>
        <w:t> </w:t>
      </w:r>
      <w:r>
        <w:rPr>
          <w:rFonts w:ascii="宋体" w:hAnsi="宋体"/>
          <w:sz w:val="22"/>
        </w:rPr>
        <w:t> </w:t>
      </w:r>
      <w:r>
        <w:rPr>
          <w:rFonts w:ascii="宋体" w:hAnsi="宋体"/>
          <w:sz w:val="20"/>
        </w:rPr>
        <w:t> </w:t>
      </w:r>
      <w:r>
        <w:drawing>
          <wp:inline distT="0" distB="0" distL="0" distR="0">
            <wp:extent cx="5600700" cy="1619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srcRect/>
                    <a:stretch>
                      <a:fillRect/>
                    </a:stretch>
                  </pic:blipFill>
                  <pic:spPr>
                    <a:xfrm>
                      <a:off x="0" y="0"/>
                      <a:ext cx="5600700" cy="1619250"/>
                    </a:xfrm>
                    <a:prstGeom prst="rect">
                      <a:avLst/>
                    </a:prstGeom>
                  </pic:spPr>
                </pic:pic>
              </a:graphicData>
            </a:graphic>
          </wp:inline>
        </w:drawing>
      </w:r>
      <w:r>
        <w:rPr>
          <w:rFonts w:ascii="宋体" w:hAnsi="宋体"/>
          <w:sz w:val="20"/>
        </w:rPr>
        <w:t> </w:t>
      </w:r>
      <w:r>
        <w:rPr>
          <w:rFonts w:ascii="宋体" w:hAnsi="宋体"/>
          <w:sz w:val="22"/>
        </w:rPr>
        <w:t> </w:t>
      </w:r>
      <w:r>
        <w:rPr>
          <w:rFonts w:ascii="宋体" w:hAnsi="宋体"/>
          <w:sz w:val="20"/>
        </w:rPr>
        <w:t> </w:t>
      </w:r>
    </w:p>
    <w:p w14:paraId="25B4A43D">
      <w:pPr>
        <w:spacing w:before="40" w:after="40"/>
        <w:ind w:firstLine="361"/>
      </w:pPr>
      <w:r>
        <w:rPr>
          <w:rFonts w:ascii="宋体" w:hAnsi="宋体"/>
          <w:sz w:val="18"/>
        </w:rPr>
        <w:t> 此外，公司于2024年5月获得熊去氧胆酸胶囊的《药品注册证书》。熊去氧胆酸（UDCA）是一种亲水性、非细胞毒性的胆汁酸，由于 UDCA的利胆、细胞保护、抗凋亡、抗氧化和免疫调节作用，已被广泛用于临床多种肝胆疾病的治疗，是治疗胆结石、胆囊炎、肝病和胆道疾病的重要临床药物，具有广阔的市场前景。该品种的获批上市将进一步完善公司保肝护肝领域的产品布局，提升市场竞争力和综合占有率。药融云查询数据显示，熊去氧胆酸口服制剂 2023 年全国医院销售约20.30 亿元。</w:t>
      </w:r>
    </w:p>
    <w:p w14:paraId="1E0D7AB3">
      <w:pPr>
        <w:spacing w:before="40" w:after="40"/>
        <w:ind w:firstLine="361"/>
        <w:jc w:val="center"/>
      </w:pPr>
      <w:r>
        <w:drawing>
          <wp:inline distT="0" distB="0" distL="0" distR="0">
            <wp:extent cx="3171825" cy="200025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srcRect/>
                    <a:stretch>
                      <a:fillRect/>
                    </a:stretch>
                  </pic:blipFill>
                  <pic:spPr>
                    <a:xfrm>
                      <a:off x="0" y="0"/>
                      <a:ext cx="3171825" cy="2000250"/>
                    </a:xfrm>
                    <a:prstGeom prst="rect">
                      <a:avLst/>
                    </a:prstGeom>
                  </pic:spPr>
                </pic:pic>
              </a:graphicData>
            </a:graphic>
          </wp:inline>
        </w:drawing>
      </w:r>
      <w:r>
        <w:rPr>
          <w:rFonts w:ascii="宋体" w:hAnsi="宋体"/>
          <w:sz w:val="20"/>
        </w:rPr>
        <w:t> </w:t>
      </w:r>
    </w:p>
    <w:p w14:paraId="0628E3E5">
      <w:pPr>
        <w:spacing w:before="40" w:after="40"/>
        <w:ind w:firstLine="361"/>
        <w:jc w:val="left"/>
      </w:pPr>
      <w:r>
        <w:rPr>
          <w:rFonts w:ascii="宋体" w:hAnsi="宋体"/>
          <w:b/>
          <w:sz w:val="18"/>
        </w:rPr>
        <w:t>（3）男性健康药物</w:t>
      </w:r>
    </w:p>
    <w:p w14:paraId="69BB8AE0">
      <w:pPr>
        <w:spacing w:before="40" w:after="40"/>
        <w:ind w:firstLine="361"/>
      </w:pPr>
      <w:r>
        <w:rPr>
          <w:rFonts w:ascii="宋体" w:hAnsi="宋体"/>
          <w:sz w:val="18"/>
        </w:rPr>
        <w:t>西地那非和他达拉非是治疗勃起功能障碍（简称“ED”）的两大主流药物，是ED市场规模最大的两个产品，零售药店为其主要销售渠道。公司目前拥有劲哥-枸橼酸西地那非片 50mg、100mg 两个规格及久哥-他达拉非片 5mg规格的药品批准文号。</w:t>
      </w:r>
    </w:p>
    <w:p w14:paraId="5ACBA68A">
      <w:pPr>
        <w:spacing w:before="40" w:after="40"/>
        <w:ind w:firstLine="361"/>
      </w:pPr>
      <w:r>
        <w:rPr>
          <w:rFonts w:ascii="宋体" w:hAnsi="宋体"/>
          <w:sz w:val="18"/>
        </w:rPr>
        <w:t>达泊西汀属于选择性 5-羟色胺再吸收抑制剂，临床上主要用于治疗 18-64 岁的男性早泄(PE)，具有临床获益佳、安全风险低、快速起效等优点，是国内外《早泄诊治指南》推荐的一线治疗药物。2023年6月，公司收到国家药品监督管理局颁发的关于达歌-盐酸达泊西汀片的《药品补充申请批准通知书》，公司成为盐酸达泊西汀片上市许可持有人，进一步丰富了男性健康产品管线，形成 “ED+PE”的男科系列产品结构，为患者提供更为丰富的用药选择。</w:t>
      </w:r>
    </w:p>
    <w:p w14:paraId="51C0DCF0">
      <w:pPr>
        <w:spacing w:before="40" w:after="40"/>
        <w:ind w:firstLine="361"/>
        <w:jc w:val="center"/>
      </w:pPr>
      <w:r>
        <w:rPr>
          <w:rFonts w:ascii="宋体" w:hAnsi="宋体"/>
          <w:sz w:val="20"/>
        </w:rPr>
        <w:t> </w:t>
      </w:r>
      <w:r>
        <w:rPr>
          <w:rFonts w:ascii="宋体" w:hAnsi="宋体"/>
          <w:sz w:val="22"/>
        </w:rPr>
        <w:t> </w:t>
      </w:r>
      <w:r>
        <w:rPr>
          <w:rFonts w:ascii="宋体" w:hAnsi="宋体"/>
          <w:sz w:val="20"/>
        </w:rPr>
        <w:t> </w:t>
      </w:r>
      <w:r>
        <w:drawing>
          <wp:inline distT="0" distB="0" distL="0" distR="0">
            <wp:extent cx="4933950" cy="2066290"/>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srcRect/>
                    <a:stretch>
                      <a:fillRect/>
                    </a:stretch>
                  </pic:blipFill>
                  <pic:spPr>
                    <a:xfrm>
                      <a:off x="0" y="0"/>
                      <a:ext cx="4933950" cy="2066924"/>
                    </a:xfrm>
                    <a:prstGeom prst="rect">
                      <a:avLst/>
                    </a:prstGeom>
                  </pic:spPr>
                </pic:pic>
              </a:graphicData>
            </a:graphic>
          </wp:inline>
        </w:drawing>
      </w:r>
      <w:r>
        <w:rPr>
          <w:rFonts w:ascii="宋体" w:hAnsi="宋体"/>
          <w:sz w:val="20"/>
        </w:rPr>
        <w:t> </w:t>
      </w:r>
      <w:r>
        <w:rPr>
          <w:rFonts w:ascii="宋体" w:hAnsi="宋体"/>
          <w:sz w:val="22"/>
        </w:rPr>
        <w:t> </w:t>
      </w:r>
      <w:r>
        <w:rPr>
          <w:rFonts w:ascii="宋体" w:hAnsi="宋体"/>
          <w:sz w:val="20"/>
        </w:rPr>
        <w:t> </w:t>
      </w:r>
    </w:p>
    <w:p w14:paraId="6EE8D719">
      <w:pPr>
        <w:spacing w:before="40" w:after="40"/>
        <w:ind w:firstLine="361"/>
        <w:jc w:val="left"/>
      </w:pPr>
      <w:r>
        <w:rPr>
          <w:rFonts w:ascii="宋体" w:hAnsi="宋体"/>
          <w:sz w:val="18"/>
        </w:rPr>
        <w:t> </w:t>
      </w:r>
      <w:r>
        <w:rPr>
          <w:rFonts w:ascii="宋体" w:hAnsi="宋体"/>
          <w:b/>
          <w:sz w:val="18"/>
        </w:rPr>
        <w:t>（4）心血管药物</w:t>
      </w:r>
    </w:p>
    <w:p w14:paraId="7590DA35">
      <w:pPr>
        <w:spacing w:before="40" w:after="40"/>
        <w:ind w:firstLine="361"/>
      </w:pPr>
      <w:r>
        <w:rPr>
          <w:rFonts w:ascii="宋体" w:hAnsi="宋体"/>
          <w:sz w:val="18"/>
        </w:rPr>
        <w:t>利伐沙班片是用于预防静脉血栓栓塞的核心药物，被《中国肿瘤相关静脉血栓栓塞症预防与治疗指南》(2019版)、《中国骨科大手术静脉血栓栓塞症预防指南》（2016年版）等权威指南推荐用于预防静脉血栓栓塞。</w:t>
      </w:r>
    </w:p>
    <w:p w14:paraId="51101478">
      <w:pPr>
        <w:spacing w:before="40" w:after="40"/>
        <w:ind w:firstLine="361"/>
      </w:pPr>
      <w:r>
        <w:rPr>
          <w:rFonts w:ascii="宋体" w:hAnsi="宋体"/>
          <w:sz w:val="18"/>
        </w:rPr>
        <w:t xml:space="preserve">匹伐他汀钙片主要用于治疗高胆固醇血症、家族性高胆固醇血症，《美国胆固醇管理指南（2018）》、2016ESC/EAS《血脂异常管理指南》等推荐匹伐他汀作为一线调脂用药。 </w:t>
      </w:r>
    </w:p>
    <w:p w14:paraId="70EE2B1D">
      <w:pPr>
        <w:spacing w:before="40" w:after="40"/>
        <w:ind w:firstLine="361"/>
      </w:pPr>
      <w:r>
        <w:rPr>
          <w:rFonts w:ascii="宋体" w:hAnsi="宋体"/>
          <w:sz w:val="18"/>
        </w:rPr>
        <w:t>利伐沙班和匹伐他汀均被纳入2024年版《国家基本医疗保险、工伤保险和生育保险药品目录》。公司利伐沙班片已于2021年中标第五批全国药品集中采购，助力提升公司该产品的销售规模和市场占有率。</w:t>
      </w:r>
    </w:p>
    <w:p w14:paraId="7BF8EA79">
      <w:pPr>
        <w:spacing w:before="40" w:after="40"/>
        <w:ind w:firstLine="361"/>
        <w:jc w:val="center"/>
      </w:pPr>
      <w:r>
        <w:rPr>
          <w:rFonts w:ascii="宋体" w:hAnsi="宋体"/>
          <w:sz w:val="20"/>
        </w:rPr>
        <w:t> </w:t>
      </w:r>
      <w:r>
        <w:rPr>
          <w:rFonts w:ascii="宋体" w:hAnsi="宋体"/>
          <w:sz w:val="22"/>
        </w:rPr>
        <w:t> </w:t>
      </w:r>
      <w:r>
        <w:rPr>
          <w:rFonts w:ascii="宋体" w:hAnsi="宋体"/>
          <w:sz w:val="20"/>
        </w:rPr>
        <w:t> </w:t>
      </w:r>
      <w:r>
        <w:drawing>
          <wp:inline distT="0" distB="0" distL="0" distR="0">
            <wp:extent cx="6334125" cy="183769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a:srcRect/>
                    <a:stretch>
                      <a:fillRect/>
                    </a:stretch>
                  </pic:blipFill>
                  <pic:spPr>
                    <a:xfrm>
                      <a:off x="0" y="0"/>
                      <a:ext cx="6334125" cy="1838324"/>
                    </a:xfrm>
                    <a:prstGeom prst="rect">
                      <a:avLst/>
                    </a:prstGeom>
                  </pic:spPr>
                </pic:pic>
              </a:graphicData>
            </a:graphic>
          </wp:inline>
        </w:drawing>
      </w:r>
    </w:p>
    <w:p w14:paraId="17481660">
      <w:pPr>
        <w:spacing w:before="40" w:after="40"/>
        <w:ind w:firstLine="361"/>
      </w:pPr>
      <w:r>
        <w:rPr>
          <w:rFonts w:ascii="宋体" w:hAnsi="宋体"/>
          <w:sz w:val="18"/>
        </w:rPr>
        <w:t>此外，公司于2023年11月获得治愈丙肝核心药物索磷布韦片（丙甘定）的《药品注册证书》。索磷布韦片获批上市，将进一步完善公司肝脏健康领域的产品布局，强化在肝药领域的市场占有率和领先地位，打造公司“肝病专家”系列品牌。</w:t>
      </w:r>
    </w:p>
    <w:p w14:paraId="438F2270">
      <w:pPr>
        <w:spacing w:before="40" w:after="40"/>
        <w:ind w:firstLine="361"/>
      </w:pPr>
      <w:r>
        <w:rPr>
          <w:rFonts w:ascii="宋体" w:hAnsi="宋体"/>
          <w:b/>
          <w:sz w:val="18"/>
        </w:rPr>
        <w:t>1.2在研重磅仿制药</w:t>
      </w:r>
    </w:p>
    <w:p w14:paraId="6528FA0D">
      <w:pPr>
        <w:spacing w:before="40" w:after="40"/>
        <w:ind w:firstLine="361"/>
      </w:pPr>
      <w:r>
        <w:rPr>
          <w:rFonts w:ascii="宋体" w:hAnsi="宋体"/>
          <w:b/>
          <w:sz w:val="18"/>
        </w:rPr>
        <w:t>硫酸氢氯吡格雷阿司匹林片</w:t>
      </w:r>
    </w:p>
    <w:p w14:paraId="700DBCFB">
      <w:pPr>
        <w:spacing w:before="40" w:after="40"/>
        <w:ind w:firstLine="361"/>
      </w:pPr>
      <w:r>
        <w:rPr>
          <w:rFonts w:ascii="宋体" w:hAnsi="宋体"/>
          <w:sz w:val="18"/>
        </w:rPr>
        <w:t>2023年，公司立项开发硫酸氢氯吡格雷阿司匹林片项目。硫酸氢氯吡格雷阿司匹林片是采用特殊工艺 Tab in tab（片中片）的复方药物。其中，阿司匹林能抑制血小板的释放反应、抑制血小板的聚集，从而减少血栓素 A2（TXA2）生成；硫酸氢氯吡格雷能抑制血小板的聚集，硫酸氢氯吡格雷和阿司匹林都具有抑制血小板聚集的作用，且阿司匹林不改变氯吡格雷对由 ADP 诱导的血小板聚集的抑制作用，但氯吡格雷增强了阿司匹林对胶原诱导血小板聚集的作用效果，二者合用，抗血小板活性显著增强，可用于治疗血小板聚集引起的疾病，包括稳定或不稳定的心绞痛、心血管和脑血管系统的疾病，疗效确切，在全球范围内的临床试验中得到证实。</w:t>
      </w:r>
    </w:p>
    <w:p w14:paraId="5A17D77A">
      <w:pPr>
        <w:spacing w:before="40" w:after="40"/>
        <w:ind w:firstLine="361"/>
      </w:pPr>
      <w:r>
        <w:rPr>
          <w:rFonts w:ascii="宋体" w:hAnsi="宋体"/>
          <w:sz w:val="18"/>
        </w:rPr>
        <w:t>随着2021年《氯吡格雷/阿司匹林单片复方制剂抗血小板治疗中国专家共识》的发布，标志着氯吡格雷/阿司匹林单片复方制剂正式开启在中国的实践之路。随着共识的推广应用，将为临床医生提供更加多元化的抗血小板治疗处方，提高患者的依从性，降低心血管事件及心血管死亡的发生！</w:t>
      </w:r>
    </w:p>
    <w:p w14:paraId="5FB24B8B">
      <w:pPr>
        <w:spacing w:before="40" w:after="40"/>
        <w:ind w:firstLine="361"/>
      </w:pPr>
      <w:r>
        <w:rPr>
          <w:rFonts w:ascii="宋体" w:hAnsi="宋体"/>
          <w:b/>
          <w:sz w:val="18"/>
        </w:rPr>
        <w:t>2、创新药领域</w:t>
      </w:r>
    </w:p>
    <w:p w14:paraId="560906BC">
      <w:pPr>
        <w:spacing w:before="40" w:after="40"/>
        <w:ind w:firstLine="361"/>
      </w:pPr>
      <w:r>
        <w:rPr>
          <w:rFonts w:ascii="宋体" w:hAnsi="宋体"/>
          <w:sz w:val="18"/>
        </w:rPr>
        <w:t>自2015年IPO上市以来，公司即明确向创新药企转型战略，全面启动肝脏健康和抗病毒领域的创新药研发，研发投入占比行业领先，积极与全球著名的新药研发机构合作，坚定不移地向创新药企业转型。截至目前，公司已陆续在抗新型冠状病毒、肝癌、非酒精性脂肪性肝炎、肝纤维化、</w:t>
      </w:r>
      <w:r>
        <w:rPr>
          <w:rFonts w:hint="eastAsia" w:ascii="宋体" w:hAnsi="宋体"/>
          <w:sz w:val="18"/>
        </w:rPr>
        <w:t>乙肝治疗</w:t>
      </w:r>
      <w:r>
        <w:rPr>
          <w:rFonts w:ascii="宋体" w:hAnsi="宋体"/>
          <w:sz w:val="18"/>
        </w:rPr>
        <w:t>等领域立项研发</w:t>
      </w:r>
      <w:r>
        <w:rPr>
          <w:rFonts w:hint="eastAsia" w:ascii="宋体" w:hAnsi="宋体"/>
          <w:sz w:val="18"/>
        </w:rPr>
        <w:t>多</w:t>
      </w:r>
      <w:r>
        <w:rPr>
          <w:rFonts w:ascii="宋体" w:hAnsi="宋体"/>
          <w:sz w:val="18"/>
        </w:rPr>
        <w:t>个创新药</w:t>
      </w:r>
      <w:r>
        <w:rPr>
          <w:rFonts w:hint="eastAsia" w:ascii="宋体" w:hAnsi="宋体"/>
          <w:sz w:val="18"/>
        </w:rPr>
        <w:t>（含联合治疗）</w:t>
      </w:r>
      <w:r>
        <w:rPr>
          <w:rFonts w:ascii="宋体" w:hAnsi="宋体"/>
          <w:sz w:val="18"/>
        </w:rPr>
        <w:t>，</w:t>
      </w:r>
      <w:r>
        <w:rPr>
          <w:rFonts w:hint="eastAsia" w:ascii="宋体" w:hAnsi="宋体"/>
          <w:sz w:val="18"/>
        </w:rPr>
        <w:t>其中</w:t>
      </w:r>
      <w:r>
        <w:rPr>
          <w:rFonts w:ascii="宋体" w:hAnsi="宋体"/>
          <w:sz w:val="18"/>
        </w:rPr>
        <w:t>抗新冠创新药泰中定已获批上市，标志着公司创新药获批上市实现“零突破”，乙肝治疗创新药GST-HG141已完成临床II期，GST-HG131已完成II期临床全部患者入组，</w:t>
      </w:r>
      <w:r>
        <w:rPr>
          <w:rFonts w:hint="eastAsia" w:ascii="宋体" w:hAnsi="宋体"/>
          <w:sz w:val="18"/>
        </w:rPr>
        <w:t>GST-HG131联合GST-HG141治疗乙肝的II 期临床试验申请已获得受理，</w:t>
      </w:r>
      <w:r>
        <w:rPr>
          <w:rFonts w:ascii="宋体" w:hAnsi="宋体"/>
          <w:sz w:val="18"/>
        </w:rPr>
        <w:t>其余创新药</w:t>
      </w:r>
      <w:r>
        <w:rPr>
          <w:rFonts w:hint="eastAsia" w:ascii="宋体" w:hAnsi="宋体"/>
          <w:sz w:val="18"/>
        </w:rPr>
        <w:t>均</w:t>
      </w:r>
      <w:r>
        <w:rPr>
          <w:rFonts w:ascii="宋体" w:hAnsi="宋体"/>
          <w:sz w:val="18"/>
        </w:rPr>
        <w:t>处于临床I期阶段。</w:t>
      </w:r>
    </w:p>
    <w:p w14:paraId="33544213">
      <w:pPr>
        <w:spacing w:before="40" w:after="40"/>
        <w:ind w:firstLine="361"/>
      </w:pPr>
      <w:r>
        <w:rPr>
          <w:rFonts w:ascii="宋体" w:hAnsi="宋体"/>
          <w:b/>
          <w:sz w:val="18"/>
        </w:rPr>
        <w:t>（1）抗新型冠状病毒小分子口服创新药</w:t>
      </w:r>
    </w:p>
    <w:p w14:paraId="42779C55">
      <w:pPr>
        <w:spacing w:before="40" w:after="40"/>
        <w:ind w:firstLine="361"/>
      </w:pPr>
      <w:r>
        <w:rPr>
          <w:rFonts w:ascii="宋体" w:hAnsi="宋体"/>
          <w:sz w:val="18"/>
        </w:rPr>
        <w:t>2021年12月，公司战略布局抗新型冠状病毒小分子口服创新药泰阿特韦GST-HG171，在作用机制及作用强度方面显示出了优异的抗病毒药效和安全性，且具有广谱的抗新冠病毒活性，对新冠病毒原始株、德尔塔变异株以及奥密克戎BA.4、BA.5变异株均具有高效的病毒抑制活性。泰中定是目前国内外已获批上市的新冠治疗药物中唯一在关键注册性临床研究中对 XBB 变异株人群显示优异疗效且具有统计学差异数据的抗新冠药物。</w:t>
      </w:r>
    </w:p>
    <w:p w14:paraId="01B54306">
      <w:pPr>
        <w:spacing w:before="40" w:after="40"/>
        <w:ind w:firstLine="361"/>
      </w:pPr>
      <w:r>
        <w:rPr>
          <w:rFonts w:ascii="宋体" w:hAnsi="宋体"/>
          <w:sz w:val="18"/>
        </w:rPr>
        <w:t>泰中定在轻型/中型COVID-19患者中开展了一项随机、双盲、安慰剂对照II/III期临床研究。研究结果证实，泰中定可显著缩短新冠感染患者的临床恢复时间，强效降低病毒载量，安全有效：加快症状恢复，泰中定可显著缩短新冠感染患者的临床恢复时间2天。（2）病毒载量呈现快速、大幅下降。治疗后第5天病毒载量较基线变化的组间差异为-1.75Log10拷贝/mL，抗病毒载量下降显著。（3）本研究总体安全性数据显示，泰中定安全耐受性良好，和安慰剂组的不良事件发生率相近。2024年4月10日，国际权威医学期刊《柳叶刀-eClinicalMedicine》正式发表了泰中定的II/III期临床研究成果，获得国际学术界的高度认可。泰中定具有强效抗病毒和优异安全性，更低的日服剂量（150mg，BID），将为全球新冠感染患者提供药效显著、安全耐受、剂量更低的治疗选择。</w:t>
      </w:r>
    </w:p>
    <w:p w14:paraId="21D8DE00">
      <w:pPr>
        <w:spacing w:before="40" w:after="40"/>
        <w:ind w:firstLine="361"/>
        <w:jc w:val="center"/>
      </w:pPr>
      <w:r>
        <w:rPr>
          <w:rFonts w:ascii="宋体" w:hAnsi="宋体"/>
          <w:sz w:val="20"/>
        </w:rPr>
        <w:t> </w:t>
      </w:r>
      <w:r>
        <w:rPr>
          <w:rFonts w:ascii="宋体" w:hAnsi="宋体"/>
          <w:sz w:val="22"/>
        </w:rPr>
        <w:t> </w:t>
      </w:r>
      <w:r>
        <w:rPr>
          <w:rFonts w:ascii="宋体" w:hAnsi="宋体"/>
          <w:sz w:val="20"/>
        </w:rPr>
        <w:t> </w:t>
      </w:r>
      <w:r>
        <w:drawing>
          <wp:inline distT="0" distB="0" distL="0" distR="0">
            <wp:extent cx="5581650" cy="2667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srcRect/>
                    <a:stretch>
                      <a:fillRect/>
                    </a:stretch>
                  </pic:blipFill>
                  <pic:spPr>
                    <a:xfrm>
                      <a:off x="0" y="0"/>
                      <a:ext cx="5581650" cy="2667000"/>
                    </a:xfrm>
                    <a:prstGeom prst="rect">
                      <a:avLst/>
                    </a:prstGeom>
                  </pic:spPr>
                </pic:pic>
              </a:graphicData>
            </a:graphic>
          </wp:inline>
        </w:drawing>
      </w:r>
      <w:r>
        <w:rPr>
          <w:rFonts w:ascii="宋体" w:hAnsi="宋体"/>
          <w:sz w:val="20"/>
        </w:rPr>
        <w:t> </w:t>
      </w:r>
      <w:r>
        <w:rPr>
          <w:rFonts w:ascii="宋体" w:hAnsi="宋体"/>
          <w:sz w:val="22"/>
        </w:rPr>
        <w:t> </w:t>
      </w:r>
      <w:r>
        <w:rPr>
          <w:rFonts w:ascii="宋体" w:hAnsi="宋体"/>
          <w:sz w:val="20"/>
        </w:rPr>
        <w:t> </w:t>
      </w:r>
    </w:p>
    <w:p w14:paraId="17C96EE9">
      <w:pPr>
        <w:spacing w:before="40" w:after="40"/>
        <w:ind w:firstLine="361"/>
        <w:jc w:val="center"/>
      </w:pPr>
      <w:r>
        <w:rPr>
          <w:rFonts w:ascii="宋体" w:hAnsi="宋体"/>
          <w:sz w:val="18"/>
        </w:rPr>
        <w:t> </w:t>
      </w:r>
    </w:p>
    <w:p w14:paraId="25B0A103">
      <w:pPr>
        <w:spacing w:before="40" w:after="40"/>
        <w:ind w:firstLine="361"/>
      </w:pPr>
      <w:r>
        <w:rPr>
          <w:rFonts w:ascii="宋体" w:hAnsi="宋体"/>
          <w:sz w:val="18"/>
        </w:rPr>
        <w:t xml:space="preserve">  </w:t>
      </w:r>
    </w:p>
    <w:p w14:paraId="041DA4B2">
      <w:pPr>
        <w:spacing w:before="40" w:after="40"/>
        <w:ind w:firstLine="361"/>
      </w:pPr>
      <w:r>
        <w:rPr>
          <w:rFonts w:ascii="宋体" w:hAnsi="宋体"/>
          <w:b/>
          <w:sz w:val="18"/>
        </w:rPr>
        <w:t>（2）临床治愈乙肝创新药</w:t>
      </w:r>
    </w:p>
    <w:p w14:paraId="0043E169">
      <w:pPr>
        <w:spacing w:before="40" w:after="40"/>
        <w:ind w:firstLine="361"/>
      </w:pPr>
      <w:r>
        <w:rPr>
          <w:rFonts w:ascii="宋体" w:hAnsi="宋体"/>
          <w:sz w:val="18"/>
        </w:rPr>
        <w:t>2015年，公司提出乙肝临床治愈路线图“登峰计划”：通过GST-HG131/GST-HG121、GST-HG141及现有核苷（酸）类抗乙肝病毒药物多靶点联合用药，临床治愈乙肝。</w:t>
      </w:r>
    </w:p>
    <w:p w14:paraId="472B3B15">
      <w:pPr>
        <w:spacing w:before="40" w:after="40"/>
        <w:ind w:firstLine="361"/>
      </w:pPr>
      <w:r>
        <w:rPr>
          <w:rFonts w:ascii="宋体" w:hAnsi="宋体"/>
          <w:sz w:val="18"/>
        </w:rPr>
        <w:t>GST-HG141系一种新型口服乙肝病毒核心蛋白调节剂，针对乙肝病毒复制的多个关键环节产生作用，既能够有效抑制乙肝病毒的核衣壳组装，又通过源头上阻断HBV在肝细胞核脱壳，从而耗竭cccDNA储备池，是乙肝临床治愈的关键环节。GST-HG141在Ib期研究中，单药治疗28d后HBV DNA下降超过3.0 log</w:t>
      </w:r>
      <w:r>
        <w:rPr>
          <w:rFonts w:ascii="宋体" w:hAnsi="宋体"/>
          <w:sz w:val="18"/>
          <w:vertAlign w:val="subscript"/>
        </w:rPr>
        <w:t>10</w:t>
      </w:r>
      <w:r>
        <w:rPr>
          <w:rFonts w:ascii="宋体" w:hAnsi="宋体"/>
          <w:sz w:val="18"/>
        </w:rPr>
        <w:t> IU/mL，HBV pgRNA下降1.71～2.37 log</w:t>
      </w:r>
      <w:r>
        <w:rPr>
          <w:rFonts w:ascii="宋体" w:hAnsi="宋体"/>
          <w:sz w:val="18"/>
          <w:vertAlign w:val="subscript"/>
        </w:rPr>
        <w:t>10</w:t>
      </w:r>
      <w:r>
        <w:rPr>
          <w:rFonts w:ascii="宋体" w:hAnsi="宋体"/>
          <w:sz w:val="18"/>
        </w:rPr>
        <w:t> IU/mL，pgRNA由HBV cccDNA直接转录产生，能够反映cccDNA的水平和转录活性，该结果初步验证了GST-HG141抑制HBV复制和耗竭cccDNA的药理学活性；GST-HG141目前已完成II期临床试验并取得研究总结报告，GST-HG141联合核苷类似物连续治疗24周，血清HBV DNA完全应答率大于80%，血清HBV pgRNA完全抑制率超过55%，高低剂量组HBV DNA低于检测下限的比例达到81.5%和84.0%，远超对照组核苷类似物单药治疗（32.1%），HBV DNA和pgRNA下降幅度均超过1 log</w:t>
      </w:r>
      <w:r>
        <w:rPr>
          <w:rFonts w:ascii="宋体" w:hAnsi="宋体"/>
          <w:sz w:val="18"/>
          <w:vertAlign w:val="subscript"/>
        </w:rPr>
        <w:t>10</w:t>
      </w:r>
      <w:r>
        <w:rPr>
          <w:rFonts w:ascii="宋体" w:hAnsi="宋体"/>
          <w:sz w:val="18"/>
        </w:rPr>
        <w:t>，进一步显示出HBV DNA抑制效果和体内cccDNA耗竭的趋势。综上，GST-HG141的Ib期和II期临床结果显示其安全性良好，具有优异的HBV DNA和pgRNA抑制效果，同时间接体现了对cccDNA的耗竭作用，展现了GST-HG141不同于核苷类似物的作用机制及与核苷类似物的协同效应。2024年12月，GST-HG141纳入国家突破性治疗品种名单。</w:t>
      </w:r>
    </w:p>
    <w:p w14:paraId="60866879">
      <w:pPr>
        <w:spacing w:before="40" w:after="40"/>
        <w:ind w:firstLine="361"/>
      </w:pPr>
      <w:r>
        <w:rPr>
          <w:rFonts w:ascii="宋体" w:hAnsi="宋体"/>
          <w:sz w:val="18"/>
        </w:rPr>
        <w:t>GST-HG131系乙肝表面抗原抑制剂，具有抑制乙肝表面抗原分泌的创新治疗机制，能够诱导HBV-RNA降解，降低HBsAg水平，且具有良好的安全性。该项目于2020年3月获得临床试验通知书，是我国首个获批临床的乙肝表面抗原（HBsAg）抑制剂，目前Ia期临床试验已完成所有受试者的给药和耐受性、安全性观察。GST-HG131目前处于 IIa 期临床试验研究中，已于2025年1月完成全部患者入组。2025年3月，</w:t>
      </w:r>
      <w:bookmarkStart w:id="5" w:name="OLE_LINK10"/>
      <w:r>
        <w:rPr>
          <w:rFonts w:ascii="宋体" w:hAnsi="宋体"/>
          <w:sz w:val="18"/>
        </w:rPr>
        <w:t>GST-HG131联合GST-HG141</w:t>
      </w:r>
      <w:r>
        <w:rPr>
          <w:rFonts w:hint="eastAsia" w:ascii="宋体" w:hAnsi="宋体"/>
          <w:sz w:val="18"/>
        </w:rPr>
        <w:t>治疗乙肝</w:t>
      </w:r>
      <w:r>
        <w:rPr>
          <w:rFonts w:ascii="宋体" w:hAnsi="宋体"/>
          <w:sz w:val="18"/>
        </w:rPr>
        <w:t>入选国家优化创新药</w:t>
      </w:r>
      <w:r>
        <w:rPr>
          <w:rFonts w:hint="eastAsia" w:ascii="宋体" w:hAnsi="宋体"/>
          <w:sz w:val="18"/>
        </w:rPr>
        <w:t>临床试验</w:t>
      </w:r>
      <w:r>
        <w:rPr>
          <w:rFonts w:ascii="宋体" w:hAnsi="宋体"/>
          <w:sz w:val="18"/>
        </w:rPr>
        <w:t>审评审批试点项目</w:t>
      </w:r>
      <w:bookmarkEnd w:id="5"/>
      <w:r>
        <w:rPr>
          <w:rFonts w:hint="eastAsia" w:ascii="宋体" w:hAnsi="宋体"/>
          <w:sz w:val="18"/>
        </w:rPr>
        <w:t>，其临床试验申请获得受理</w:t>
      </w:r>
      <w:r>
        <w:rPr>
          <w:rFonts w:ascii="宋体" w:hAnsi="宋体"/>
          <w:sz w:val="18"/>
        </w:rPr>
        <w:t>。</w:t>
      </w:r>
    </w:p>
    <w:p w14:paraId="1F62DC00">
      <w:pPr>
        <w:spacing w:before="40" w:after="40"/>
        <w:ind w:firstLine="361"/>
      </w:pPr>
      <w:r>
        <w:rPr>
          <w:rFonts w:ascii="宋体" w:hAnsi="宋体"/>
          <w:sz w:val="18"/>
        </w:rPr>
        <w:t>GST-HG121系乙肝表面抗原抑制剂，基础研究表明其通过降解RNA的方式发挥作用，可有效地抑制HBsAg表达，降低乙肝表面抗原滴度，有望提高乙肝表面抗原转阴率，恢复免疫监视机制。2022年7月，I期临床试验首例受试者成功入组。</w:t>
      </w:r>
    </w:p>
    <w:p w14:paraId="2E9EB103">
      <w:pPr>
        <w:spacing w:before="40" w:after="40"/>
        <w:ind w:firstLine="361"/>
      </w:pPr>
      <w:r>
        <w:rPr>
          <w:rFonts w:ascii="宋体" w:hAnsi="宋体"/>
          <w:b/>
          <w:sz w:val="18"/>
        </w:rPr>
        <w:t>（3）新型c-Met靶向药物</w:t>
      </w:r>
    </w:p>
    <w:p w14:paraId="18F97EBC">
      <w:pPr>
        <w:spacing w:before="40" w:after="40"/>
        <w:ind w:firstLine="361"/>
      </w:pPr>
      <w:r>
        <w:rPr>
          <w:rFonts w:ascii="宋体" w:hAnsi="宋体"/>
          <w:sz w:val="18"/>
        </w:rPr>
        <w:t>公司c-Met靶向新药GST-HG161是独特的高选择性靶向抑制药物，自主创新结构全口服小分子化药。临床前研究显示其具有药效显著、靶标选择性好、安全性高、成药性强的特点，它对那些高表达（过度表达）c-Met的肝癌，可能帮助阻止其肝癌的生长和扩散。研究发现，c-Met抑制剂可能不仅对肝细胞癌有效，也可能对胃肠癌、肺癌等有效，具有广阔的市场前景。新型c-Met靶向药物GST-HG161项目已完成临床I期试验剂量递增阶段所有受试者的耐受性和安全性观察，总体安全性良好。GST-HG161已获得世界卫生组织（WHO）国际非专利名称（INN）“Gemnelatinib”和中国药典中文通用名“吉奈替尼”。</w:t>
      </w:r>
      <w:r>
        <w:rPr>
          <w:rFonts w:ascii="宋体" w:hAnsi="宋体"/>
          <w:sz w:val="20"/>
        </w:rPr>
        <w:t> </w:t>
      </w:r>
    </w:p>
    <w:p w14:paraId="367FA014">
      <w:pPr>
        <w:spacing w:before="40" w:after="40"/>
        <w:ind w:firstLine="361"/>
      </w:pPr>
      <w:r>
        <w:rPr>
          <w:rFonts w:ascii="宋体" w:hAnsi="宋体"/>
          <w:b/>
          <w:sz w:val="18"/>
        </w:rPr>
        <w:t>（4）非酒精性脂肪性肝炎及肝纤维化治疗新药</w:t>
      </w:r>
    </w:p>
    <w:p w14:paraId="592CF86E">
      <w:pPr>
        <w:spacing w:before="40" w:after="40"/>
        <w:ind w:firstLine="361"/>
      </w:pPr>
      <w:r>
        <w:rPr>
          <w:rFonts w:ascii="宋体" w:hAnsi="宋体"/>
          <w:sz w:val="18"/>
        </w:rPr>
        <w:t>公司非酒精性脂肪性肝炎及肝纤维化治疗新药GST-HG151具有靶标选择性好、成药性强、药效显著和安全性高的特点，临床前研究展示了其改善肝功能的作用和显著的抗纤维化效果。GST-HG151不仅对NASH引起的肝纤维化有效，而且可能对乙肝病毒及化学性肝损伤引起的肝纤维化有效。GST-HG151项目于2019年4月取得临床试验通知书，I期临床试验首例受试者已于2022年3月11日成功入组给药。</w:t>
      </w:r>
    </w:p>
    <w:p w14:paraId="2D4373A5">
      <w:pPr>
        <w:spacing w:before="40" w:after="40"/>
        <w:ind w:firstLine="361"/>
        <w:rPr>
          <w:rFonts w:hint="eastAsia" w:ascii="宋体" w:hAnsi="宋体"/>
          <w:sz w:val="18"/>
        </w:rPr>
      </w:pPr>
      <w:r>
        <w:rPr>
          <w:rFonts w:ascii="宋体" w:hAnsi="宋体"/>
          <w:sz w:val="18"/>
        </w:rPr>
        <w:t>公司将坚持创新战略、品牌战略、国际化战略，怀揣为人类战胜病毒提供科学解决方案的企业梦想，努力成为中国领先的抗病毒药物研发生产企业。</w:t>
      </w:r>
    </w:p>
    <w:p w14:paraId="0FB8590F">
      <w:pPr>
        <w:keepNext/>
        <w:keepLines/>
        <w:spacing w:before="300" w:after="300" w:line="280" w:lineRule="exact"/>
        <w:jc w:val="left"/>
        <w:outlineLvl w:val="2"/>
        <w:rPr>
          <w:rFonts w:hint="eastAsia" w:ascii="宋体" w:hAnsi="宋体" w:cs="宋体"/>
          <w:b/>
          <w:bCs/>
          <w:szCs w:val="21"/>
        </w:rPr>
      </w:pPr>
      <w:r>
        <w:rPr>
          <w:rFonts w:ascii="宋体" w:hAnsi="宋体" w:cs="宋体"/>
          <w:b/>
          <w:bCs/>
          <w:szCs w:val="21"/>
        </w:rPr>
        <w:t>3、主要会计数据和财务指标</w:t>
      </w:r>
      <w:bookmarkEnd w:id="4"/>
    </w:p>
    <w:p w14:paraId="2E3D5F4E">
      <w:pPr>
        <w:keepNext/>
        <w:keepLines/>
        <w:spacing w:before="300" w:after="300" w:line="280" w:lineRule="exact"/>
        <w:jc w:val="left"/>
        <w:outlineLvl w:val="3"/>
        <w:rPr>
          <w:rFonts w:hint="eastAsia" w:ascii="宋体" w:hAnsi="宋体" w:cs="宋体"/>
          <w:b/>
          <w:bCs/>
          <w:sz w:val="18"/>
          <w:szCs w:val="18"/>
        </w:rPr>
      </w:pPr>
      <w:bookmarkStart w:id="6" w:name="_Toc988894"/>
      <w:r>
        <w:rPr>
          <w:rFonts w:ascii="宋体" w:hAnsi="宋体" w:cs="宋体"/>
          <w:b/>
          <w:bCs/>
          <w:sz w:val="18"/>
          <w:szCs w:val="18"/>
        </w:rPr>
        <w:t>（1） 近三年主要会计数据和财务指标</w:t>
      </w:r>
      <w:bookmarkEnd w:id="6"/>
    </w:p>
    <w:p w14:paraId="037DF86D">
      <w:pPr>
        <w:spacing w:line="240" w:lineRule="exact"/>
        <w:jc w:val="left"/>
        <w:rPr>
          <w:rFonts w:hint="eastAsia" w:ascii="宋体" w:hAnsi="宋体" w:cs="宋体"/>
          <w:sz w:val="18"/>
          <w:szCs w:val="18"/>
        </w:rPr>
      </w:pPr>
      <w:r>
        <w:rPr>
          <w:rFonts w:ascii="宋体" w:hAnsi="宋体" w:cs="宋体"/>
          <w:sz w:val="18"/>
          <w:szCs w:val="18"/>
        </w:rPr>
        <w:t>公司是否需追溯调整或重述以前年度会计数据</w:t>
      </w:r>
    </w:p>
    <w:p w14:paraId="12B00CD9">
      <w:pPr>
        <w:spacing w:line="240" w:lineRule="exact"/>
        <w:jc w:val="left"/>
        <w:rPr>
          <w:rFonts w:hint="eastAsia" w:ascii="宋体" w:hAnsi="宋体" w:cs="宋体"/>
          <w:sz w:val="18"/>
          <w:szCs w:val="18"/>
        </w:rPr>
      </w:pPr>
      <w:r>
        <w:rPr>
          <w:rFonts w:ascii="宋体" w:hAnsi="宋体" w:cs="宋体"/>
          <w:sz w:val="18"/>
          <w:szCs w:val="18"/>
        </w:rPr>
        <w:t xml:space="preserve">□是 </w:t>
      </w:r>
      <w:r>
        <w:rPr>
          <w:rFonts w:ascii="宋体" w:hAnsi="宋体" w:cs="宋体"/>
          <w:sz w:val="18"/>
          <w:szCs w:val="18"/>
        </w:rPr>
        <w:sym w:font="Wingdings 2" w:char="F052"/>
      </w:r>
      <w:r>
        <w:rPr>
          <w:rFonts w:ascii="宋体" w:hAnsi="宋体" w:cs="宋体"/>
          <w:sz w:val="18"/>
          <w:szCs w:val="18"/>
        </w:rPr>
        <w:t>否</w:t>
      </w:r>
    </w:p>
    <w:p w14:paraId="06E98A7F">
      <w:pPr>
        <w:spacing w:before="120" w:after="120" w:line="240" w:lineRule="exact"/>
        <w:jc w:val="right"/>
        <w:rPr>
          <w:rFonts w:hint="eastAsia" w:ascii="宋体" w:hAnsi="宋体" w:cs="宋体"/>
          <w:sz w:val="18"/>
          <w:szCs w:val="18"/>
        </w:rPr>
      </w:pPr>
      <w:r>
        <w:rPr>
          <w:rFonts w:ascii="宋体" w:hAnsi="宋体" w:cs="宋体"/>
          <w:sz w:val="18"/>
          <w:szCs w:val="18"/>
        </w:rPr>
        <w:t>元</w:t>
      </w:r>
    </w:p>
    <w:tbl>
      <w:tblPr>
        <w:tblStyle w:val="3"/>
        <w:tblW w:w="964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307"/>
        <w:gridCol w:w="1770"/>
        <w:gridCol w:w="1840"/>
        <w:gridCol w:w="1910"/>
        <w:gridCol w:w="1813"/>
      </w:tblGrid>
      <w:tr w14:paraId="14D5C9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307" w:type="dxa"/>
            <w:tcBorders>
              <w:top w:val="single" w:color="auto" w:sz="2" w:space="0"/>
              <w:left w:val="single" w:color="auto" w:sz="2" w:space="0"/>
              <w:bottom w:val="single" w:color="auto" w:sz="2" w:space="0"/>
              <w:right w:val="single" w:color="auto" w:sz="2" w:space="0"/>
            </w:tcBorders>
            <w:shd w:val="clear" w:color="auto" w:fill="D3D3D3"/>
            <w:vAlign w:val="center"/>
          </w:tcPr>
          <w:p w14:paraId="4872DD50"/>
        </w:tc>
        <w:tc>
          <w:tcPr>
            <w:tcW w:w="1770" w:type="dxa"/>
            <w:tcBorders>
              <w:top w:val="single" w:color="auto" w:sz="2" w:space="0"/>
              <w:left w:val="single" w:color="auto" w:sz="2" w:space="0"/>
              <w:bottom w:val="single" w:color="auto" w:sz="2" w:space="0"/>
              <w:right w:val="single" w:color="auto" w:sz="2" w:space="0"/>
            </w:tcBorders>
            <w:shd w:val="clear" w:color="auto" w:fill="D3D3D3"/>
            <w:vAlign w:val="center"/>
          </w:tcPr>
          <w:p w14:paraId="79A12239">
            <w:pPr>
              <w:spacing w:before="40" w:after="40" w:line="240" w:lineRule="exact"/>
              <w:jc w:val="center"/>
              <w:rPr>
                <w:rFonts w:hint="eastAsia" w:ascii="宋体" w:hAnsi="宋体" w:cs="宋体"/>
                <w:sz w:val="18"/>
                <w:szCs w:val="18"/>
              </w:rPr>
            </w:pPr>
            <w:r>
              <w:rPr>
                <w:rFonts w:ascii="宋体" w:hAnsi="宋体" w:cs="宋体"/>
                <w:sz w:val="18"/>
                <w:szCs w:val="18"/>
              </w:rPr>
              <w:t>2024年末</w:t>
            </w:r>
          </w:p>
        </w:tc>
        <w:tc>
          <w:tcPr>
            <w:tcW w:w="1840" w:type="dxa"/>
            <w:tcBorders>
              <w:top w:val="single" w:color="auto" w:sz="2" w:space="0"/>
              <w:left w:val="single" w:color="auto" w:sz="2" w:space="0"/>
              <w:bottom w:val="single" w:color="auto" w:sz="2" w:space="0"/>
              <w:right w:val="single" w:color="auto" w:sz="2" w:space="0"/>
            </w:tcBorders>
            <w:shd w:val="clear" w:color="auto" w:fill="D3D3D3"/>
            <w:vAlign w:val="center"/>
          </w:tcPr>
          <w:p w14:paraId="35AACE95">
            <w:pPr>
              <w:spacing w:before="40" w:after="40" w:line="240" w:lineRule="exact"/>
              <w:jc w:val="center"/>
              <w:rPr>
                <w:rFonts w:hint="eastAsia" w:ascii="宋体" w:hAnsi="宋体" w:cs="宋体"/>
                <w:sz w:val="18"/>
                <w:szCs w:val="18"/>
              </w:rPr>
            </w:pPr>
            <w:r>
              <w:rPr>
                <w:rFonts w:ascii="宋体" w:hAnsi="宋体" w:cs="宋体"/>
                <w:sz w:val="18"/>
                <w:szCs w:val="18"/>
              </w:rPr>
              <w:t>2023年末</w:t>
            </w:r>
          </w:p>
        </w:tc>
        <w:tc>
          <w:tcPr>
            <w:tcW w:w="1910" w:type="dxa"/>
            <w:tcBorders>
              <w:top w:val="single" w:color="auto" w:sz="2" w:space="0"/>
              <w:left w:val="single" w:color="auto" w:sz="2" w:space="0"/>
              <w:bottom w:val="single" w:color="auto" w:sz="2" w:space="0"/>
              <w:right w:val="single" w:color="auto" w:sz="2" w:space="0"/>
            </w:tcBorders>
            <w:shd w:val="clear" w:color="auto" w:fill="D3D3D3"/>
            <w:vAlign w:val="center"/>
          </w:tcPr>
          <w:p w14:paraId="74C3F6ED">
            <w:pPr>
              <w:spacing w:before="40" w:after="40" w:line="240" w:lineRule="exact"/>
              <w:jc w:val="center"/>
              <w:rPr>
                <w:rFonts w:hint="eastAsia" w:ascii="宋体" w:hAnsi="宋体" w:cs="宋体"/>
                <w:sz w:val="18"/>
                <w:szCs w:val="18"/>
              </w:rPr>
            </w:pPr>
            <w:r>
              <w:rPr>
                <w:rFonts w:ascii="宋体" w:hAnsi="宋体" w:cs="宋体"/>
                <w:sz w:val="18"/>
                <w:szCs w:val="18"/>
              </w:rPr>
              <w:t>本年末比上年末增减</w:t>
            </w:r>
          </w:p>
        </w:tc>
        <w:tc>
          <w:tcPr>
            <w:tcW w:w="1813" w:type="dxa"/>
            <w:tcBorders>
              <w:top w:val="single" w:color="auto" w:sz="2" w:space="0"/>
              <w:left w:val="single" w:color="auto" w:sz="2" w:space="0"/>
              <w:bottom w:val="single" w:color="auto" w:sz="2" w:space="0"/>
              <w:right w:val="single" w:color="auto" w:sz="2" w:space="0"/>
            </w:tcBorders>
            <w:shd w:val="clear" w:color="auto" w:fill="D3D3D3"/>
            <w:vAlign w:val="center"/>
          </w:tcPr>
          <w:p w14:paraId="1CE4E945">
            <w:pPr>
              <w:spacing w:before="40" w:after="40" w:line="240" w:lineRule="exact"/>
              <w:jc w:val="center"/>
              <w:rPr>
                <w:rFonts w:hint="eastAsia" w:ascii="宋体" w:hAnsi="宋体" w:cs="宋体"/>
                <w:sz w:val="18"/>
                <w:szCs w:val="18"/>
              </w:rPr>
            </w:pPr>
            <w:r>
              <w:rPr>
                <w:rFonts w:ascii="宋体" w:hAnsi="宋体" w:cs="宋体"/>
                <w:sz w:val="18"/>
                <w:szCs w:val="18"/>
              </w:rPr>
              <w:t>2022年末</w:t>
            </w:r>
          </w:p>
        </w:tc>
      </w:tr>
      <w:tr w14:paraId="1ABE52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307" w:type="dxa"/>
            <w:tcBorders>
              <w:top w:val="single" w:color="auto" w:sz="2" w:space="0"/>
              <w:left w:val="single" w:color="auto" w:sz="2" w:space="0"/>
              <w:bottom w:val="single" w:color="auto" w:sz="2" w:space="0"/>
              <w:right w:val="single" w:color="auto" w:sz="2" w:space="0"/>
            </w:tcBorders>
            <w:shd w:val="clear" w:color="auto" w:fill="D3D3D3"/>
            <w:vAlign w:val="center"/>
          </w:tcPr>
          <w:p w14:paraId="68A48C29">
            <w:pPr>
              <w:spacing w:before="40" w:after="40" w:line="240" w:lineRule="exact"/>
              <w:jc w:val="left"/>
              <w:rPr>
                <w:rFonts w:hint="eastAsia" w:ascii="宋体" w:hAnsi="宋体" w:cs="宋体"/>
                <w:sz w:val="18"/>
                <w:szCs w:val="18"/>
              </w:rPr>
            </w:pPr>
            <w:r>
              <w:rPr>
                <w:rFonts w:ascii="宋体" w:hAnsi="宋体" w:cs="宋体"/>
                <w:sz w:val="18"/>
                <w:szCs w:val="18"/>
              </w:rPr>
              <w:t>总资产</w:t>
            </w:r>
          </w:p>
        </w:tc>
        <w:tc>
          <w:tcPr>
            <w:tcW w:w="1770" w:type="dxa"/>
            <w:tcBorders>
              <w:top w:val="single" w:color="auto" w:sz="2" w:space="0"/>
              <w:left w:val="single" w:color="auto" w:sz="2" w:space="0"/>
              <w:bottom w:val="single" w:color="auto" w:sz="2" w:space="0"/>
              <w:right w:val="single" w:color="auto" w:sz="2" w:space="0"/>
            </w:tcBorders>
            <w:vAlign w:val="center"/>
          </w:tcPr>
          <w:p w14:paraId="0BA1F1F7">
            <w:pPr>
              <w:spacing w:line="240" w:lineRule="exact"/>
              <w:jc w:val="right"/>
              <w:rPr>
                <w:rFonts w:hint="eastAsia" w:ascii="宋体" w:hAnsi="宋体" w:cs="宋体"/>
                <w:sz w:val="18"/>
                <w:szCs w:val="18"/>
              </w:rPr>
            </w:pPr>
            <w:r>
              <w:rPr>
                <w:rFonts w:ascii="宋体" w:hAnsi="宋体" w:cs="宋体"/>
                <w:sz w:val="18"/>
                <w:szCs w:val="18"/>
              </w:rPr>
              <w:t>1,438,807,956.07</w:t>
            </w:r>
          </w:p>
        </w:tc>
        <w:tc>
          <w:tcPr>
            <w:tcW w:w="1840" w:type="dxa"/>
            <w:tcBorders>
              <w:top w:val="single" w:color="auto" w:sz="2" w:space="0"/>
              <w:left w:val="single" w:color="auto" w:sz="2" w:space="0"/>
              <w:bottom w:val="single" w:color="auto" w:sz="2" w:space="0"/>
              <w:right w:val="single" w:color="auto" w:sz="2" w:space="0"/>
            </w:tcBorders>
            <w:vAlign w:val="center"/>
          </w:tcPr>
          <w:p w14:paraId="5ECC47E0">
            <w:pPr>
              <w:spacing w:line="240" w:lineRule="exact"/>
              <w:jc w:val="right"/>
              <w:rPr>
                <w:rFonts w:hint="eastAsia" w:ascii="宋体" w:hAnsi="宋体" w:cs="宋体"/>
                <w:sz w:val="18"/>
                <w:szCs w:val="18"/>
              </w:rPr>
            </w:pPr>
            <w:r>
              <w:rPr>
                <w:rFonts w:ascii="宋体" w:hAnsi="宋体" w:cs="宋体"/>
                <w:sz w:val="18"/>
                <w:szCs w:val="18"/>
              </w:rPr>
              <w:t>1,614,481,833.09</w:t>
            </w:r>
          </w:p>
        </w:tc>
        <w:tc>
          <w:tcPr>
            <w:tcW w:w="1910" w:type="dxa"/>
            <w:tcBorders>
              <w:top w:val="single" w:color="auto" w:sz="2" w:space="0"/>
              <w:left w:val="single" w:color="auto" w:sz="2" w:space="0"/>
              <w:bottom w:val="single" w:color="auto" w:sz="2" w:space="0"/>
              <w:right w:val="single" w:color="auto" w:sz="2" w:space="0"/>
            </w:tcBorders>
            <w:vAlign w:val="center"/>
          </w:tcPr>
          <w:p w14:paraId="5DEE5096">
            <w:pPr>
              <w:spacing w:line="240" w:lineRule="exact"/>
              <w:jc w:val="right"/>
              <w:rPr>
                <w:rFonts w:hint="eastAsia" w:ascii="宋体" w:hAnsi="宋体" w:cs="宋体"/>
                <w:sz w:val="18"/>
                <w:szCs w:val="18"/>
              </w:rPr>
            </w:pPr>
            <w:r>
              <w:rPr>
                <w:rFonts w:ascii="宋体" w:hAnsi="宋体" w:cs="宋体"/>
                <w:sz w:val="18"/>
                <w:szCs w:val="18"/>
              </w:rPr>
              <w:t>-10.88%</w:t>
            </w:r>
          </w:p>
        </w:tc>
        <w:tc>
          <w:tcPr>
            <w:tcW w:w="1813" w:type="dxa"/>
            <w:tcBorders>
              <w:top w:val="single" w:color="auto" w:sz="2" w:space="0"/>
              <w:left w:val="single" w:color="auto" w:sz="2" w:space="0"/>
              <w:bottom w:val="single" w:color="auto" w:sz="2" w:space="0"/>
              <w:right w:val="single" w:color="auto" w:sz="2" w:space="0"/>
            </w:tcBorders>
            <w:vAlign w:val="center"/>
          </w:tcPr>
          <w:p w14:paraId="1A968022">
            <w:pPr>
              <w:spacing w:line="240" w:lineRule="exact"/>
              <w:jc w:val="right"/>
              <w:rPr>
                <w:rFonts w:hint="eastAsia" w:ascii="宋体" w:hAnsi="宋体" w:cs="宋体"/>
                <w:sz w:val="18"/>
                <w:szCs w:val="18"/>
              </w:rPr>
            </w:pPr>
            <w:r>
              <w:rPr>
                <w:rFonts w:ascii="宋体" w:hAnsi="宋体" w:cs="宋体"/>
                <w:sz w:val="18"/>
                <w:szCs w:val="18"/>
              </w:rPr>
              <w:t>1,494,844,681.01</w:t>
            </w:r>
          </w:p>
        </w:tc>
      </w:tr>
      <w:tr w14:paraId="00743D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307" w:type="dxa"/>
            <w:tcBorders>
              <w:top w:val="single" w:color="auto" w:sz="2" w:space="0"/>
              <w:left w:val="single" w:color="auto" w:sz="2" w:space="0"/>
              <w:bottom w:val="single" w:color="auto" w:sz="2" w:space="0"/>
              <w:right w:val="single" w:color="auto" w:sz="2" w:space="0"/>
            </w:tcBorders>
            <w:shd w:val="clear" w:color="auto" w:fill="D3D3D3"/>
            <w:vAlign w:val="center"/>
          </w:tcPr>
          <w:p w14:paraId="12728A0D">
            <w:pPr>
              <w:spacing w:before="40" w:after="40" w:line="240" w:lineRule="exact"/>
              <w:jc w:val="left"/>
              <w:rPr>
                <w:rFonts w:hint="eastAsia" w:ascii="宋体" w:hAnsi="宋体" w:cs="宋体"/>
                <w:sz w:val="18"/>
                <w:szCs w:val="18"/>
              </w:rPr>
            </w:pPr>
            <w:r>
              <w:rPr>
                <w:rFonts w:ascii="宋体" w:hAnsi="宋体" w:cs="宋体"/>
                <w:sz w:val="18"/>
                <w:szCs w:val="18"/>
              </w:rPr>
              <w:t>归属于上市公司股东的净资产</w:t>
            </w:r>
          </w:p>
        </w:tc>
        <w:tc>
          <w:tcPr>
            <w:tcW w:w="1770" w:type="dxa"/>
            <w:tcBorders>
              <w:top w:val="single" w:color="auto" w:sz="2" w:space="0"/>
              <w:left w:val="single" w:color="auto" w:sz="2" w:space="0"/>
              <w:bottom w:val="single" w:color="auto" w:sz="2" w:space="0"/>
              <w:right w:val="single" w:color="auto" w:sz="2" w:space="0"/>
            </w:tcBorders>
            <w:vAlign w:val="center"/>
          </w:tcPr>
          <w:p w14:paraId="4F26D47C">
            <w:pPr>
              <w:spacing w:line="240" w:lineRule="exact"/>
              <w:jc w:val="right"/>
              <w:rPr>
                <w:rFonts w:hint="eastAsia" w:ascii="宋体" w:hAnsi="宋体" w:cs="宋体"/>
                <w:sz w:val="18"/>
                <w:szCs w:val="18"/>
              </w:rPr>
            </w:pPr>
            <w:r>
              <w:rPr>
                <w:rFonts w:ascii="宋体" w:hAnsi="宋体" w:cs="宋体"/>
                <w:sz w:val="18"/>
                <w:szCs w:val="18"/>
              </w:rPr>
              <w:t>360,178,823.72</w:t>
            </w:r>
          </w:p>
        </w:tc>
        <w:tc>
          <w:tcPr>
            <w:tcW w:w="1840" w:type="dxa"/>
            <w:tcBorders>
              <w:top w:val="single" w:color="auto" w:sz="2" w:space="0"/>
              <w:left w:val="single" w:color="auto" w:sz="2" w:space="0"/>
              <w:bottom w:val="single" w:color="auto" w:sz="2" w:space="0"/>
              <w:right w:val="single" w:color="auto" w:sz="2" w:space="0"/>
            </w:tcBorders>
            <w:vAlign w:val="center"/>
          </w:tcPr>
          <w:p w14:paraId="1FB288FE">
            <w:pPr>
              <w:spacing w:line="240" w:lineRule="exact"/>
              <w:jc w:val="right"/>
              <w:rPr>
                <w:rFonts w:hint="eastAsia" w:ascii="宋体" w:hAnsi="宋体" w:cs="宋体"/>
                <w:sz w:val="18"/>
                <w:szCs w:val="18"/>
              </w:rPr>
            </w:pPr>
            <w:r>
              <w:rPr>
                <w:rFonts w:ascii="宋体" w:hAnsi="宋体" w:cs="宋体"/>
                <w:sz w:val="18"/>
                <w:szCs w:val="18"/>
              </w:rPr>
              <w:t>516,483,180.46</w:t>
            </w:r>
          </w:p>
        </w:tc>
        <w:tc>
          <w:tcPr>
            <w:tcW w:w="1910" w:type="dxa"/>
            <w:tcBorders>
              <w:top w:val="single" w:color="auto" w:sz="2" w:space="0"/>
              <w:left w:val="single" w:color="auto" w:sz="2" w:space="0"/>
              <w:bottom w:val="single" w:color="auto" w:sz="2" w:space="0"/>
              <w:right w:val="single" w:color="auto" w:sz="2" w:space="0"/>
            </w:tcBorders>
            <w:vAlign w:val="center"/>
          </w:tcPr>
          <w:p w14:paraId="1F3E39FD">
            <w:pPr>
              <w:spacing w:line="240" w:lineRule="exact"/>
              <w:jc w:val="right"/>
              <w:rPr>
                <w:rFonts w:hint="eastAsia" w:ascii="宋体" w:hAnsi="宋体" w:cs="宋体"/>
                <w:sz w:val="18"/>
                <w:szCs w:val="18"/>
              </w:rPr>
            </w:pPr>
            <w:r>
              <w:rPr>
                <w:rFonts w:ascii="宋体" w:hAnsi="宋体" w:cs="宋体"/>
                <w:sz w:val="18"/>
                <w:szCs w:val="18"/>
              </w:rPr>
              <w:t>-30.26%</w:t>
            </w:r>
          </w:p>
        </w:tc>
        <w:tc>
          <w:tcPr>
            <w:tcW w:w="1813" w:type="dxa"/>
            <w:tcBorders>
              <w:top w:val="single" w:color="auto" w:sz="2" w:space="0"/>
              <w:left w:val="single" w:color="auto" w:sz="2" w:space="0"/>
              <w:bottom w:val="single" w:color="auto" w:sz="2" w:space="0"/>
              <w:right w:val="single" w:color="auto" w:sz="2" w:space="0"/>
            </w:tcBorders>
            <w:vAlign w:val="center"/>
          </w:tcPr>
          <w:p w14:paraId="31435DDA">
            <w:pPr>
              <w:spacing w:line="240" w:lineRule="exact"/>
              <w:jc w:val="right"/>
              <w:rPr>
                <w:rFonts w:hint="eastAsia" w:ascii="宋体" w:hAnsi="宋体" w:cs="宋体"/>
                <w:sz w:val="18"/>
                <w:szCs w:val="18"/>
              </w:rPr>
            </w:pPr>
            <w:r>
              <w:rPr>
                <w:rFonts w:ascii="宋体" w:hAnsi="宋体" w:cs="宋体"/>
                <w:sz w:val="18"/>
                <w:szCs w:val="18"/>
              </w:rPr>
              <w:t>928,462,440.88</w:t>
            </w:r>
          </w:p>
        </w:tc>
      </w:tr>
      <w:tr w14:paraId="084428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307" w:type="dxa"/>
            <w:tcBorders>
              <w:top w:val="single" w:color="auto" w:sz="2" w:space="0"/>
              <w:left w:val="single" w:color="auto" w:sz="2" w:space="0"/>
              <w:bottom w:val="single" w:color="auto" w:sz="2" w:space="0"/>
              <w:right w:val="single" w:color="auto" w:sz="2" w:space="0"/>
            </w:tcBorders>
            <w:shd w:val="clear" w:color="auto" w:fill="D3D3D3"/>
            <w:vAlign w:val="center"/>
          </w:tcPr>
          <w:p w14:paraId="06759CE1"/>
        </w:tc>
        <w:tc>
          <w:tcPr>
            <w:tcW w:w="1770" w:type="dxa"/>
            <w:tcBorders>
              <w:top w:val="single" w:color="auto" w:sz="2" w:space="0"/>
              <w:left w:val="single" w:color="auto" w:sz="2" w:space="0"/>
              <w:bottom w:val="single" w:color="auto" w:sz="2" w:space="0"/>
              <w:right w:val="single" w:color="auto" w:sz="2" w:space="0"/>
            </w:tcBorders>
            <w:shd w:val="clear" w:color="auto" w:fill="D3D3D3"/>
            <w:vAlign w:val="center"/>
          </w:tcPr>
          <w:p w14:paraId="69101E8E">
            <w:pPr>
              <w:spacing w:before="40" w:after="40" w:line="240" w:lineRule="exact"/>
              <w:jc w:val="center"/>
              <w:rPr>
                <w:rFonts w:hint="eastAsia" w:ascii="宋体" w:hAnsi="宋体" w:cs="宋体"/>
                <w:sz w:val="18"/>
                <w:szCs w:val="18"/>
              </w:rPr>
            </w:pPr>
            <w:r>
              <w:rPr>
                <w:rFonts w:ascii="宋体" w:hAnsi="宋体" w:cs="宋体"/>
                <w:sz w:val="18"/>
                <w:szCs w:val="18"/>
              </w:rPr>
              <w:t>2024年</w:t>
            </w:r>
          </w:p>
        </w:tc>
        <w:tc>
          <w:tcPr>
            <w:tcW w:w="1840" w:type="dxa"/>
            <w:tcBorders>
              <w:top w:val="single" w:color="auto" w:sz="2" w:space="0"/>
              <w:left w:val="single" w:color="auto" w:sz="2" w:space="0"/>
              <w:bottom w:val="single" w:color="auto" w:sz="2" w:space="0"/>
              <w:right w:val="single" w:color="auto" w:sz="2" w:space="0"/>
            </w:tcBorders>
            <w:shd w:val="clear" w:color="auto" w:fill="D3D3D3"/>
            <w:vAlign w:val="center"/>
          </w:tcPr>
          <w:p w14:paraId="2A71297A">
            <w:pPr>
              <w:spacing w:before="40" w:after="40" w:line="240" w:lineRule="exact"/>
              <w:jc w:val="center"/>
              <w:rPr>
                <w:rFonts w:hint="eastAsia" w:ascii="宋体" w:hAnsi="宋体" w:cs="宋体"/>
                <w:sz w:val="18"/>
                <w:szCs w:val="18"/>
              </w:rPr>
            </w:pPr>
            <w:r>
              <w:rPr>
                <w:rFonts w:ascii="宋体" w:hAnsi="宋体" w:cs="宋体"/>
                <w:sz w:val="18"/>
                <w:szCs w:val="18"/>
              </w:rPr>
              <w:t>2023年</w:t>
            </w:r>
          </w:p>
        </w:tc>
        <w:tc>
          <w:tcPr>
            <w:tcW w:w="1910" w:type="dxa"/>
            <w:tcBorders>
              <w:top w:val="single" w:color="auto" w:sz="2" w:space="0"/>
              <w:left w:val="single" w:color="auto" w:sz="2" w:space="0"/>
              <w:bottom w:val="single" w:color="auto" w:sz="2" w:space="0"/>
              <w:right w:val="single" w:color="auto" w:sz="2" w:space="0"/>
            </w:tcBorders>
            <w:shd w:val="clear" w:color="auto" w:fill="D3D3D3"/>
            <w:vAlign w:val="center"/>
          </w:tcPr>
          <w:p w14:paraId="5250F986">
            <w:pPr>
              <w:spacing w:before="40" w:after="40" w:line="240" w:lineRule="exact"/>
              <w:jc w:val="center"/>
              <w:rPr>
                <w:rFonts w:hint="eastAsia" w:ascii="宋体" w:hAnsi="宋体" w:cs="宋体"/>
                <w:sz w:val="18"/>
                <w:szCs w:val="18"/>
              </w:rPr>
            </w:pPr>
            <w:r>
              <w:rPr>
                <w:rFonts w:ascii="宋体" w:hAnsi="宋体" w:cs="宋体"/>
                <w:sz w:val="18"/>
                <w:szCs w:val="18"/>
              </w:rPr>
              <w:t>本年比上年增减</w:t>
            </w:r>
          </w:p>
        </w:tc>
        <w:tc>
          <w:tcPr>
            <w:tcW w:w="1813" w:type="dxa"/>
            <w:tcBorders>
              <w:top w:val="single" w:color="auto" w:sz="2" w:space="0"/>
              <w:left w:val="single" w:color="auto" w:sz="2" w:space="0"/>
              <w:bottom w:val="single" w:color="auto" w:sz="2" w:space="0"/>
              <w:right w:val="single" w:color="auto" w:sz="2" w:space="0"/>
            </w:tcBorders>
            <w:shd w:val="clear" w:color="auto" w:fill="D3D3D3"/>
            <w:vAlign w:val="center"/>
          </w:tcPr>
          <w:p w14:paraId="0781591C">
            <w:pPr>
              <w:spacing w:before="40" w:after="40" w:line="240" w:lineRule="exact"/>
              <w:jc w:val="center"/>
              <w:rPr>
                <w:rFonts w:hint="eastAsia" w:ascii="宋体" w:hAnsi="宋体" w:cs="宋体"/>
                <w:sz w:val="18"/>
                <w:szCs w:val="18"/>
              </w:rPr>
            </w:pPr>
            <w:r>
              <w:rPr>
                <w:rFonts w:ascii="宋体" w:hAnsi="宋体" w:cs="宋体"/>
                <w:sz w:val="18"/>
                <w:szCs w:val="18"/>
              </w:rPr>
              <w:t>2022年</w:t>
            </w:r>
          </w:p>
        </w:tc>
      </w:tr>
      <w:tr w14:paraId="33407E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307" w:type="dxa"/>
            <w:tcBorders>
              <w:top w:val="single" w:color="auto" w:sz="2" w:space="0"/>
              <w:left w:val="single" w:color="auto" w:sz="2" w:space="0"/>
              <w:bottom w:val="single" w:color="auto" w:sz="2" w:space="0"/>
              <w:right w:val="single" w:color="auto" w:sz="2" w:space="0"/>
            </w:tcBorders>
            <w:shd w:val="clear" w:color="auto" w:fill="D3D3D3"/>
            <w:vAlign w:val="center"/>
          </w:tcPr>
          <w:p w14:paraId="39E46280">
            <w:pPr>
              <w:spacing w:before="40" w:after="40" w:line="240" w:lineRule="exact"/>
              <w:jc w:val="left"/>
              <w:rPr>
                <w:rFonts w:hint="eastAsia" w:ascii="宋体" w:hAnsi="宋体" w:cs="宋体"/>
                <w:sz w:val="18"/>
                <w:szCs w:val="18"/>
              </w:rPr>
            </w:pPr>
            <w:r>
              <w:rPr>
                <w:rFonts w:ascii="宋体" w:hAnsi="宋体" w:cs="宋体"/>
                <w:sz w:val="18"/>
                <w:szCs w:val="18"/>
              </w:rPr>
              <w:t>营业收入</w:t>
            </w:r>
          </w:p>
        </w:tc>
        <w:tc>
          <w:tcPr>
            <w:tcW w:w="1770" w:type="dxa"/>
            <w:tcBorders>
              <w:top w:val="single" w:color="auto" w:sz="2" w:space="0"/>
              <w:left w:val="single" w:color="auto" w:sz="2" w:space="0"/>
              <w:bottom w:val="single" w:color="auto" w:sz="2" w:space="0"/>
              <w:right w:val="single" w:color="auto" w:sz="2" w:space="0"/>
            </w:tcBorders>
            <w:vAlign w:val="center"/>
          </w:tcPr>
          <w:p w14:paraId="09A38904">
            <w:pPr>
              <w:spacing w:line="240" w:lineRule="exact"/>
              <w:jc w:val="right"/>
              <w:rPr>
                <w:rFonts w:hint="eastAsia" w:ascii="宋体" w:hAnsi="宋体" w:cs="宋体"/>
                <w:sz w:val="18"/>
                <w:szCs w:val="18"/>
              </w:rPr>
            </w:pPr>
            <w:r>
              <w:rPr>
                <w:rFonts w:ascii="宋体" w:hAnsi="宋体" w:cs="宋体"/>
                <w:sz w:val="18"/>
                <w:szCs w:val="18"/>
              </w:rPr>
              <w:t>441,457,673.77</w:t>
            </w:r>
          </w:p>
        </w:tc>
        <w:tc>
          <w:tcPr>
            <w:tcW w:w="1840" w:type="dxa"/>
            <w:tcBorders>
              <w:top w:val="single" w:color="auto" w:sz="2" w:space="0"/>
              <w:left w:val="single" w:color="auto" w:sz="2" w:space="0"/>
              <w:bottom w:val="single" w:color="auto" w:sz="2" w:space="0"/>
              <w:right w:val="single" w:color="auto" w:sz="2" w:space="0"/>
            </w:tcBorders>
            <w:vAlign w:val="center"/>
          </w:tcPr>
          <w:p w14:paraId="61CC20FD">
            <w:pPr>
              <w:spacing w:line="240" w:lineRule="exact"/>
              <w:jc w:val="right"/>
              <w:rPr>
                <w:rFonts w:hint="eastAsia" w:ascii="宋体" w:hAnsi="宋体" w:cs="宋体"/>
                <w:sz w:val="18"/>
                <w:szCs w:val="18"/>
              </w:rPr>
            </w:pPr>
            <w:r>
              <w:rPr>
                <w:rFonts w:ascii="宋体" w:hAnsi="宋体" w:cs="宋体"/>
                <w:sz w:val="18"/>
                <w:szCs w:val="18"/>
              </w:rPr>
              <w:t>422,714,889.10</w:t>
            </w:r>
          </w:p>
        </w:tc>
        <w:tc>
          <w:tcPr>
            <w:tcW w:w="1910" w:type="dxa"/>
            <w:tcBorders>
              <w:top w:val="single" w:color="auto" w:sz="2" w:space="0"/>
              <w:left w:val="single" w:color="auto" w:sz="2" w:space="0"/>
              <w:bottom w:val="single" w:color="auto" w:sz="2" w:space="0"/>
              <w:right w:val="single" w:color="auto" w:sz="2" w:space="0"/>
            </w:tcBorders>
            <w:vAlign w:val="center"/>
          </w:tcPr>
          <w:p w14:paraId="6F1A6F23">
            <w:pPr>
              <w:spacing w:line="240" w:lineRule="exact"/>
              <w:jc w:val="right"/>
              <w:rPr>
                <w:rFonts w:hint="eastAsia" w:ascii="宋体" w:hAnsi="宋体" w:cs="宋体"/>
                <w:sz w:val="18"/>
                <w:szCs w:val="18"/>
              </w:rPr>
            </w:pPr>
            <w:r>
              <w:rPr>
                <w:rFonts w:ascii="宋体" w:hAnsi="宋体" w:cs="宋体"/>
                <w:sz w:val="18"/>
                <w:szCs w:val="18"/>
              </w:rPr>
              <w:t>4.43%</w:t>
            </w:r>
          </w:p>
        </w:tc>
        <w:tc>
          <w:tcPr>
            <w:tcW w:w="1813" w:type="dxa"/>
            <w:tcBorders>
              <w:top w:val="single" w:color="auto" w:sz="2" w:space="0"/>
              <w:left w:val="single" w:color="auto" w:sz="2" w:space="0"/>
              <w:bottom w:val="single" w:color="auto" w:sz="2" w:space="0"/>
              <w:right w:val="single" w:color="auto" w:sz="2" w:space="0"/>
            </w:tcBorders>
            <w:vAlign w:val="center"/>
          </w:tcPr>
          <w:p w14:paraId="64267AC3">
            <w:pPr>
              <w:spacing w:line="240" w:lineRule="exact"/>
              <w:jc w:val="right"/>
              <w:rPr>
                <w:rFonts w:hint="eastAsia" w:ascii="宋体" w:hAnsi="宋体" w:cs="宋体"/>
                <w:sz w:val="18"/>
                <w:szCs w:val="18"/>
              </w:rPr>
            </w:pPr>
            <w:r>
              <w:rPr>
                <w:rFonts w:ascii="宋体" w:hAnsi="宋体" w:cs="宋体"/>
                <w:sz w:val="18"/>
                <w:szCs w:val="18"/>
              </w:rPr>
              <w:t>385,765,184.73</w:t>
            </w:r>
          </w:p>
        </w:tc>
      </w:tr>
      <w:tr w14:paraId="6CDF71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307" w:type="dxa"/>
            <w:tcBorders>
              <w:top w:val="single" w:color="auto" w:sz="2" w:space="0"/>
              <w:left w:val="single" w:color="auto" w:sz="2" w:space="0"/>
              <w:bottom w:val="single" w:color="auto" w:sz="2" w:space="0"/>
              <w:right w:val="single" w:color="auto" w:sz="2" w:space="0"/>
            </w:tcBorders>
            <w:shd w:val="clear" w:color="auto" w:fill="D3D3D3"/>
            <w:vAlign w:val="center"/>
          </w:tcPr>
          <w:p w14:paraId="4C348CE9">
            <w:pPr>
              <w:spacing w:before="40" w:after="40" w:line="240" w:lineRule="exact"/>
              <w:jc w:val="left"/>
              <w:rPr>
                <w:rFonts w:hint="eastAsia" w:ascii="宋体" w:hAnsi="宋体" w:cs="宋体"/>
                <w:sz w:val="18"/>
                <w:szCs w:val="18"/>
              </w:rPr>
            </w:pPr>
            <w:r>
              <w:rPr>
                <w:rFonts w:ascii="宋体" w:hAnsi="宋体" w:cs="宋体"/>
                <w:sz w:val="18"/>
                <w:szCs w:val="18"/>
              </w:rPr>
              <w:t>归属于上市公司股东的净利润</w:t>
            </w:r>
          </w:p>
        </w:tc>
        <w:tc>
          <w:tcPr>
            <w:tcW w:w="1770" w:type="dxa"/>
            <w:tcBorders>
              <w:top w:val="single" w:color="auto" w:sz="2" w:space="0"/>
              <w:left w:val="single" w:color="auto" w:sz="2" w:space="0"/>
              <w:bottom w:val="single" w:color="auto" w:sz="2" w:space="0"/>
              <w:right w:val="single" w:color="auto" w:sz="2" w:space="0"/>
            </w:tcBorders>
            <w:vAlign w:val="center"/>
          </w:tcPr>
          <w:p w14:paraId="170EB252">
            <w:pPr>
              <w:spacing w:line="240" w:lineRule="exact"/>
              <w:jc w:val="right"/>
              <w:rPr>
                <w:rFonts w:hint="eastAsia" w:ascii="宋体" w:hAnsi="宋体" w:cs="宋体"/>
                <w:sz w:val="18"/>
                <w:szCs w:val="18"/>
              </w:rPr>
            </w:pPr>
            <w:r>
              <w:rPr>
                <w:rFonts w:ascii="宋体" w:hAnsi="宋体" w:cs="宋体"/>
                <w:sz w:val="18"/>
                <w:szCs w:val="18"/>
              </w:rPr>
              <w:t>-156,304,356.74</w:t>
            </w:r>
          </w:p>
        </w:tc>
        <w:tc>
          <w:tcPr>
            <w:tcW w:w="1840" w:type="dxa"/>
            <w:tcBorders>
              <w:top w:val="single" w:color="auto" w:sz="2" w:space="0"/>
              <w:left w:val="single" w:color="auto" w:sz="2" w:space="0"/>
              <w:bottom w:val="single" w:color="auto" w:sz="2" w:space="0"/>
              <w:right w:val="single" w:color="auto" w:sz="2" w:space="0"/>
            </w:tcBorders>
            <w:vAlign w:val="center"/>
          </w:tcPr>
          <w:p w14:paraId="29DBA7F1">
            <w:pPr>
              <w:spacing w:line="240" w:lineRule="exact"/>
              <w:jc w:val="right"/>
              <w:rPr>
                <w:rFonts w:hint="eastAsia" w:ascii="宋体" w:hAnsi="宋体" w:cs="宋体"/>
                <w:sz w:val="18"/>
                <w:szCs w:val="18"/>
              </w:rPr>
            </w:pPr>
            <w:r>
              <w:rPr>
                <w:rFonts w:ascii="宋体" w:hAnsi="宋体" w:cs="宋体"/>
                <w:sz w:val="18"/>
                <w:szCs w:val="18"/>
              </w:rPr>
              <w:t>-348,589,843.18</w:t>
            </w:r>
          </w:p>
        </w:tc>
        <w:tc>
          <w:tcPr>
            <w:tcW w:w="1910" w:type="dxa"/>
            <w:tcBorders>
              <w:top w:val="single" w:color="auto" w:sz="2" w:space="0"/>
              <w:left w:val="single" w:color="auto" w:sz="2" w:space="0"/>
              <w:bottom w:val="single" w:color="auto" w:sz="2" w:space="0"/>
              <w:right w:val="single" w:color="auto" w:sz="2" w:space="0"/>
            </w:tcBorders>
            <w:vAlign w:val="center"/>
          </w:tcPr>
          <w:p w14:paraId="6AC68C35">
            <w:pPr>
              <w:spacing w:line="240" w:lineRule="exact"/>
              <w:jc w:val="right"/>
              <w:rPr>
                <w:rFonts w:hint="eastAsia" w:ascii="宋体" w:hAnsi="宋体" w:cs="宋体"/>
                <w:sz w:val="18"/>
                <w:szCs w:val="18"/>
              </w:rPr>
            </w:pPr>
            <w:r>
              <w:rPr>
                <w:rFonts w:ascii="宋体" w:hAnsi="宋体" w:cs="宋体"/>
                <w:sz w:val="18"/>
                <w:szCs w:val="18"/>
              </w:rPr>
              <w:t>55.16%</w:t>
            </w:r>
          </w:p>
        </w:tc>
        <w:tc>
          <w:tcPr>
            <w:tcW w:w="1813" w:type="dxa"/>
            <w:tcBorders>
              <w:top w:val="single" w:color="auto" w:sz="2" w:space="0"/>
              <w:left w:val="single" w:color="auto" w:sz="2" w:space="0"/>
              <w:bottom w:val="single" w:color="auto" w:sz="2" w:space="0"/>
              <w:right w:val="single" w:color="auto" w:sz="2" w:space="0"/>
            </w:tcBorders>
            <w:vAlign w:val="center"/>
          </w:tcPr>
          <w:p w14:paraId="5DFDCE47">
            <w:pPr>
              <w:spacing w:line="240" w:lineRule="exact"/>
              <w:jc w:val="right"/>
              <w:rPr>
                <w:rFonts w:hint="eastAsia" w:ascii="宋体" w:hAnsi="宋体" w:cs="宋体"/>
                <w:sz w:val="18"/>
                <w:szCs w:val="18"/>
              </w:rPr>
            </w:pPr>
            <w:r>
              <w:rPr>
                <w:rFonts w:ascii="宋体" w:hAnsi="宋体" w:cs="宋体"/>
                <w:sz w:val="18"/>
                <w:szCs w:val="18"/>
              </w:rPr>
              <w:t>-127,403,884.79</w:t>
            </w:r>
          </w:p>
        </w:tc>
      </w:tr>
      <w:tr w14:paraId="16C0C0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307" w:type="dxa"/>
            <w:tcBorders>
              <w:top w:val="single" w:color="auto" w:sz="2" w:space="0"/>
              <w:left w:val="single" w:color="auto" w:sz="2" w:space="0"/>
              <w:bottom w:val="single" w:color="auto" w:sz="2" w:space="0"/>
              <w:right w:val="single" w:color="auto" w:sz="2" w:space="0"/>
            </w:tcBorders>
            <w:shd w:val="clear" w:color="auto" w:fill="D3D3D3"/>
            <w:vAlign w:val="center"/>
          </w:tcPr>
          <w:p w14:paraId="53218B46">
            <w:pPr>
              <w:spacing w:before="40" w:after="40" w:line="240" w:lineRule="exact"/>
              <w:jc w:val="left"/>
              <w:rPr>
                <w:rFonts w:hint="eastAsia" w:ascii="宋体" w:hAnsi="宋体" w:cs="宋体"/>
                <w:sz w:val="18"/>
                <w:szCs w:val="18"/>
              </w:rPr>
            </w:pPr>
            <w:r>
              <w:rPr>
                <w:rFonts w:ascii="宋体" w:hAnsi="宋体" w:cs="宋体"/>
                <w:sz w:val="18"/>
                <w:szCs w:val="18"/>
              </w:rPr>
              <w:t>归属于上市公司股东的扣除非经常性损益的净利润</w:t>
            </w:r>
          </w:p>
        </w:tc>
        <w:tc>
          <w:tcPr>
            <w:tcW w:w="1770" w:type="dxa"/>
            <w:tcBorders>
              <w:top w:val="single" w:color="auto" w:sz="2" w:space="0"/>
              <w:left w:val="single" w:color="auto" w:sz="2" w:space="0"/>
              <w:bottom w:val="single" w:color="auto" w:sz="2" w:space="0"/>
              <w:right w:val="single" w:color="auto" w:sz="2" w:space="0"/>
            </w:tcBorders>
            <w:vAlign w:val="center"/>
          </w:tcPr>
          <w:p w14:paraId="48E8ED0C">
            <w:pPr>
              <w:spacing w:line="240" w:lineRule="exact"/>
              <w:jc w:val="right"/>
              <w:rPr>
                <w:rFonts w:hint="eastAsia" w:ascii="宋体" w:hAnsi="宋体" w:cs="宋体"/>
                <w:sz w:val="18"/>
                <w:szCs w:val="18"/>
              </w:rPr>
            </w:pPr>
            <w:r>
              <w:rPr>
                <w:rFonts w:ascii="宋体" w:hAnsi="宋体" w:cs="宋体"/>
                <w:sz w:val="18"/>
                <w:szCs w:val="18"/>
              </w:rPr>
              <w:t>-199,538,896.47</w:t>
            </w:r>
          </w:p>
        </w:tc>
        <w:tc>
          <w:tcPr>
            <w:tcW w:w="1840" w:type="dxa"/>
            <w:tcBorders>
              <w:top w:val="single" w:color="auto" w:sz="2" w:space="0"/>
              <w:left w:val="single" w:color="auto" w:sz="2" w:space="0"/>
              <w:bottom w:val="single" w:color="auto" w:sz="2" w:space="0"/>
              <w:right w:val="single" w:color="auto" w:sz="2" w:space="0"/>
            </w:tcBorders>
            <w:vAlign w:val="center"/>
          </w:tcPr>
          <w:p w14:paraId="2ADABF6D">
            <w:pPr>
              <w:spacing w:line="240" w:lineRule="exact"/>
              <w:jc w:val="right"/>
              <w:rPr>
                <w:rFonts w:hint="eastAsia" w:ascii="宋体" w:hAnsi="宋体" w:cs="宋体"/>
                <w:sz w:val="18"/>
                <w:szCs w:val="18"/>
              </w:rPr>
            </w:pPr>
            <w:r>
              <w:rPr>
                <w:rFonts w:ascii="宋体" w:hAnsi="宋体" w:cs="宋体"/>
                <w:sz w:val="18"/>
                <w:szCs w:val="18"/>
              </w:rPr>
              <w:t>-354,232,828.10</w:t>
            </w:r>
          </w:p>
        </w:tc>
        <w:tc>
          <w:tcPr>
            <w:tcW w:w="1910" w:type="dxa"/>
            <w:tcBorders>
              <w:top w:val="single" w:color="auto" w:sz="2" w:space="0"/>
              <w:left w:val="single" w:color="auto" w:sz="2" w:space="0"/>
              <w:bottom w:val="single" w:color="auto" w:sz="2" w:space="0"/>
              <w:right w:val="single" w:color="auto" w:sz="2" w:space="0"/>
            </w:tcBorders>
            <w:vAlign w:val="center"/>
          </w:tcPr>
          <w:p w14:paraId="24EE78D0">
            <w:pPr>
              <w:spacing w:line="240" w:lineRule="exact"/>
              <w:jc w:val="right"/>
              <w:rPr>
                <w:rFonts w:hint="eastAsia" w:ascii="宋体" w:hAnsi="宋体" w:cs="宋体"/>
                <w:sz w:val="18"/>
                <w:szCs w:val="18"/>
              </w:rPr>
            </w:pPr>
            <w:r>
              <w:rPr>
                <w:rFonts w:ascii="宋体" w:hAnsi="宋体" w:cs="宋体"/>
                <w:sz w:val="18"/>
                <w:szCs w:val="18"/>
              </w:rPr>
              <w:t>43.67%</w:t>
            </w:r>
          </w:p>
        </w:tc>
        <w:tc>
          <w:tcPr>
            <w:tcW w:w="1813" w:type="dxa"/>
            <w:tcBorders>
              <w:top w:val="single" w:color="auto" w:sz="2" w:space="0"/>
              <w:left w:val="single" w:color="auto" w:sz="2" w:space="0"/>
              <w:bottom w:val="single" w:color="auto" w:sz="2" w:space="0"/>
              <w:right w:val="single" w:color="auto" w:sz="2" w:space="0"/>
            </w:tcBorders>
            <w:vAlign w:val="center"/>
          </w:tcPr>
          <w:p w14:paraId="6B9D9096">
            <w:pPr>
              <w:spacing w:line="240" w:lineRule="exact"/>
              <w:jc w:val="right"/>
              <w:rPr>
                <w:rFonts w:hint="eastAsia" w:ascii="宋体" w:hAnsi="宋体" w:cs="宋体"/>
                <w:sz w:val="18"/>
                <w:szCs w:val="18"/>
              </w:rPr>
            </w:pPr>
            <w:r>
              <w:rPr>
                <w:rFonts w:ascii="宋体" w:hAnsi="宋体" w:cs="宋体"/>
                <w:sz w:val="18"/>
                <w:szCs w:val="18"/>
              </w:rPr>
              <w:t>-132,180,748.67</w:t>
            </w:r>
          </w:p>
        </w:tc>
      </w:tr>
      <w:tr w14:paraId="1DC08B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307" w:type="dxa"/>
            <w:tcBorders>
              <w:top w:val="single" w:color="auto" w:sz="2" w:space="0"/>
              <w:left w:val="single" w:color="auto" w:sz="2" w:space="0"/>
              <w:bottom w:val="single" w:color="auto" w:sz="2" w:space="0"/>
              <w:right w:val="single" w:color="auto" w:sz="2" w:space="0"/>
            </w:tcBorders>
            <w:shd w:val="clear" w:color="auto" w:fill="D3D3D3"/>
            <w:vAlign w:val="center"/>
          </w:tcPr>
          <w:p w14:paraId="7B9A7283">
            <w:pPr>
              <w:spacing w:before="40" w:after="40" w:line="240" w:lineRule="exact"/>
              <w:jc w:val="left"/>
              <w:rPr>
                <w:rFonts w:hint="eastAsia" w:ascii="宋体" w:hAnsi="宋体" w:cs="宋体"/>
                <w:sz w:val="18"/>
                <w:szCs w:val="18"/>
              </w:rPr>
            </w:pPr>
            <w:r>
              <w:rPr>
                <w:rFonts w:ascii="宋体" w:hAnsi="宋体" w:cs="宋体"/>
                <w:sz w:val="18"/>
                <w:szCs w:val="18"/>
              </w:rPr>
              <w:t>经营活动产生的现金流量净额</w:t>
            </w:r>
          </w:p>
        </w:tc>
        <w:tc>
          <w:tcPr>
            <w:tcW w:w="1770" w:type="dxa"/>
            <w:tcBorders>
              <w:top w:val="single" w:color="auto" w:sz="2" w:space="0"/>
              <w:left w:val="single" w:color="auto" w:sz="2" w:space="0"/>
              <w:bottom w:val="single" w:color="auto" w:sz="2" w:space="0"/>
              <w:right w:val="single" w:color="auto" w:sz="2" w:space="0"/>
            </w:tcBorders>
            <w:vAlign w:val="center"/>
          </w:tcPr>
          <w:p w14:paraId="6F2813CF">
            <w:pPr>
              <w:spacing w:line="240" w:lineRule="exact"/>
              <w:jc w:val="right"/>
              <w:rPr>
                <w:rFonts w:hint="eastAsia" w:ascii="宋体" w:hAnsi="宋体" w:cs="宋体"/>
                <w:sz w:val="18"/>
                <w:szCs w:val="18"/>
              </w:rPr>
            </w:pPr>
            <w:r>
              <w:rPr>
                <w:rFonts w:ascii="宋体" w:hAnsi="宋体" w:cs="宋体"/>
                <w:sz w:val="18"/>
                <w:szCs w:val="18"/>
              </w:rPr>
              <w:t>20,707,723.30</w:t>
            </w:r>
          </w:p>
        </w:tc>
        <w:tc>
          <w:tcPr>
            <w:tcW w:w="1840" w:type="dxa"/>
            <w:tcBorders>
              <w:top w:val="single" w:color="auto" w:sz="2" w:space="0"/>
              <w:left w:val="single" w:color="auto" w:sz="2" w:space="0"/>
              <w:bottom w:val="single" w:color="auto" w:sz="2" w:space="0"/>
              <w:right w:val="single" w:color="auto" w:sz="2" w:space="0"/>
            </w:tcBorders>
            <w:vAlign w:val="center"/>
          </w:tcPr>
          <w:p w14:paraId="6F8CCEBA">
            <w:pPr>
              <w:spacing w:line="240" w:lineRule="exact"/>
              <w:jc w:val="right"/>
              <w:rPr>
                <w:rFonts w:hint="eastAsia" w:ascii="宋体" w:hAnsi="宋体" w:cs="宋体"/>
                <w:sz w:val="18"/>
                <w:szCs w:val="18"/>
              </w:rPr>
            </w:pPr>
            <w:r>
              <w:rPr>
                <w:rFonts w:ascii="宋体" w:hAnsi="宋体" w:cs="宋体"/>
                <w:sz w:val="18"/>
                <w:szCs w:val="18"/>
              </w:rPr>
              <w:t>-174,595,576.92</w:t>
            </w:r>
          </w:p>
        </w:tc>
        <w:tc>
          <w:tcPr>
            <w:tcW w:w="1910" w:type="dxa"/>
            <w:tcBorders>
              <w:top w:val="single" w:color="auto" w:sz="2" w:space="0"/>
              <w:left w:val="single" w:color="auto" w:sz="2" w:space="0"/>
              <w:bottom w:val="single" w:color="auto" w:sz="2" w:space="0"/>
              <w:right w:val="single" w:color="auto" w:sz="2" w:space="0"/>
            </w:tcBorders>
            <w:vAlign w:val="center"/>
          </w:tcPr>
          <w:p w14:paraId="07E3B062">
            <w:pPr>
              <w:spacing w:line="240" w:lineRule="exact"/>
              <w:jc w:val="right"/>
              <w:rPr>
                <w:rFonts w:hint="eastAsia" w:ascii="宋体" w:hAnsi="宋体" w:cs="宋体"/>
                <w:sz w:val="18"/>
                <w:szCs w:val="18"/>
              </w:rPr>
            </w:pPr>
            <w:r>
              <w:rPr>
                <w:rFonts w:ascii="宋体" w:hAnsi="宋体" w:cs="宋体"/>
                <w:sz w:val="18"/>
                <w:szCs w:val="18"/>
              </w:rPr>
              <w:t>111.86%</w:t>
            </w:r>
          </w:p>
        </w:tc>
        <w:tc>
          <w:tcPr>
            <w:tcW w:w="1813" w:type="dxa"/>
            <w:tcBorders>
              <w:top w:val="single" w:color="auto" w:sz="2" w:space="0"/>
              <w:left w:val="single" w:color="auto" w:sz="2" w:space="0"/>
              <w:bottom w:val="single" w:color="auto" w:sz="2" w:space="0"/>
              <w:right w:val="single" w:color="auto" w:sz="2" w:space="0"/>
            </w:tcBorders>
            <w:vAlign w:val="center"/>
          </w:tcPr>
          <w:p w14:paraId="44F247FD">
            <w:pPr>
              <w:spacing w:line="240" w:lineRule="exact"/>
              <w:jc w:val="right"/>
              <w:rPr>
                <w:rFonts w:hint="eastAsia" w:ascii="宋体" w:hAnsi="宋体" w:cs="宋体"/>
                <w:sz w:val="18"/>
                <w:szCs w:val="18"/>
              </w:rPr>
            </w:pPr>
            <w:r>
              <w:rPr>
                <w:rFonts w:ascii="宋体" w:hAnsi="宋体" w:cs="宋体"/>
                <w:sz w:val="18"/>
                <w:szCs w:val="18"/>
              </w:rPr>
              <w:t>-119,679,687.02</w:t>
            </w:r>
          </w:p>
        </w:tc>
      </w:tr>
      <w:tr w14:paraId="241BFD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307" w:type="dxa"/>
            <w:tcBorders>
              <w:top w:val="single" w:color="auto" w:sz="2" w:space="0"/>
              <w:left w:val="single" w:color="auto" w:sz="2" w:space="0"/>
              <w:bottom w:val="single" w:color="auto" w:sz="2" w:space="0"/>
              <w:right w:val="single" w:color="auto" w:sz="2" w:space="0"/>
            </w:tcBorders>
            <w:shd w:val="clear" w:color="auto" w:fill="D3D3D3"/>
            <w:vAlign w:val="center"/>
          </w:tcPr>
          <w:p w14:paraId="7EA453C1">
            <w:pPr>
              <w:spacing w:before="40" w:after="40" w:line="240" w:lineRule="exact"/>
              <w:jc w:val="left"/>
              <w:rPr>
                <w:rFonts w:hint="eastAsia" w:ascii="宋体" w:hAnsi="宋体" w:cs="宋体"/>
                <w:sz w:val="18"/>
                <w:szCs w:val="18"/>
              </w:rPr>
            </w:pPr>
            <w:r>
              <w:rPr>
                <w:rFonts w:ascii="宋体" w:hAnsi="宋体" w:cs="宋体"/>
                <w:sz w:val="18"/>
                <w:szCs w:val="18"/>
              </w:rPr>
              <w:t>基本每股收益（元/股）</w:t>
            </w:r>
          </w:p>
        </w:tc>
        <w:tc>
          <w:tcPr>
            <w:tcW w:w="1770" w:type="dxa"/>
            <w:tcBorders>
              <w:top w:val="single" w:color="auto" w:sz="2" w:space="0"/>
              <w:left w:val="single" w:color="auto" w:sz="2" w:space="0"/>
              <w:bottom w:val="single" w:color="auto" w:sz="2" w:space="0"/>
              <w:right w:val="single" w:color="auto" w:sz="2" w:space="0"/>
            </w:tcBorders>
            <w:vAlign w:val="center"/>
          </w:tcPr>
          <w:p w14:paraId="012E1CFC">
            <w:pPr>
              <w:spacing w:line="240" w:lineRule="exact"/>
              <w:jc w:val="right"/>
              <w:rPr>
                <w:rFonts w:hint="eastAsia" w:ascii="宋体" w:hAnsi="宋体" w:cs="宋体"/>
                <w:sz w:val="18"/>
                <w:szCs w:val="18"/>
              </w:rPr>
            </w:pPr>
            <w:r>
              <w:rPr>
                <w:rFonts w:ascii="宋体" w:hAnsi="宋体" w:cs="宋体"/>
                <w:sz w:val="18"/>
                <w:szCs w:val="18"/>
              </w:rPr>
              <w:t>-0.9814</w:t>
            </w:r>
          </w:p>
        </w:tc>
        <w:tc>
          <w:tcPr>
            <w:tcW w:w="1840" w:type="dxa"/>
            <w:tcBorders>
              <w:top w:val="single" w:color="auto" w:sz="2" w:space="0"/>
              <w:left w:val="single" w:color="auto" w:sz="2" w:space="0"/>
              <w:bottom w:val="single" w:color="auto" w:sz="2" w:space="0"/>
              <w:right w:val="single" w:color="auto" w:sz="2" w:space="0"/>
            </w:tcBorders>
            <w:vAlign w:val="center"/>
          </w:tcPr>
          <w:p w14:paraId="611AAB6A">
            <w:pPr>
              <w:spacing w:line="240" w:lineRule="exact"/>
              <w:jc w:val="right"/>
              <w:rPr>
                <w:rFonts w:hint="eastAsia" w:ascii="宋体" w:hAnsi="宋体" w:cs="宋体"/>
                <w:sz w:val="18"/>
                <w:szCs w:val="18"/>
              </w:rPr>
            </w:pPr>
            <w:r>
              <w:rPr>
                <w:rFonts w:ascii="宋体" w:hAnsi="宋体" w:cs="宋体"/>
                <w:sz w:val="18"/>
                <w:szCs w:val="18"/>
              </w:rPr>
              <w:t>-2.1887</w:t>
            </w:r>
          </w:p>
        </w:tc>
        <w:tc>
          <w:tcPr>
            <w:tcW w:w="1910" w:type="dxa"/>
            <w:tcBorders>
              <w:top w:val="single" w:color="auto" w:sz="2" w:space="0"/>
              <w:left w:val="single" w:color="auto" w:sz="2" w:space="0"/>
              <w:bottom w:val="single" w:color="auto" w:sz="2" w:space="0"/>
              <w:right w:val="single" w:color="auto" w:sz="2" w:space="0"/>
            </w:tcBorders>
            <w:vAlign w:val="center"/>
          </w:tcPr>
          <w:p w14:paraId="572EE05E">
            <w:pPr>
              <w:spacing w:line="240" w:lineRule="exact"/>
              <w:jc w:val="right"/>
              <w:rPr>
                <w:rFonts w:hint="eastAsia" w:ascii="宋体" w:hAnsi="宋体" w:cs="宋体"/>
                <w:sz w:val="18"/>
                <w:szCs w:val="18"/>
              </w:rPr>
            </w:pPr>
            <w:r>
              <w:rPr>
                <w:rFonts w:ascii="宋体" w:hAnsi="宋体" w:cs="宋体"/>
                <w:sz w:val="18"/>
                <w:szCs w:val="18"/>
              </w:rPr>
              <w:t>55.16%</w:t>
            </w:r>
          </w:p>
        </w:tc>
        <w:tc>
          <w:tcPr>
            <w:tcW w:w="1813" w:type="dxa"/>
            <w:tcBorders>
              <w:top w:val="single" w:color="auto" w:sz="2" w:space="0"/>
              <w:left w:val="single" w:color="auto" w:sz="2" w:space="0"/>
              <w:bottom w:val="single" w:color="auto" w:sz="2" w:space="0"/>
              <w:right w:val="single" w:color="auto" w:sz="2" w:space="0"/>
            </w:tcBorders>
            <w:vAlign w:val="center"/>
          </w:tcPr>
          <w:p w14:paraId="3C6259CE">
            <w:pPr>
              <w:spacing w:line="240" w:lineRule="exact"/>
              <w:jc w:val="right"/>
              <w:rPr>
                <w:rFonts w:hint="eastAsia" w:ascii="宋体" w:hAnsi="宋体" w:cs="宋体"/>
                <w:sz w:val="18"/>
                <w:szCs w:val="18"/>
              </w:rPr>
            </w:pPr>
            <w:r>
              <w:rPr>
                <w:rFonts w:ascii="宋体" w:hAnsi="宋体" w:cs="宋体"/>
                <w:sz w:val="18"/>
                <w:szCs w:val="18"/>
              </w:rPr>
              <w:t>-0.8004</w:t>
            </w:r>
          </w:p>
        </w:tc>
      </w:tr>
      <w:tr w14:paraId="11354D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307" w:type="dxa"/>
            <w:tcBorders>
              <w:top w:val="single" w:color="auto" w:sz="2" w:space="0"/>
              <w:left w:val="single" w:color="auto" w:sz="2" w:space="0"/>
              <w:bottom w:val="single" w:color="auto" w:sz="2" w:space="0"/>
              <w:right w:val="single" w:color="auto" w:sz="2" w:space="0"/>
            </w:tcBorders>
            <w:shd w:val="clear" w:color="auto" w:fill="D3D3D3"/>
            <w:vAlign w:val="center"/>
          </w:tcPr>
          <w:p w14:paraId="60DE5332">
            <w:pPr>
              <w:spacing w:before="40" w:after="40" w:line="240" w:lineRule="exact"/>
              <w:jc w:val="left"/>
              <w:rPr>
                <w:rFonts w:hint="eastAsia" w:ascii="宋体" w:hAnsi="宋体" w:cs="宋体"/>
                <w:sz w:val="18"/>
                <w:szCs w:val="18"/>
              </w:rPr>
            </w:pPr>
            <w:r>
              <w:rPr>
                <w:rFonts w:ascii="宋体" w:hAnsi="宋体" w:cs="宋体"/>
                <w:sz w:val="18"/>
                <w:szCs w:val="18"/>
              </w:rPr>
              <w:t>稀释每股收益（元/股）</w:t>
            </w:r>
          </w:p>
        </w:tc>
        <w:tc>
          <w:tcPr>
            <w:tcW w:w="1770" w:type="dxa"/>
            <w:tcBorders>
              <w:top w:val="single" w:color="auto" w:sz="2" w:space="0"/>
              <w:left w:val="single" w:color="auto" w:sz="2" w:space="0"/>
              <w:bottom w:val="single" w:color="auto" w:sz="2" w:space="0"/>
              <w:right w:val="single" w:color="auto" w:sz="2" w:space="0"/>
            </w:tcBorders>
            <w:vAlign w:val="center"/>
          </w:tcPr>
          <w:p w14:paraId="4C2A7E1B">
            <w:pPr>
              <w:spacing w:line="240" w:lineRule="exact"/>
              <w:jc w:val="right"/>
              <w:rPr>
                <w:rFonts w:hint="eastAsia" w:ascii="宋体" w:hAnsi="宋体" w:cs="宋体"/>
                <w:sz w:val="18"/>
                <w:szCs w:val="18"/>
              </w:rPr>
            </w:pPr>
            <w:r>
              <w:rPr>
                <w:rFonts w:ascii="宋体" w:hAnsi="宋体" w:cs="宋体"/>
                <w:sz w:val="18"/>
                <w:szCs w:val="18"/>
              </w:rPr>
              <w:t>-0.9814</w:t>
            </w:r>
          </w:p>
        </w:tc>
        <w:tc>
          <w:tcPr>
            <w:tcW w:w="1840" w:type="dxa"/>
            <w:tcBorders>
              <w:top w:val="single" w:color="auto" w:sz="2" w:space="0"/>
              <w:left w:val="single" w:color="auto" w:sz="2" w:space="0"/>
              <w:bottom w:val="single" w:color="auto" w:sz="2" w:space="0"/>
              <w:right w:val="single" w:color="auto" w:sz="2" w:space="0"/>
            </w:tcBorders>
            <w:vAlign w:val="center"/>
          </w:tcPr>
          <w:p w14:paraId="15349C97">
            <w:pPr>
              <w:spacing w:line="240" w:lineRule="exact"/>
              <w:jc w:val="right"/>
              <w:rPr>
                <w:rFonts w:hint="eastAsia" w:ascii="宋体" w:hAnsi="宋体" w:cs="宋体"/>
                <w:sz w:val="18"/>
                <w:szCs w:val="18"/>
              </w:rPr>
            </w:pPr>
            <w:r>
              <w:rPr>
                <w:rFonts w:ascii="宋体" w:hAnsi="宋体" w:cs="宋体"/>
                <w:sz w:val="18"/>
                <w:szCs w:val="18"/>
              </w:rPr>
              <w:t>-2.1887</w:t>
            </w:r>
          </w:p>
        </w:tc>
        <w:tc>
          <w:tcPr>
            <w:tcW w:w="1910" w:type="dxa"/>
            <w:tcBorders>
              <w:top w:val="single" w:color="auto" w:sz="2" w:space="0"/>
              <w:left w:val="single" w:color="auto" w:sz="2" w:space="0"/>
              <w:bottom w:val="single" w:color="auto" w:sz="2" w:space="0"/>
              <w:right w:val="single" w:color="auto" w:sz="2" w:space="0"/>
            </w:tcBorders>
            <w:vAlign w:val="center"/>
          </w:tcPr>
          <w:p w14:paraId="1E680AF9">
            <w:pPr>
              <w:spacing w:line="240" w:lineRule="exact"/>
              <w:jc w:val="right"/>
              <w:rPr>
                <w:rFonts w:hint="eastAsia" w:ascii="宋体" w:hAnsi="宋体" w:cs="宋体"/>
                <w:sz w:val="18"/>
                <w:szCs w:val="18"/>
              </w:rPr>
            </w:pPr>
            <w:r>
              <w:rPr>
                <w:rFonts w:ascii="宋体" w:hAnsi="宋体" w:cs="宋体"/>
                <w:sz w:val="18"/>
                <w:szCs w:val="18"/>
              </w:rPr>
              <w:t>55.16%</w:t>
            </w:r>
          </w:p>
        </w:tc>
        <w:tc>
          <w:tcPr>
            <w:tcW w:w="1813" w:type="dxa"/>
            <w:tcBorders>
              <w:top w:val="single" w:color="auto" w:sz="2" w:space="0"/>
              <w:left w:val="single" w:color="auto" w:sz="2" w:space="0"/>
              <w:bottom w:val="single" w:color="auto" w:sz="2" w:space="0"/>
              <w:right w:val="single" w:color="auto" w:sz="2" w:space="0"/>
            </w:tcBorders>
            <w:vAlign w:val="center"/>
          </w:tcPr>
          <w:p w14:paraId="1879BC30">
            <w:pPr>
              <w:spacing w:line="240" w:lineRule="exact"/>
              <w:jc w:val="right"/>
              <w:rPr>
                <w:rFonts w:hint="eastAsia" w:ascii="宋体" w:hAnsi="宋体" w:cs="宋体"/>
                <w:sz w:val="18"/>
                <w:szCs w:val="18"/>
              </w:rPr>
            </w:pPr>
            <w:r>
              <w:rPr>
                <w:rFonts w:ascii="宋体" w:hAnsi="宋体" w:cs="宋体"/>
                <w:sz w:val="18"/>
                <w:szCs w:val="18"/>
              </w:rPr>
              <w:t>-0.8004</w:t>
            </w:r>
          </w:p>
        </w:tc>
      </w:tr>
      <w:tr w14:paraId="39CF29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307" w:type="dxa"/>
            <w:tcBorders>
              <w:top w:val="single" w:color="auto" w:sz="2" w:space="0"/>
              <w:left w:val="single" w:color="auto" w:sz="2" w:space="0"/>
              <w:bottom w:val="single" w:color="auto" w:sz="2" w:space="0"/>
              <w:right w:val="single" w:color="auto" w:sz="2" w:space="0"/>
            </w:tcBorders>
            <w:shd w:val="clear" w:color="auto" w:fill="D3D3D3"/>
            <w:vAlign w:val="center"/>
          </w:tcPr>
          <w:p w14:paraId="44DB220E">
            <w:pPr>
              <w:spacing w:before="40" w:after="40" w:line="240" w:lineRule="exact"/>
              <w:jc w:val="left"/>
              <w:rPr>
                <w:rFonts w:hint="eastAsia" w:ascii="宋体" w:hAnsi="宋体" w:cs="宋体"/>
                <w:sz w:val="18"/>
                <w:szCs w:val="18"/>
              </w:rPr>
            </w:pPr>
            <w:r>
              <w:rPr>
                <w:rFonts w:ascii="宋体" w:hAnsi="宋体" w:cs="宋体"/>
                <w:sz w:val="18"/>
                <w:szCs w:val="18"/>
              </w:rPr>
              <w:t>加权平均净资产收益率</w:t>
            </w:r>
          </w:p>
        </w:tc>
        <w:tc>
          <w:tcPr>
            <w:tcW w:w="1770" w:type="dxa"/>
            <w:tcBorders>
              <w:top w:val="single" w:color="auto" w:sz="2" w:space="0"/>
              <w:left w:val="single" w:color="auto" w:sz="2" w:space="0"/>
              <w:bottom w:val="single" w:color="auto" w:sz="2" w:space="0"/>
              <w:right w:val="single" w:color="auto" w:sz="2" w:space="0"/>
            </w:tcBorders>
            <w:vAlign w:val="center"/>
          </w:tcPr>
          <w:p w14:paraId="25B63D7E">
            <w:pPr>
              <w:spacing w:line="240" w:lineRule="exact"/>
              <w:jc w:val="right"/>
              <w:rPr>
                <w:rFonts w:hint="eastAsia" w:ascii="宋体" w:hAnsi="宋体" w:cs="宋体"/>
                <w:sz w:val="18"/>
                <w:szCs w:val="18"/>
              </w:rPr>
            </w:pPr>
            <w:r>
              <w:rPr>
                <w:rFonts w:ascii="宋体" w:hAnsi="宋体" w:cs="宋体"/>
                <w:sz w:val="18"/>
                <w:szCs w:val="18"/>
              </w:rPr>
              <w:t>-35.66%</w:t>
            </w:r>
          </w:p>
        </w:tc>
        <w:tc>
          <w:tcPr>
            <w:tcW w:w="1840" w:type="dxa"/>
            <w:tcBorders>
              <w:top w:val="single" w:color="auto" w:sz="2" w:space="0"/>
              <w:left w:val="single" w:color="auto" w:sz="2" w:space="0"/>
              <w:bottom w:val="single" w:color="auto" w:sz="2" w:space="0"/>
              <w:right w:val="single" w:color="auto" w:sz="2" w:space="0"/>
            </w:tcBorders>
            <w:vAlign w:val="center"/>
          </w:tcPr>
          <w:p w14:paraId="5B61CC69">
            <w:pPr>
              <w:spacing w:line="240" w:lineRule="exact"/>
              <w:jc w:val="right"/>
              <w:rPr>
                <w:rFonts w:hint="eastAsia" w:ascii="宋体" w:hAnsi="宋体" w:cs="宋体"/>
                <w:sz w:val="18"/>
                <w:szCs w:val="18"/>
              </w:rPr>
            </w:pPr>
            <w:r>
              <w:rPr>
                <w:rFonts w:ascii="宋体" w:hAnsi="宋体" w:cs="宋体"/>
                <w:sz w:val="18"/>
                <w:szCs w:val="18"/>
              </w:rPr>
              <w:t>-49.90%</w:t>
            </w:r>
          </w:p>
        </w:tc>
        <w:tc>
          <w:tcPr>
            <w:tcW w:w="1910" w:type="dxa"/>
            <w:tcBorders>
              <w:top w:val="single" w:color="auto" w:sz="2" w:space="0"/>
              <w:left w:val="single" w:color="auto" w:sz="2" w:space="0"/>
              <w:bottom w:val="single" w:color="auto" w:sz="2" w:space="0"/>
              <w:right w:val="single" w:color="auto" w:sz="2" w:space="0"/>
            </w:tcBorders>
            <w:vAlign w:val="center"/>
          </w:tcPr>
          <w:p w14:paraId="51EBB67A">
            <w:pPr>
              <w:spacing w:line="240" w:lineRule="exact"/>
              <w:jc w:val="right"/>
              <w:rPr>
                <w:rFonts w:hint="eastAsia" w:ascii="宋体" w:hAnsi="宋体" w:cs="宋体"/>
                <w:sz w:val="18"/>
                <w:szCs w:val="18"/>
              </w:rPr>
            </w:pPr>
            <w:r>
              <w:rPr>
                <w:rFonts w:ascii="宋体" w:hAnsi="宋体" w:cs="宋体"/>
                <w:sz w:val="18"/>
                <w:szCs w:val="18"/>
              </w:rPr>
              <w:t>14.24%</w:t>
            </w:r>
          </w:p>
        </w:tc>
        <w:tc>
          <w:tcPr>
            <w:tcW w:w="1813" w:type="dxa"/>
            <w:tcBorders>
              <w:top w:val="single" w:color="auto" w:sz="2" w:space="0"/>
              <w:left w:val="single" w:color="auto" w:sz="2" w:space="0"/>
              <w:bottom w:val="single" w:color="auto" w:sz="2" w:space="0"/>
              <w:right w:val="single" w:color="auto" w:sz="2" w:space="0"/>
            </w:tcBorders>
            <w:vAlign w:val="center"/>
          </w:tcPr>
          <w:p w14:paraId="5AC45A75">
            <w:pPr>
              <w:spacing w:line="240" w:lineRule="exact"/>
              <w:jc w:val="right"/>
              <w:rPr>
                <w:rFonts w:hint="eastAsia" w:ascii="宋体" w:hAnsi="宋体" w:cs="宋体"/>
                <w:sz w:val="18"/>
                <w:szCs w:val="18"/>
              </w:rPr>
            </w:pPr>
            <w:r>
              <w:rPr>
                <w:rFonts w:ascii="宋体" w:hAnsi="宋体" w:cs="宋体"/>
                <w:sz w:val="18"/>
                <w:szCs w:val="18"/>
              </w:rPr>
              <w:t>-12.87%</w:t>
            </w:r>
          </w:p>
        </w:tc>
      </w:tr>
    </w:tbl>
    <w:p w14:paraId="5B6B61B0">
      <w:pPr>
        <w:keepNext/>
        <w:keepLines/>
        <w:spacing w:before="300" w:after="300" w:line="280" w:lineRule="exact"/>
        <w:jc w:val="left"/>
        <w:outlineLvl w:val="3"/>
        <w:rPr>
          <w:rFonts w:hint="eastAsia" w:ascii="宋体" w:hAnsi="宋体" w:cs="宋体"/>
          <w:b/>
          <w:bCs/>
          <w:sz w:val="18"/>
          <w:szCs w:val="18"/>
        </w:rPr>
      </w:pPr>
      <w:bookmarkStart w:id="7" w:name="_Toc988895"/>
      <w:r>
        <w:rPr>
          <w:rFonts w:ascii="宋体" w:hAnsi="宋体" w:cs="宋体"/>
          <w:b/>
          <w:bCs/>
          <w:sz w:val="18"/>
          <w:szCs w:val="18"/>
        </w:rPr>
        <w:t>（2） 分季度主要会计数据</w:t>
      </w:r>
      <w:bookmarkEnd w:id="7"/>
    </w:p>
    <w:p w14:paraId="418F7B92">
      <w:pPr>
        <w:spacing w:before="120" w:after="120" w:line="240" w:lineRule="exact"/>
        <w:jc w:val="right"/>
        <w:rPr>
          <w:rFonts w:hint="eastAsia" w:ascii="宋体" w:hAnsi="宋体" w:cs="宋体"/>
          <w:sz w:val="18"/>
          <w:szCs w:val="18"/>
        </w:rPr>
      </w:pPr>
      <w:r>
        <w:rPr>
          <w:rFonts w:ascii="宋体" w:hAnsi="宋体" w:cs="宋体"/>
          <w:sz w:val="18"/>
          <w:szCs w:val="18"/>
        </w:rPr>
        <w:t>单位：元</w:t>
      </w:r>
    </w:p>
    <w:tbl>
      <w:tblPr>
        <w:tblStyle w:val="3"/>
        <w:tblW w:w="963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27"/>
        <w:gridCol w:w="1928"/>
        <w:gridCol w:w="1928"/>
        <w:gridCol w:w="1928"/>
        <w:gridCol w:w="1928"/>
      </w:tblGrid>
      <w:tr w14:paraId="31EA5B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88479B0"/>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D3D331F">
            <w:pPr>
              <w:spacing w:before="40" w:after="40" w:line="240" w:lineRule="exact"/>
              <w:jc w:val="center"/>
              <w:rPr>
                <w:rFonts w:hint="eastAsia" w:ascii="宋体" w:hAnsi="宋体" w:cs="宋体"/>
                <w:sz w:val="18"/>
                <w:szCs w:val="18"/>
              </w:rPr>
            </w:pPr>
            <w:r>
              <w:rPr>
                <w:rFonts w:ascii="宋体" w:hAnsi="宋体" w:cs="宋体"/>
                <w:sz w:val="18"/>
                <w:szCs w:val="18"/>
              </w:rPr>
              <w:t>第一季度</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FDF1277">
            <w:pPr>
              <w:spacing w:before="40" w:after="40" w:line="240" w:lineRule="exact"/>
              <w:jc w:val="center"/>
              <w:rPr>
                <w:rFonts w:hint="eastAsia" w:ascii="宋体" w:hAnsi="宋体" w:cs="宋体"/>
                <w:sz w:val="18"/>
                <w:szCs w:val="18"/>
              </w:rPr>
            </w:pPr>
            <w:r>
              <w:rPr>
                <w:rFonts w:ascii="宋体" w:hAnsi="宋体" w:cs="宋体"/>
                <w:sz w:val="18"/>
                <w:szCs w:val="18"/>
              </w:rPr>
              <w:t>第二季度</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6BD42FC7">
            <w:pPr>
              <w:spacing w:before="40" w:after="40" w:line="240" w:lineRule="exact"/>
              <w:jc w:val="center"/>
              <w:rPr>
                <w:rFonts w:hint="eastAsia" w:ascii="宋体" w:hAnsi="宋体" w:cs="宋体"/>
                <w:sz w:val="18"/>
                <w:szCs w:val="18"/>
              </w:rPr>
            </w:pPr>
            <w:r>
              <w:rPr>
                <w:rFonts w:ascii="宋体" w:hAnsi="宋体" w:cs="宋体"/>
                <w:sz w:val="18"/>
                <w:szCs w:val="18"/>
              </w:rPr>
              <w:t>第三季度</w:t>
            </w:r>
          </w:p>
        </w:tc>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4639C93F">
            <w:pPr>
              <w:spacing w:before="40" w:after="40" w:line="240" w:lineRule="exact"/>
              <w:jc w:val="center"/>
              <w:rPr>
                <w:rFonts w:hint="eastAsia" w:ascii="宋体" w:hAnsi="宋体" w:cs="宋体"/>
                <w:sz w:val="18"/>
                <w:szCs w:val="18"/>
              </w:rPr>
            </w:pPr>
            <w:r>
              <w:rPr>
                <w:rFonts w:ascii="宋体" w:hAnsi="宋体" w:cs="宋体"/>
                <w:sz w:val="18"/>
                <w:szCs w:val="18"/>
              </w:rPr>
              <w:t>第四季度</w:t>
            </w:r>
          </w:p>
        </w:tc>
      </w:tr>
      <w:tr w14:paraId="7D160A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06CD4F8E">
            <w:pPr>
              <w:spacing w:before="40" w:after="40" w:line="240" w:lineRule="exact"/>
              <w:jc w:val="left"/>
              <w:rPr>
                <w:rFonts w:hint="eastAsia" w:ascii="宋体" w:hAnsi="宋体" w:cs="宋体"/>
                <w:sz w:val="18"/>
                <w:szCs w:val="18"/>
              </w:rPr>
            </w:pPr>
            <w:r>
              <w:rPr>
                <w:rFonts w:ascii="宋体" w:hAnsi="宋体" w:cs="宋体"/>
                <w:sz w:val="18"/>
                <w:szCs w:val="18"/>
              </w:rPr>
              <w:t>营业收入</w:t>
            </w:r>
          </w:p>
        </w:tc>
        <w:tc>
          <w:tcPr>
            <w:tcW w:w="1928" w:type="dxa"/>
            <w:tcBorders>
              <w:top w:val="single" w:color="auto" w:sz="2" w:space="0"/>
              <w:left w:val="single" w:color="auto" w:sz="2" w:space="0"/>
              <w:bottom w:val="single" w:color="auto" w:sz="2" w:space="0"/>
              <w:right w:val="single" w:color="auto" w:sz="2" w:space="0"/>
            </w:tcBorders>
            <w:vAlign w:val="center"/>
          </w:tcPr>
          <w:p w14:paraId="0D71A66C">
            <w:pPr>
              <w:spacing w:line="240" w:lineRule="exact"/>
              <w:jc w:val="right"/>
              <w:rPr>
                <w:rFonts w:hint="eastAsia" w:ascii="宋体" w:hAnsi="宋体" w:cs="宋体"/>
                <w:sz w:val="18"/>
                <w:szCs w:val="18"/>
              </w:rPr>
            </w:pPr>
            <w:r>
              <w:rPr>
                <w:rFonts w:ascii="宋体" w:hAnsi="宋体" w:cs="宋体"/>
                <w:sz w:val="18"/>
                <w:szCs w:val="18"/>
              </w:rPr>
              <w:t>120,047,604.86</w:t>
            </w:r>
          </w:p>
        </w:tc>
        <w:tc>
          <w:tcPr>
            <w:tcW w:w="1928" w:type="dxa"/>
            <w:tcBorders>
              <w:top w:val="single" w:color="auto" w:sz="2" w:space="0"/>
              <w:left w:val="single" w:color="auto" w:sz="2" w:space="0"/>
              <w:bottom w:val="single" w:color="auto" w:sz="2" w:space="0"/>
              <w:right w:val="single" w:color="auto" w:sz="2" w:space="0"/>
            </w:tcBorders>
            <w:vAlign w:val="center"/>
          </w:tcPr>
          <w:p w14:paraId="5C0A3AAD">
            <w:pPr>
              <w:spacing w:line="240" w:lineRule="exact"/>
              <w:jc w:val="right"/>
              <w:rPr>
                <w:rFonts w:hint="eastAsia" w:ascii="宋体" w:hAnsi="宋体" w:cs="宋体"/>
                <w:sz w:val="18"/>
                <w:szCs w:val="18"/>
              </w:rPr>
            </w:pPr>
            <w:r>
              <w:rPr>
                <w:rFonts w:ascii="宋体" w:hAnsi="宋体" w:cs="宋体"/>
                <w:sz w:val="18"/>
                <w:szCs w:val="18"/>
              </w:rPr>
              <w:t>98,131,066.65</w:t>
            </w:r>
          </w:p>
        </w:tc>
        <w:tc>
          <w:tcPr>
            <w:tcW w:w="1928" w:type="dxa"/>
            <w:tcBorders>
              <w:top w:val="single" w:color="auto" w:sz="2" w:space="0"/>
              <w:left w:val="single" w:color="auto" w:sz="2" w:space="0"/>
              <w:bottom w:val="single" w:color="auto" w:sz="2" w:space="0"/>
              <w:right w:val="single" w:color="auto" w:sz="2" w:space="0"/>
            </w:tcBorders>
            <w:vAlign w:val="center"/>
          </w:tcPr>
          <w:p w14:paraId="0F79D698">
            <w:pPr>
              <w:spacing w:line="240" w:lineRule="exact"/>
              <w:jc w:val="right"/>
              <w:rPr>
                <w:rFonts w:hint="eastAsia" w:ascii="宋体" w:hAnsi="宋体" w:cs="宋体"/>
                <w:sz w:val="18"/>
                <w:szCs w:val="18"/>
              </w:rPr>
            </w:pPr>
            <w:r>
              <w:rPr>
                <w:rFonts w:ascii="宋体" w:hAnsi="宋体" w:cs="宋体"/>
                <w:sz w:val="18"/>
                <w:szCs w:val="18"/>
              </w:rPr>
              <w:t>108,137,694.74</w:t>
            </w:r>
          </w:p>
        </w:tc>
        <w:tc>
          <w:tcPr>
            <w:tcW w:w="1928" w:type="dxa"/>
            <w:tcBorders>
              <w:top w:val="single" w:color="auto" w:sz="2" w:space="0"/>
              <w:left w:val="single" w:color="auto" w:sz="2" w:space="0"/>
              <w:bottom w:val="single" w:color="auto" w:sz="2" w:space="0"/>
              <w:right w:val="single" w:color="auto" w:sz="2" w:space="0"/>
            </w:tcBorders>
            <w:vAlign w:val="center"/>
          </w:tcPr>
          <w:p w14:paraId="502A2D3B">
            <w:pPr>
              <w:spacing w:line="240" w:lineRule="exact"/>
              <w:jc w:val="right"/>
              <w:rPr>
                <w:rFonts w:hint="eastAsia" w:ascii="宋体" w:hAnsi="宋体" w:cs="宋体"/>
                <w:sz w:val="18"/>
                <w:szCs w:val="18"/>
              </w:rPr>
            </w:pPr>
            <w:r>
              <w:rPr>
                <w:rFonts w:ascii="宋体" w:hAnsi="宋体" w:cs="宋体"/>
                <w:sz w:val="18"/>
                <w:szCs w:val="18"/>
              </w:rPr>
              <w:t>115,141,307.52</w:t>
            </w:r>
          </w:p>
        </w:tc>
      </w:tr>
      <w:tr w14:paraId="50143C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518F315C">
            <w:pPr>
              <w:spacing w:before="40" w:after="40" w:line="240" w:lineRule="exact"/>
              <w:jc w:val="left"/>
              <w:rPr>
                <w:rFonts w:hint="eastAsia" w:ascii="宋体" w:hAnsi="宋体" w:cs="宋体"/>
                <w:sz w:val="18"/>
                <w:szCs w:val="18"/>
              </w:rPr>
            </w:pPr>
            <w:r>
              <w:rPr>
                <w:rFonts w:ascii="宋体" w:hAnsi="宋体" w:cs="宋体"/>
                <w:sz w:val="18"/>
                <w:szCs w:val="18"/>
              </w:rPr>
              <w:t>归属于上市公司股东的净利润</w:t>
            </w:r>
          </w:p>
        </w:tc>
        <w:tc>
          <w:tcPr>
            <w:tcW w:w="1928" w:type="dxa"/>
            <w:tcBorders>
              <w:top w:val="single" w:color="auto" w:sz="2" w:space="0"/>
              <w:left w:val="single" w:color="auto" w:sz="2" w:space="0"/>
              <w:bottom w:val="single" w:color="auto" w:sz="2" w:space="0"/>
              <w:right w:val="single" w:color="auto" w:sz="2" w:space="0"/>
            </w:tcBorders>
            <w:vAlign w:val="center"/>
          </w:tcPr>
          <w:p w14:paraId="7D65780D">
            <w:pPr>
              <w:spacing w:line="240" w:lineRule="exact"/>
              <w:jc w:val="right"/>
              <w:rPr>
                <w:rFonts w:hint="eastAsia" w:ascii="宋体" w:hAnsi="宋体" w:cs="宋体"/>
                <w:sz w:val="18"/>
                <w:szCs w:val="18"/>
              </w:rPr>
            </w:pPr>
            <w:r>
              <w:rPr>
                <w:rFonts w:ascii="宋体" w:hAnsi="宋体" w:cs="宋体"/>
                <w:sz w:val="18"/>
                <w:szCs w:val="18"/>
              </w:rPr>
              <w:t>-14,642,717.07</w:t>
            </w:r>
          </w:p>
        </w:tc>
        <w:tc>
          <w:tcPr>
            <w:tcW w:w="1928" w:type="dxa"/>
            <w:tcBorders>
              <w:top w:val="single" w:color="auto" w:sz="2" w:space="0"/>
              <w:left w:val="single" w:color="auto" w:sz="2" w:space="0"/>
              <w:bottom w:val="single" w:color="auto" w:sz="2" w:space="0"/>
              <w:right w:val="single" w:color="auto" w:sz="2" w:space="0"/>
            </w:tcBorders>
            <w:vAlign w:val="center"/>
          </w:tcPr>
          <w:p w14:paraId="38BB7E90">
            <w:pPr>
              <w:spacing w:line="240" w:lineRule="exact"/>
              <w:jc w:val="right"/>
              <w:rPr>
                <w:rFonts w:hint="eastAsia" w:ascii="宋体" w:hAnsi="宋体" w:cs="宋体"/>
                <w:sz w:val="18"/>
                <w:szCs w:val="18"/>
              </w:rPr>
            </w:pPr>
            <w:r>
              <w:rPr>
                <w:rFonts w:ascii="宋体" w:hAnsi="宋体" w:cs="宋体"/>
                <w:sz w:val="18"/>
                <w:szCs w:val="18"/>
              </w:rPr>
              <w:t>-21,395,058.81</w:t>
            </w:r>
          </w:p>
        </w:tc>
        <w:tc>
          <w:tcPr>
            <w:tcW w:w="1928" w:type="dxa"/>
            <w:tcBorders>
              <w:top w:val="single" w:color="auto" w:sz="2" w:space="0"/>
              <w:left w:val="single" w:color="auto" w:sz="2" w:space="0"/>
              <w:bottom w:val="single" w:color="auto" w:sz="2" w:space="0"/>
              <w:right w:val="single" w:color="auto" w:sz="2" w:space="0"/>
            </w:tcBorders>
            <w:vAlign w:val="center"/>
          </w:tcPr>
          <w:p w14:paraId="0BF32D43">
            <w:pPr>
              <w:spacing w:line="240" w:lineRule="exact"/>
              <w:jc w:val="right"/>
              <w:rPr>
                <w:rFonts w:hint="eastAsia" w:ascii="宋体" w:hAnsi="宋体" w:cs="宋体"/>
                <w:sz w:val="18"/>
                <w:szCs w:val="18"/>
              </w:rPr>
            </w:pPr>
            <w:r>
              <w:rPr>
                <w:rFonts w:ascii="宋体" w:hAnsi="宋体" w:cs="宋体"/>
                <w:sz w:val="18"/>
                <w:szCs w:val="18"/>
              </w:rPr>
              <w:t>-34,602,162.43</w:t>
            </w:r>
          </w:p>
        </w:tc>
        <w:tc>
          <w:tcPr>
            <w:tcW w:w="1928" w:type="dxa"/>
            <w:tcBorders>
              <w:top w:val="single" w:color="auto" w:sz="2" w:space="0"/>
              <w:left w:val="single" w:color="auto" w:sz="2" w:space="0"/>
              <w:bottom w:val="single" w:color="auto" w:sz="2" w:space="0"/>
              <w:right w:val="single" w:color="auto" w:sz="2" w:space="0"/>
            </w:tcBorders>
            <w:vAlign w:val="center"/>
          </w:tcPr>
          <w:p w14:paraId="0B1C19BE">
            <w:pPr>
              <w:spacing w:line="240" w:lineRule="exact"/>
              <w:jc w:val="right"/>
              <w:rPr>
                <w:rFonts w:hint="eastAsia" w:ascii="宋体" w:hAnsi="宋体" w:cs="宋体"/>
                <w:sz w:val="18"/>
                <w:szCs w:val="18"/>
              </w:rPr>
            </w:pPr>
            <w:r>
              <w:rPr>
                <w:rFonts w:ascii="宋体" w:hAnsi="宋体" w:cs="宋体"/>
                <w:sz w:val="18"/>
                <w:szCs w:val="18"/>
              </w:rPr>
              <w:t>-85,664,418.43</w:t>
            </w:r>
          </w:p>
        </w:tc>
      </w:tr>
      <w:tr w14:paraId="3F2BE3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3363E5B5">
            <w:pPr>
              <w:spacing w:before="40" w:after="40" w:line="240" w:lineRule="exact"/>
              <w:jc w:val="left"/>
              <w:rPr>
                <w:rFonts w:hint="eastAsia" w:ascii="宋体" w:hAnsi="宋体" w:cs="宋体"/>
                <w:sz w:val="18"/>
                <w:szCs w:val="18"/>
              </w:rPr>
            </w:pPr>
            <w:r>
              <w:rPr>
                <w:rFonts w:ascii="宋体" w:hAnsi="宋体" w:cs="宋体"/>
                <w:sz w:val="18"/>
                <w:szCs w:val="18"/>
              </w:rPr>
              <w:t>归属于上市公司股东的扣除非经常性损益的净利润</w:t>
            </w:r>
          </w:p>
        </w:tc>
        <w:tc>
          <w:tcPr>
            <w:tcW w:w="1928" w:type="dxa"/>
            <w:tcBorders>
              <w:top w:val="single" w:color="auto" w:sz="2" w:space="0"/>
              <w:left w:val="single" w:color="auto" w:sz="2" w:space="0"/>
              <w:bottom w:val="single" w:color="auto" w:sz="2" w:space="0"/>
              <w:right w:val="single" w:color="auto" w:sz="2" w:space="0"/>
            </w:tcBorders>
            <w:vAlign w:val="center"/>
          </w:tcPr>
          <w:p w14:paraId="1A702D98">
            <w:pPr>
              <w:spacing w:line="240" w:lineRule="exact"/>
              <w:jc w:val="right"/>
              <w:rPr>
                <w:rFonts w:hint="eastAsia" w:ascii="宋体" w:hAnsi="宋体" w:cs="宋体"/>
                <w:sz w:val="18"/>
                <w:szCs w:val="18"/>
              </w:rPr>
            </w:pPr>
            <w:r>
              <w:rPr>
                <w:rFonts w:ascii="宋体" w:hAnsi="宋体" w:cs="宋体"/>
                <w:sz w:val="18"/>
                <w:szCs w:val="18"/>
              </w:rPr>
              <w:t>-17,277,794.11</w:t>
            </w:r>
          </w:p>
        </w:tc>
        <w:tc>
          <w:tcPr>
            <w:tcW w:w="1928" w:type="dxa"/>
            <w:tcBorders>
              <w:top w:val="single" w:color="auto" w:sz="2" w:space="0"/>
              <w:left w:val="single" w:color="auto" w:sz="2" w:space="0"/>
              <w:bottom w:val="single" w:color="auto" w:sz="2" w:space="0"/>
              <w:right w:val="single" w:color="auto" w:sz="2" w:space="0"/>
            </w:tcBorders>
            <w:vAlign w:val="center"/>
          </w:tcPr>
          <w:p w14:paraId="5C91D5B7">
            <w:pPr>
              <w:spacing w:line="240" w:lineRule="exact"/>
              <w:jc w:val="right"/>
              <w:rPr>
                <w:rFonts w:hint="eastAsia" w:ascii="宋体" w:hAnsi="宋体" w:cs="宋体"/>
                <w:sz w:val="18"/>
                <w:szCs w:val="18"/>
              </w:rPr>
            </w:pPr>
            <w:r>
              <w:rPr>
                <w:rFonts w:ascii="宋体" w:hAnsi="宋体" w:cs="宋体"/>
                <w:sz w:val="18"/>
                <w:szCs w:val="18"/>
              </w:rPr>
              <w:t>-30,922,296.77</w:t>
            </w:r>
          </w:p>
        </w:tc>
        <w:tc>
          <w:tcPr>
            <w:tcW w:w="1928" w:type="dxa"/>
            <w:tcBorders>
              <w:top w:val="single" w:color="auto" w:sz="2" w:space="0"/>
              <w:left w:val="single" w:color="auto" w:sz="2" w:space="0"/>
              <w:bottom w:val="single" w:color="auto" w:sz="2" w:space="0"/>
              <w:right w:val="single" w:color="auto" w:sz="2" w:space="0"/>
            </w:tcBorders>
            <w:vAlign w:val="center"/>
          </w:tcPr>
          <w:p w14:paraId="61C0C1D8">
            <w:pPr>
              <w:spacing w:line="240" w:lineRule="exact"/>
              <w:jc w:val="right"/>
              <w:rPr>
                <w:rFonts w:hint="eastAsia" w:ascii="宋体" w:hAnsi="宋体" w:cs="宋体"/>
                <w:sz w:val="18"/>
                <w:szCs w:val="18"/>
              </w:rPr>
            </w:pPr>
            <w:r>
              <w:rPr>
                <w:rFonts w:ascii="宋体" w:hAnsi="宋体" w:cs="宋体"/>
                <w:sz w:val="18"/>
                <w:szCs w:val="18"/>
              </w:rPr>
              <w:t>-35,558,874.76</w:t>
            </w:r>
          </w:p>
        </w:tc>
        <w:tc>
          <w:tcPr>
            <w:tcW w:w="1928" w:type="dxa"/>
            <w:tcBorders>
              <w:top w:val="single" w:color="auto" w:sz="2" w:space="0"/>
              <w:left w:val="single" w:color="auto" w:sz="2" w:space="0"/>
              <w:bottom w:val="single" w:color="auto" w:sz="2" w:space="0"/>
              <w:right w:val="single" w:color="auto" w:sz="2" w:space="0"/>
            </w:tcBorders>
            <w:vAlign w:val="center"/>
          </w:tcPr>
          <w:p w14:paraId="3AD958AE">
            <w:pPr>
              <w:spacing w:line="240" w:lineRule="exact"/>
              <w:jc w:val="right"/>
              <w:rPr>
                <w:rFonts w:hint="eastAsia" w:ascii="宋体" w:hAnsi="宋体" w:cs="宋体"/>
                <w:sz w:val="18"/>
                <w:szCs w:val="18"/>
              </w:rPr>
            </w:pPr>
            <w:r>
              <w:rPr>
                <w:rFonts w:ascii="宋体" w:hAnsi="宋体" w:cs="宋体"/>
                <w:sz w:val="18"/>
                <w:szCs w:val="18"/>
              </w:rPr>
              <w:t>-115,779,930.83</w:t>
            </w:r>
          </w:p>
        </w:tc>
      </w:tr>
      <w:tr w14:paraId="3F58FE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928" w:type="dxa"/>
            <w:tcBorders>
              <w:top w:val="single" w:color="auto" w:sz="2" w:space="0"/>
              <w:left w:val="single" w:color="auto" w:sz="2" w:space="0"/>
              <w:bottom w:val="single" w:color="auto" w:sz="2" w:space="0"/>
              <w:right w:val="single" w:color="auto" w:sz="2" w:space="0"/>
            </w:tcBorders>
            <w:shd w:val="clear" w:color="auto" w:fill="D3D3D3"/>
            <w:vAlign w:val="center"/>
          </w:tcPr>
          <w:p w14:paraId="11C577FC">
            <w:pPr>
              <w:spacing w:before="40" w:after="40" w:line="240" w:lineRule="exact"/>
              <w:jc w:val="left"/>
              <w:rPr>
                <w:rFonts w:hint="eastAsia" w:ascii="宋体" w:hAnsi="宋体" w:cs="宋体"/>
                <w:sz w:val="18"/>
                <w:szCs w:val="18"/>
              </w:rPr>
            </w:pPr>
            <w:r>
              <w:rPr>
                <w:rFonts w:ascii="宋体" w:hAnsi="宋体" w:cs="宋体"/>
                <w:sz w:val="18"/>
                <w:szCs w:val="18"/>
              </w:rPr>
              <w:t>经营活动产生的现金流量净额</w:t>
            </w:r>
          </w:p>
        </w:tc>
        <w:tc>
          <w:tcPr>
            <w:tcW w:w="1928" w:type="dxa"/>
            <w:tcBorders>
              <w:top w:val="single" w:color="auto" w:sz="2" w:space="0"/>
              <w:left w:val="single" w:color="auto" w:sz="2" w:space="0"/>
              <w:bottom w:val="single" w:color="auto" w:sz="2" w:space="0"/>
              <w:right w:val="single" w:color="auto" w:sz="2" w:space="0"/>
            </w:tcBorders>
            <w:vAlign w:val="center"/>
          </w:tcPr>
          <w:p w14:paraId="5F98B744">
            <w:pPr>
              <w:spacing w:line="240" w:lineRule="exact"/>
              <w:jc w:val="right"/>
              <w:rPr>
                <w:rFonts w:hint="eastAsia" w:ascii="宋体" w:hAnsi="宋体" w:cs="宋体"/>
                <w:sz w:val="18"/>
                <w:szCs w:val="18"/>
              </w:rPr>
            </w:pPr>
            <w:r>
              <w:rPr>
                <w:rFonts w:ascii="宋体" w:hAnsi="宋体" w:cs="宋体"/>
                <w:sz w:val="18"/>
                <w:szCs w:val="18"/>
              </w:rPr>
              <w:t>-13,220,727.89</w:t>
            </w:r>
          </w:p>
        </w:tc>
        <w:tc>
          <w:tcPr>
            <w:tcW w:w="1928" w:type="dxa"/>
            <w:tcBorders>
              <w:top w:val="single" w:color="auto" w:sz="2" w:space="0"/>
              <w:left w:val="single" w:color="auto" w:sz="2" w:space="0"/>
              <w:bottom w:val="single" w:color="auto" w:sz="2" w:space="0"/>
              <w:right w:val="single" w:color="auto" w:sz="2" w:space="0"/>
            </w:tcBorders>
            <w:vAlign w:val="center"/>
          </w:tcPr>
          <w:p w14:paraId="00BB98CE">
            <w:pPr>
              <w:spacing w:line="240" w:lineRule="exact"/>
              <w:jc w:val="right"/>
              <w:rPr>
                <w:rFonts w:hint="eastAsia" w:ascii="宋体" w:hAnsi="宋体" w:cs="宋体"/>
                <w:sz w:val="18"/>
                <w:szCs w:val="18"/>
              </w:rPr>
            </w:pPr>
            <w:r>
              <w:rPr>
                <w:rFonts w:ascii="宋体" w:hAnsi="宋体" w:cs="宋体"/>
                <w:sz w:val="18"/>
                <w:szCs w:val="18"/>
              </w:rPr>
              <w:t>-9,247,219.20</w:t>
            </w:r>
          </w:p>
        </w:tc>
        <w:tc>
          <w:tcPr>
            <w:tcW w:w="1928" w:type="dxa"/>
            <w:tcBorders>
              <w:top w:val="single" w:color="auto" w:sz="2" w:space="0"/>
              <w:left w:val="single" w:color="auto" w:sz="2" w:space="0"/>
              <w:bottom w:val="single" w:color="auto" w:sz="2" w:space="0"/>
              <w:right w:val="single" w:color="auto" w:sz="2" w:space="0"/>
            </w:tcBorders>
            <w:vAlign w:val="center"/>
          </w:tcPr>
          <w:p w14:paraId="37E1B5EF">
            <w:pPr>
              <w:spacing w:line="240" w:lineRule="exact"/>
              <w:jc w:val="right"/>
              <w:rPr>
                <w:rFonts w:hint="eastAsia" w:ascii="宋体" w:hAnsi="宋体" w:cs="宋体"/>
                <w:sz w:val="18"/>
                <w:szCs w:val="18"/>
              </w:rPr>
            </w:pPr>
            <w:r>
              <w:rPr>
                <w:rFonts w:ascii="宋体" w:hAnsi="宋体" w:cs="宋体"/>
                <w:sz w:val="18"/>
                <w:szCs w:val="18"/>
              </w:rPr>
              <w:t>5,031,693.26</w:t>
            </w:r>
          </w:p>
        </w:tc>
        <w:tc>
          <w:tcPr>
            <w:tcW w:w="1928" w:type="dxa"/>
            <w:tcBorders>
              <w:top w:val="single" w:color="auto" w:sz="2" w:space="0"/>
              <w:left w:val="single" w:color="auto" w:sz="2" w:space="0"/>
              <w:bottom w:val="single" w:color="auto" w:sz="2" w:space="0"/>
              <w:right w:val="single" w:color="auto" w:sz="2" w:space="0"/>
            </w:tcBorders>
            <w:vAlign w:val="center"/>
          </w:tcPr>
          <w:p w14:paraId="690D53E9">
            <w:pPr>
              <w:spacing w:line="240" w:lineRule="exact"/>
              <w:jc w:val="right"/>
              <w:rPr>
                <w:rFonts w:hint="eastAsia" w:ascii="宋体" w:hAnsi="宋体" w:cs="宋体"/>
                <w:sz w:val="18"/>
                <w:szCs w:val="18"/>
              </w:rPr>
            </w:pPr>
            <w:r>
              <w:rPr>
                <w:rFonts w:ascii="宋体" w:hAnsi="宋体" w:cs="宋体"/>
                <w:sz w:val="18"/>
                <w:szCs w:val="18"/>
              </w:rPr>
              <w:t>38,143,977.13</w:t>
            </w:r>
          </w:p>
        </w:tc>
      </w:tr>
    </w:tbl>
    <w:p w14:paraId="54374439">
      <w:pPr>
        <w:spacing w:before="100" w:after="100" w:line="240" w:lineRule="exact"/>
        <w:jc w:val="left"/>
        <w:rPr>
          <w:rFonts w:hint="eastAsia" w:ascii="宋体" w:hAnsi="宋体" w:cs="宋体"/>
          <w:sz w:val="18"/>
          <w:szCs w:val="18"/>
        </w:rPr>
      </w:pPr>
      <w:r>
        <w:rPr>
          <w:rFonts w:ascii="宋体" w:hAnsi="宋体" w:cs="宋体"/>
          <w:sz w:val="18"/>
          <w:szCs w:val="18"/>
        </w:rPr>
        <w:t>上述财务指标或其加总数是否与公司已披露季度报告、半年度报告相关财务指标存在重大差异</w:t>
      </w:r>
    </w:p>
    <w:p w14:paraId="67411EEA">
      <w:pPr>
        <w:spacing w:before="100" w:after="100" w:line="240" w:lineRule="exact"/>
        <w:jc w:val="left"/>
        <w:rPr>
          <w:rFonts w:hint="eastAsia" w:ascii="宋体" w:hAnsi="宋体" w:cs="宋体"/>
          <w:sz w:val="18"/>
          <w:szCs w:val="18"/>
        </w:rPr>
      </w:pPr>
      <w:r>
        <w:rPr>
          <w:rFonts w:ascii="宋体" w:hAnsi="宋体" w:cs="宋体"/>
          <w:sz w:val="18"/>
          <w:szCs w:val="18"/>
        </w:rPr>
        <w:t xml:space="preserve">□是 </w:t>
      </w:r>
      <w:r>
        <w:rPr>
          <w:rFonts w:ascii="宋体" w:hAnsi="宋体" w:cs="宋体"/>
          <w:sz w:val="18"/>
          <w:szCs w:val="18"/>
        </w:rPr>
        <w:sym w:font="Wingdings 2" w:char="F052"/>
      </w:r>
      <w:r>
        <w:rPr>
          <w:rFonts w:ascii="宋体" w:hAnsi="宋体" w:cs="宋体"/>
          <w:sz w:val="18"/>
          <w:szCs w:val="18"/>
        </w:rPr>
        <w:t>否</w:t>
      </w:r>
    </w:p>
    <w:p w14:paraId="484BD98A">
      <w:pPr>
        <w:keepNext/>
        <w:keepLines/>
        <w:spacing w:before="300" w:after="300" w:line="280" w:lineRule="exact"/>
        <w:jc w:val="left"/>
        <w:outlineLvl w:val="2"/>
        <w:rPr>
          <w:rFonts w:hint="eastAsia" w:ascii="宋体" w:hAnsi="宋体" w:cs="宋体"/>
          <w:b/>
          <w:bCs/>
          <w:szCs w:val="21"/>
        </w:rPr>
      </w:pPr>
      <w:bookmarkStart w:id="8" w:name="_Toc988896"/>
      <w:r>
        <w:rPr>
          <w:rFonts w:ascii="宋体" w:hAnsi="宋体" w:cs="宋体"/>
          <w:b/>
          <w:bCs/>
          <w:szCs w:val="21"/>
        </w:rPr>
        <w:t>4、股本及股东情况</w:t>
      </w:r>
      <w:bookmarkEnd w:id="8"/>
    </w:p>
    <w:p w14:paraId="20E55781">
      <w:pPr>
        <w:keepNext/>
        <w:keepLines/>
        <w:spacing w:before="300" w:after="300" w:line="280" w:lineRule="exact"/>
        <w:jc w:val="left"/>
        <w:outlineLvl w:val="3"/>
        <w:rPr>
          <w:rFonts w:hint="eastAsia" w:ascii="宋体" w:hAnsi="宋体" w:cs="宋体"/>
          <w:b/>
          <w:bCs/>
          <w:sz w:val="18"/>
          <w:szCs w:val="18"/>
        </w:rPr>
      </w:pPr>
      <w:bookmarkStart w:id="9" w:name="_Toc988897"/>
      <w:r>
        <w:rPr>
          <w:rFonts w:ascii="宋体" w:hAnsi="宋体" w:cs="宋体"/>
          <w:b/>
          <w:bCs/>
          <w:sz w:val="18"/>
          <w:szCs w:val="18"/>
        </w:rPr>
        <w:t>（1） 普通股股东和表决权恢复的优先股股东数量及前10名股东持股情况表</w:t>
      </w:r>
      <w:bookmarkEnd w:id="9"/>
    </w:p>
    <w:p w14:paraId="195AB793">
      <w:pPr>
        <w:spacing w:before="40" w:after="40" w:line="240" w:lineRule="exact"/>
        <w:jc w:val="right"/>
        <w:rPr>
          <w:rFonts w:hint="eastAsia" w:ascii="宋体" w:hAnsi="宋体" w:cs="宋体"/>
          <w:sz w:val="18"/>
          <w:szCs w:val="18"/>
        </w:rPr>
      </w:pPr>
      <w:r>
        <w:rPr>
          <w:rFonts w:ascii="宋体" w:hAnsi="宋体" w:cs="宋体"/>
          <w:sz w:val="18"/>
          <w:szCs w:val="18"/>
        </w:rPr>
        <w:t>单位：股</w:t>
      </w:r>
    </w:p>
    <w:tbl>
      <w:tblPr>
        <w:tblStyle w:val="3"/>
        <w:tblW w:w="963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6"/>
        <w:gridCol w:w="876"/>
        <w:gridCol w:w="876"/>
        <w:gridCol w:w="876"/>
        <w:gridCol w:w="333"/>
        <w:gridCol w:w="543"/>
        <w:gridCol w:w="287"/>
        <w:gridCol w:w="589"/>
        <w:gridCol w:w="841"/>
        <w:gridCol w:w="911"/>
        <w:gridCol w:w="529"/>
        <w:gridCol w:w="347"/>
        <w:gridCol w:w="293"/>
        <w:gridCol w:w="583"/>
        <w:gridCol w:w="876"/>
      </w:tblGrid>
      <w:tr w14:paraId="67ABB7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48412F5C">
            <w:pPr>
              <w:spacing w:before="40" w:after="40" w:line="240" w:lineRule="exact"/>
              <w:jc w:val="left"/>
              <w:rPr>
                <w:rFonts w:hint="eastAsia" w:ascii="宋体" w:hAnsi="宋体" w:cs="宋体"/>
                <w:sz w:val="18"/>
                <w:szCs w:val="18"/>
              </w:rPr>
            </w:pPr>
            <w:r>
              <w:rPr>
                <w:rFonts w:ascii="宋体" w:hAnsi="宋体" w:cs="宋体"/>
                <w:sz w:val="18"/>
                <w:szCs w:val="18"/>
              </w:rPr>
              <w:t>报告期末普通股股东总数</w:t>
            </w:r>
          </w:p>
        </w:tc>
        <w:tc>
          <w:tcPr>
            <w:tcW w:w="876" w:type="dxa"/>
            <w:tcBorders>
              <w:top w:val="single" w:color="auto" w:sz="2" w:space="0"/>
              <w:left w:val="single" w:color="auto" w:sz="2" w:space="0"/>
              <w:bottom w:val="single" w:color="auto" w:sz="2" w:space="0"/>
              <w:right w:val="single" w:color="auto" w:sz="2" w:space="0"/>
            </w:tcBorders>
            <w:vAlign w:val="center"/>
          </w:tcPr>
          <w:p w14:paraId="07C2B5AA">
            <w:pPr>
              <w:spacing w:line="240" w:lineRule="exact"/>
              <w:jc w:val="right"/>
              <w:rPr>
                <w:rFonts w:hint="eastAsia" w:ascii="宋体" w:hAnsi="宋体" w:cs="宋体"/>
                <w:sz w:val="18"/>
                <w:szCs w:val="18"/>
              </w:rPr>
            </w:pPr>
            <w:r>
              <w:rPr>
                <w:rFonts w:ascii="宋体" w:hAnsi="宋体" w:cs="宋体"/>
                <w:sz w:val="18"/>
                <w:szCs w:val="18"/>
              </w:rPr>
              <w:t>16,569</w:t>
            </w:r>
          </w:p>
        </w:tc>
        <w:tc>
          <w:tcPr>
            <w:tcW w:w="876" w:type="dxa"/>
            <w:tcBorders>
              <w:top w:val="single" w:color="auto" w:sz="2" w:space="0"/>
              <w:left w:val="single" w:color="auto" w:sz="2" w:space="0"/>
              <w:bottom w:val="single" w:color="auto" w:sz="2" w:space="0"/>
              <w:right w:val="single" w:color="auto" w:sz="2" w:space="0"/>
            </w:tcBorders>
            <w:shd w:val="clear" w:color="auto" w:fill="D3D3D3"/>
            <w:vAlign w:val="center"/>
          </w:tcPr>
          <w:p w14:paraId="53BFFB0C">
            <w:pPr>
              <w:spacing w:before="40" w:after="40" w:line="240" w:lineRule="exact"/>
              <w:jc w:val="left"/>
              <w:rPr>
                <w:rFonts w:hint="eastAsia" w:ascii="宋体" w:hAnsi="宋体" w:cs="宋体"/>
                <w:sz w:val="18"/>
                <w:szCs w:val="18"/>
              </w:rPr>
            </w:pPr>
            <w:r>
              <w:rPr>
                <w:rFonts w:ascii="宋体" w:hAnsi="宋体" w:cs="宋体"/>
                <w:sz w:val="18"/>
                <w:szCs w:val="18"/>
              </w:rPr>
              <w:t>年度报告披露日前一个月末普通股股东总数</w:t>
            </w:r>
          </w:p>
        </w:tc>
        <w:tc>
          <w:tcPr>
            <w:tcW w:w="876" w:type="dxa"/>
            <w:tcBorders>
              <w:top w:val="single" w:color="auto" w:sz="2" w:space="0"/>
              <w:left w:val="single" w:color="auto" w:sz="2" w:space="0"/>
              <w:bottom w:val="single" w:color="auto" w:sz="2" w:space="0"/>
              <w:right w:val="single" w:color="auto" w:sz="2" w:space="0"/>
            </w:tcBorders>
            <w:vAlign w:val="center"/>
          </w:tcPr>
          <w:p w14:paraId="070ECF5C">
            <w:pPr>
              <w:spacing w:line="240" w:lineRule="exact"/>
              <w:jc w:val="right"/>
              <w:rPr>
                <w:rFonts w:hint="eastAsia" w:ascii="宋体" w:hAnsi="宋体" w:cs="宋体"/>
                <w:sz w:val="18"/>
                <w:szCs w:val="18"/>
              </w:rPr>
            </w:pPr>
            <w:r>
              <w:rPr>
                <w:rFonts w:ascii="宋体" w:hAnsi="宋体" w:cs="宋体"/>
                <w:sz w:val="18"/>
                <w:szCs w:val="18"/>
              </w:rPr>
              <w:t>14,003</w:t>
            </w:r>
          </w:p>
        </w:tc>
        <w:tc>
          <w:tcPr>
            <w:tcW w:w="87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5E35A149">
            <w:pPr>
              <w:spacing w:before="40" w:after="40" w:line="240" w:lineRule="exact"/>
              <w:jc w:val="left"/>
              <w:rPr>
                <w:rFonts w:hint="eastAsia" w:ascii="宋体" w:hAnsi="宋体" w:cs="宋体"/>
                <w:sz w:val="18"/>
                <w:szCs w:val="18"/>
              </w:rPr>
            </w:pPr>
            <w:r>
              <w:rPr>
                <w:rFonts w:ascii="宋体" w:hAnsi="宋体" w:cs="宋体"/>
                <w:sz w:val="18"/>
                <w:szCs w:val="18"/>
              </w:rPr>
              <w:t>报告期末表决权恢复的优先股股东总数</w:t>
            </w:r>
          </w:p>
        </w:tc>
        <w:tc>
          <w:tcPr>
            <w:tcW w:w="876" w:type="dxa"/>
            <w:gridSpan w:val="2"/>
            <w:tcBorders>
              <w:top w:val="single" w:color="auto" w:sz="2" w:space="0"/>
              <w:left w:val="single" w:color="auto" w:sz="2" w:space="0"/>
              <w:bottom w:val="single" w:color="auto" w:sz="2" w:space="0"/>
              <w:right w:val="single" w:color="auto" w:sz="2" w:space="0"/>
            </w:tcBorders>
            <w:vAlign w:val="center"/>
          </w:tcPr>
          <w:p w14:paraId="4A795572">
            <w:pPr>
              <w:spacing w:line="240" w:lineRule="exact"/>
              <w:jc w:val="right"/>
              <w:rPr>
                <w:rFonts w:hint="eastAsia" w:ascii="宋体" w:hAnsi="宋体" w:cs="宋体"/>
                <w:sz w:val="18"/>
                <w:szCs w:val="18"/>
              </w:rPr>
            </w:pPr>
            <w:r>
              <w:rPr>
                <w:rFonts w:ascii="宋体" w:hAnsi="宋体" w:cs="宋体"/>
                <w:sz w:val="18"/>
                <w:szCs w:val="18"/>
              </w:rPr>
              <w:t>0</w:t>
            </w:r>
          </w:p>
        </w:tc>
        <w:tc>
          <w:tcPr>
            <w:tcW w:w="175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2BCFCDC8">
            <w:pPr>
              <w:spacing w:before="40" w:after="40" w:line="240" w:lineRule="exact"/>
              <w:jc w:val="left"/>
              <w:rPr>
                <w:rFonts w:hint="eastAsia" w:ascii="宋体" w:hAnsi="宋体" w:cs="宋体"/>
                <w:sz w:val="18"/>
                <w:szCs w:val="18"/>
              </w:rPr>
            </w:pPr>
            <w:r>
              <w:rPr>
                <w:rFonts w:ascii="宋体" w:hAnsi="宋体" w:cs="宋体"/>
                <w:sz w:val="18"/>
                <w:szCs w:val="18"/>
              </w:rPr>
              <w:t>年度报告披露日前一个月末表决权恢复的优先股股东总数</w:t>
            </w:r>
          </w:p>
        </w:tc>
        <w:tc>
          <w:tcPr>
            <w:tcW w:w="876" w:type="dxa"/>
            <w:gridSpan w:val="2"/>
            <w:tcBorders>
              <w:top w:val="single" w:color="auto" w:sz="2" w:space="0"/>
              <w:left w:val="single" w:color="auto" w:sz="2" w:space="0"/>
              <w:bottom w:val="single" w:color="auto" w:sz="2" w:space="0"/>
              <w:right w:val="single" w:color="auto" w:sz="2" w:space="0"/>
            </w:tcBorders>
            <w:vAlign w:val="center"/>
          </w:tcPr>
          <w:p w14:paraId="5E16438D">
            <w:pPr>
              <w:spacing w:line="240" w:lineRule="exact"/>
              <w:jc w:val="right"/>
              <w:rPr>
                <w:rFonts w:hint="eastAsia" w:ascii="宋体" w:hAnsi="宋体" w:cs="宋体"/>
                <w:sz w:val="18"/>
                <w:szCs w:val="18"/>
              </w:rPr>
            </w:pPr>
            <w:r>
              <w:rPr>
                <w:rFonts w:ascii="宋体" w:hAnsi="宋体" w:cs="宋体"/>
                <w:sz w:val="18"/>
                <w:szCs w:val="18"/>
              </w:rPr>
              <w:t>0</w:t>
            </w:r>
          </w:p>
        </w:tc>
        <w:tc>
          <w:tcPr>
            <w:tcW w:w="876"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172A6685">
            <w:pPr>
              <w:spacing w:before="40" w:after="40" w:line="240" w:lineRule="exact"/>
              <w:jc w:val="left"/>
              <w:rPr>
                <w:rFonts w:hint="eastAsia" w:ascii="宋体" w:hAnsi="宋体" w:cs="宋体"/>
                <w:sz w:val="18"/>
                <w:szCs w:val="18"/>
              </w:rPr>
            </w:pPr>
            <w:r>
              <w:rPr>
                <w:rFonts w:ascii="宋体" w:hAnsi="宋体" w:cs="宋体"/>
                <w:sz w:val="18"/>
                <w:szCs w:val="18"/>
              </w:rPr>
              <w:t>持有特别表决权股份的股东总数（如有）</w:t>
            </w:r>
          </w:p>
        </w:tc>
        <w:tc>
          <w:tcPr>
            <w:tcW w:w="876" w:type="dxa"/>
            <w:tcBorders>
              <w:top w:val="single" w:color="auto" w:sz="2" w:space="0"/>
              <w:left w:val="single" w:color="auto" w:sz="2" w:space="0"/>
              <w:bottom w:val="single" w:color="auto" w:sz="2" w:space="0"/>
              <w:right w:val="single" w:color="auto" w:sz="2" w:space="0"/>
            </w:tcBorders>
            <w:vAlign w:val="center"/>
          </w:tcPr>
          <w:p w14:paraId="50ABBE2D">
            <w:pPr>
              <w:spacing w:line="240" w:lineRule="exact"/>
              <w:jc w:val="right"/>
              <w:rPr>
                <w:rFonts w:hint="eastAsia" w:ascii="宋体" w:hAnsi="宋体" w:cs="宋体"/>
                <w:sz w:val="18"/>
                <w:szCs w:val="18"/>
              </w:rPr>
            </w:pPr>
            <w:r>
              <w:rPr>
                <w:rFonts w:ascii="宋体" w:hAnsi="宋体" w:cs="宋体"/>
                <w:sz w:val="18"/>
                <w:szCs w:val="18"/>
              </w:rPr>
              <w:t>0</w:t>
            </w:r>
          </w:p>
        </w:tc>
      </w:tr>
      <w:tr w14:paraId="6C6B69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9636" w:type="dxa"/>
            <w:gridSpan w:val="15"/>
            <w:tcBorders>
              <w:top w:val="single" w:color="auto" w:sz="2" w:space="0"/>
              <w:left w:val="single" w:color="auto" w:sz="2" w:space="0"/>
              <w:bottom w:val="single" w:color="auto" w:sz="2" w:space="0"/>
              <w:right w:val="single" w:color="auto" w:sz="2" w:space="0"/>
            </w:tcBorders>
            <w:shd w:val="clear" w:color="auto" w:fill="D3D3D3"/>
            <w:vAlign w:val="center"/>
          </w:tcPr>
          <w:p w14:paraId="41AEDD45">
            <w:pPr>
              <w:spacing w:before="40" w:after="40" w:line="240" w:lineRule="exact"/>
              <w:jc w:val="center"/>
              <w:rPr>
                <w:rFonts w:hint="eastAsia" w:ascii="宋体" w:hAnsi="宋体" w:cs="宋体"/>
                <w:sz w:val="18"/>
                <w:szCs w:val="18"/>
              </w:rPr>
            </w:pPr>
            <w:r>
              <w:rPr>
                <w:rFonts w:ascii="宋体" w:hAnsi="宋体" w:cs="宋体"/>
                <w:sz w:val="18"/>
                <w:szCs w:val="18"/>
              </w:rPr>
              <w:t>前10名股东持股情况（不含通过转融通出借股份）</w:t>
            </w:r>
          </w:p>
        </w:tc>
      </w:tr>
      <w:tr w14:paraId="0F90AB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28" w:type="dxa"/>
            <w:gridSpan w:val="3"/>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6FBB0746">
            <w:pPr>
              <w:spacing w:before="40" w:after="40" w:line="240" w:lineRule="exact"/>
              <w:jc w:val="center"/>
              <w:rPr>
                <w:rFonts w:hint="eastAsia" w:ascii="宋体" w:hAnsi="宋体" w:cs="宋体"/>
                <w:sz w:val="18"/>
                <w:szCs w:val="18"/>
              </w:rPr>
            </w:pPr>
            <w:r>
              <w:rPr>
                <w:rFonts w:ascii="宋体" w:hAnsi="宋体" w:cs="宋体"/>
                <w:sz w:val="18"/>
                <w:szCs w:val="18"/>
              </w:rPr>
              <w:t>股东名称</w:t>
            </w:r>
          </w:p>
        </w:tc>
        <w:tc>
          <w:tcPr>
            <w:tcW w:w="1209" w:type="dxa"/>
            <w:gridSpan w:val="2"/>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512F60C">
            <w:pPr>
              <w:spacing w:before="40" w:after="40" w:line="240" w:lineRule="exact"/>
              <w:jc w:val="center"/>
              <w:rPr>
                <w:rFonts w:hint="eastAsia" w:ascii="宋体" w:hAnsi="宋体" w:cs="宋体"/>
                <w:sz w:val="18"/>
                <w:szCs w:val="18"/>
              </w:rPr>
            </w:pPr>
            <w:r>
              <w:rPr>
                <w:rFonts w:ascii="宋体" w:hAnsi="宋体" w:cs="宋体"/>
                <w:sz w:val="18"/>
                <w:szCs w:val="18"/>
              </w:rPr>
              <w:t>股东性质</w:t>
            </w:r>
          </w:p>
        </w:tc>
        <w:tc>
          <w:tcPr>
            <w:tcW w:w="830" w:type="dxa"/>
            <w:gridSpan w:val="2"/>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37620AB">
            <w:pPr>
              <w:spacing w:before="40" w:after="40" w:line="240" w:lineRule="exact"/>
              <w:jc w:val="center"/>
              <w:rPr>
                <w:rFonts w:hint="eastAsia" w:ascii="宋体" w:hAnsi="宋体" w:cs="宋体"/>
                <w:sz w:val="18"/>
                <w:szCs w:val="18"/>
              </w:rPr>
            </w:pPr>
            <w:r>
              <w:rPr>
                <w:rFonts w:ascii="宋体" w:hAnsi="宋体" w:cs="宋体"/>
                <w:sz w:val="18"/>
                <w:szCs w:val="18"/>
              </w:rPr>
              <w:t>持股比例</w:t>
            </w:r>
          </w:p>
        </w:tc>
        <w:tc>
          <w:tcPr>
            <w:tcW w:w="1430" w:type="dxa"/>
            <w:gridSpan w:val="2"/>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15D03922">
            <w:pPr>
              <w:spacing w:before="40" w:after="40" w:line="240" w:lineRule="exact"/>
              <w:jc w:val="center"/>
              <w:rPr>
                <w:rFonts w:hint="eastAsia" w:ascii="宋体" w:hAnsi="宋体" w:cs="宋体"/>
                <w:sz w:val="18"/>
                <w:szCs w:val="18"/>
              </w:rPr>
            </w:pPr>
            <w:r>
              <w:rPr>
                <w:rFonts w:ascii="宋体" w:hAnsi="宋体" w:cs="宋体"/>
                <w:sz w:val="18"/>
                <w:szCs w:val="18"/>
              </w:rPr>
              <w:t>持股数量</w:t>
            </w:r>
          </w:p>
        </w:tc>
        <w:tc>
          <w:tcPr>
            <w:tcW w:w="1440" w:type="dxa"/>
            <w:gridSpan w:val="2"/>
            <w:vMerge w:val="restart"/>
            <w:tcBorders>
              <w:top w:val="single" w:color="auto" w:sz="2" w:space="0"/>
              <w:left w:val="single" w:color="auto" w:sz="2" w:space="0"/>
              <w:bottom w:val="single" w:color="auto" w:sz="2" w:space="0"/>
              <w:right w:val="single" w:color="auto" w:sz="2" w:space="0"/>
            </w:tcBorders>
            <w:shd w:val="clear" w:color="auto" w:fill="D3D3D3"/>
            <w:vAlign w:val="center"/>
          </w:tcPr>
          <w:p w14:paraId="702C8E50">
            <w:pPr>
              <w:spacing w:before="40" w:after="40" w:line="240" w:lineRule="exact"/>
              <w:jc w:val="center"/>
              <w:rPr>
                <w:rFonts w:hint="eastAsia" w:ascii="宋体" w:hAnsi="宋体" w:cs="宋体"/>
                <w:sz w:val="18"/>
                <w:szCs w:val="18"/>
              </w:rPr>
            </w:pPr>
            <w:r>
              <w:rPr>
                <w:rFonts w:ascii="宋体" w:hAnsi="宋体" w:cs="宋体"/>
                <w:sz w:val="18"/>
                <w:szCs w:val="18"/>
              </w:rPr>
              <w:t>持有有限售条件的股份数量</w:t>
            </w:r>
          </w:p>
        </w:tc>
        <w:tc>
          <w:tcPr>
            <w:tcW w:w="2099" w:type="dxa"/>
            <w:gridSpan w:val="4"/>
            <w:tcBorders>
              <w:top w:val="single" w:color="auto" w:sz="2" w:space="0"/>
              <w:left w:val="single" w:color="auto" w:sz="2" w:space="0"/>
              <w:bottom w:val="single" w:color="auto" w:sz="2" w:space="0"/>
              <w:right w:val="single" w:color="auto" w:sz="2" w:space="0"/>
            </w:tcBorders>
            <w:shd w:val="clear" w:color="auto" w:fill="D3D3D3"/>
            <w:vAlign w:val="center"/>
          </w:tcPr>
          <w:p w14:paraId="785C7F68">
            <w:pPr>
              <w:spacing w:before="40" w:after="40" w:line="240" w:lineRule="exact"/>
              <w:jc w:val="center"/>
              <w:rPr>
                <w:rFonts w:hint="eastAsia" w:ascii="宋体" w:hAnsi="宋体" w:cs="宋体"/>
                <w:sz w:val="18"/>
                <w:szCs w:val="18"/>
              </w:rPr>
            </w:pPr>
            <w:r>
              <w:rPr>
                <w:rFonts w:ascii="宋体" w:hAnsi="宋体" w:cs="宋体"/>
                <w:sz w:val="18"/>
                <w:szCs w:val="18"/>
              </w:rPr>
              <w:t>质押、标记或冻结情况</w:t>
            </w:r>
          </w:p>
        </w:tc>
      </w:tr>
      <w:tr w14:paraId="32F16B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28" w:type="dxa"/>
            <w:gridSpan w:val="3"/>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3C1B840E"/>
        </w:tc>
        <w:tc>
          <w:tcPr>
            <w:tcW w:w="1209" w:type="dxa"/>
            <w:gridSpan w:val="2"/>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6A5E9DA"/>
        </w:tc>
        <w:tc>
          <w:tcPr>
            <w:tcW w:w="830" w:type="dxa"/>
            <w:gridSpan w:val="2"/>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2608FEBA"/>
        </w:tc>
        <w:tc>
          <w:tcPr>
            <w:tcW w:w="1430" w:type="dxa"/>
            <w:gridSpan w:val="2"/>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4220F7B1"/>
        </w:tc>
        <w:tc>
          <w:tcPr>
            <w:tcW w:w="1440" w:type="dxa"/>
            <w:gridSpan w:val="2"/>
            <w:vMerge w:val="continue"/>
            <w:tcBorders>
              <w:top w:val="single" w:color="auto" w:sz="2" w:space="0"/>
              <w:left w:val="single" w:color="auto" w:sz="2" w:space="0"/>
              <w:bottom w:val="single" w:color="auto" w:sz="2" w:space="0"/>
              <w:right w:val="single" w:color="auto" w:sz="2" w:space="0"/>
            </w:tcBorders>
            <w:shd w:val="clear" w:color="auto" w:fill="D3D3D3"/>
            <w:vAlign w:val="center"/>
          </w:tcPr>
          <w:p w14:paraId="05CB1E24"/>
        </w:tc>
        <w:tc>
          <w:tcPr>
            <w:tcW w:w="640"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5C500093">
            <w:pPr>
              <w:spacing w:before="40" w:after="40" w:line="240" w:lineRule="exact"/>
              <w:jc w:val="center"/>
              <w:rPr>
                <w:rFonts w:hint="eastAsia" w:ascii="宋体" w:hAnsi="宋体" w:cs="宋体"/>
                <w:sz w:val="18"/>
                <w:szCs w:val="18"/>
              </w:rPr>
            </w:pPr>
            <w:r>
              <w:rPr>
                <w:rFonts w:ascii="宋体" w:hAnsi="宋体" w:cs="宋体"/>
                <w:sz w:val="18"/>
                <w:szCs w:val="18"/>
              </w:rPr>
              <w:t>股份状态</w:t>
            </w:r>
          </w:p>
        </w:tc>
        <w:tc>
          <w:tcPr>
            <w:tcW w:w="1459"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0432FBC5">
            <w:pPr>
              <w:spacing w:before="40" w:after="40" w:line="240" w:lineRule="exact"/>
              <w:jc w:val="center"/>
              <w:rPr>
                <w:rFonts w:hint="eastAsia" w:ascii="宋体" w:hAnsi="宋体" w:cs="宋体"/>
                <w:sz w:val="18"/>
                <w:szCs w:val="18"/>
              </w:rPr>
            </w:pPr>
            <w:r>
              <w:rPr>
                <w:rFonts w:ascii="宋体" w:hAnsi="宋体" w:cs="宋体"/>
                <w:sz w:val="18"/>
                <w:szCs w:val="18"/>
              </w:rPr>
              <w:t>数量</w:t>
            </w:r>
          </w:p>
        </w:tc>
      </w:tr>
      <w:tr w14:paraId="019A66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28" w:type="dxa"/>
            <w:gridSpan w:val="3"/>
            <w:tcBorders>
              <w:top w:val="single" w:color="auto" w:sz="2" w:space="0"/>
              <w:left w:val="single" w:color="auto" w:sz="2" w:space="0"/>
              <w:bottom w:val="single" w:color="auto" w:sz="2" w:space="0"/>
              <w:right w:val="single" w:color="auto" w:sz="2" w:space="0"/>
            </w:tcBorders>
            <w:vAlign w:val="center"/>
          </w:tcPr>
          <w:p w14:paraId="72B299D8">
            <w:pPr>
              <w:spacing w:line="240" w:lineRule="exact"/>
              <w:jc w:val="left"/>
              <w:rPr>
                <w:rFonts w:hint="eastAsia" w:ascii="宋体" w:hAnsi="宋体" w:cs="宋体"/>
                <w:sz w:val="18"/>
                <w:szCs w:val="18"/>
              </w:rPr>
            </w:pPr>
            <w:r>
              <w:rPr>
                <w:rFonts w:ascii="宋体" w:hAnsi="宋体" w:cs="宋体"/>
                <w:sz w:val="18"/>
                <w:szCs w:val="18"/>
              </w:rPr>
              <w:t>福建奥华集团有限公司</w:t>
            </w:r>
          </w:p>
        </w:tc>
        <w:tc>
          <w:tcPr>
            <w:tcW w:w="1209" w:type="dxa"/>
            <w:gridSpan w:val="2"/>
            <w:tcBorders>
              <w:top w:val="single" w:color="auto" w:sz="2" w:space="0"/>
              <w:left w:val="single" w:color="auto" w:sz="2" w:space="0"/>
              <w:bottom w:val="single" w:color="auto" w:sz="2" w:space="0"/>
              <w:right w:val="single" w:color="auto" w:sz="2" w:space="0"/>
            </w:tcBorders>
            <w:vAlign w:val="center"/>
          </w:tcPr>
          <w:p w14:paraId="48C4F997">
            <w:pPr>
              <w:spacing w:line="240" w:lineRule="exact"/>
              <w:jc w:val="left"/>
              <w:rPr>
                <w:rFonts w:hint="eastAsia" w:ascii="宋体" w:hAnsi="宋体" w:cs="宋体"/>
                <w:sz w:val="18"/>
                <w:szCs w:val="18"/>
              </w:rPr>
            </w:pPr>
            <w:r>
              <w:rPr>
                <w:rFonts w:ascii="宋体" w:hAnsi="宋体" w:cs="宋体"/>
                <w:sz w:val="18"/>
                <w:szCs w:val="18"/>
              </w:rPr>
              <w:t>境内非国有法人</w:t>
            </w:r>
          </w:p>
        </w:tc>
        <w:tc>
          <w:tcPr>
            <w:tcW w:w="830" w:type="dxa"/>
            <w:gridSpan w:val="2"/>
            <w:tcBorders>
              <w:top w:val="single" w:color="auto" w:sz="2" w:space="0"/>
              <w:left w:val="single" w:color="auto" w:sz="2" w:space="0"/>
              <w:bottom w:val="single" w:color="auto" w:sz="2" w:space="0"/>
              <w:right w:val="single" w:color="auto" w:sz="2" w:space="0"/>
            </w:tcBorders>
            <w:vAlign w:val="center"/>
          </w:tcPr>
          <w:p w14:paraId="47A7F517">
            <w:pPr>
              <w:spacing w:line="240" w:lineRule="exact"/>
              <w:jc w:val="right"/>
              <w:rPr>
                <w:rFonts w:hint="eastAsia" w:ascii="宋体" w:hAnsi="宋体" w:cs="宋体"/>
                <w:sz w:val="18"/>
                <w:szCs w:val="18"/>
              </w:rPr>
            </w:pPr>
            <w:r>
              <w:rPr>
                <w:rFonts w:ascii="宋体" w:hAnsi="宋体" w:cs="宋体"/>
                <w:sz w:val="18"/>
                <w:szCs w:val="18"/>
              </w:rPr>
              <w:t>22.02%</w:t>
            </w:r>
          </w:p>
        </w:tc>
        <w:tc>
          <w:tcPr>
            <w:tcW w:w="1430" w:type="dxa"/>
            <w:gridSpan w:val="2"/>
            <w:tcBorders>
              <w:top w:val="single" w:color="auto" w:sz="2" w:space="0"/>
              <w:left w:val="single" w:color="auto" w:sz="2" w:space="0"/>
              <w:bottom w:val="single" w:color="auto" w:sz="2" w:space="0"/>
              <w:right w:val="single" w:color="auto" w:sz="2" w:space="0"/>
            </w:tcBorders>
            <w:vAlign w:val="center"/>
          </w:tcPr>
          <w:p w14:paraId="11724807">
            <w:pPr>
              <w:spacing w:line="240" w:lineRule="exact"/>
              <w:jc w:val="right"/>
              <w:rPr>
                <w:rFonts w:hint="eastAsia" w:ascii="宋体" w:hAnsi="宋体" w:cs="宋体"/>
                <w:sz w:val="18"/>
                <w:szCs w:val="18"/>
              </w:rPr>
            </w:pPr>
            <w:r>
              <w:rPr>
                <w:rFonts w:ascii="宋体" w:hAnsi="宋体" w:cs="宋体"/>
                <w:sz w:val="18"/>
                <w:szCs w:val="18"/>
              </w:rPr>
              <w:t>35,068,651.00</w:t>
            </w:r>
          </w:p>
        </w:tc>
        <w:tc>
          <w:tcPr>
            <w:tcW w:w="1440" w:type="dxa"/>
            <w:gridSpan w:val="2"/>
            <w:tcBorders>
              <w:top w:val="single" w:color="auto" w:sz="2" w:space="0"/>
              <w:left w:val="single" w:color="auto" w:sz="2" w:space="0"/>
              <w:bottom w:val="single" w:color="auto" w:sz="2" w:space="0"/>
              <w:right w:val="single" w:color="auto" w:sz="2" w:space="0"/>
            </w:tcBorders>
            <w:vAlign w:val="center"/>
          </w:tcPr>
          <w:p w14:paraId="6841F1C2">
            <w:pPr>
              <w:spacing w:line="240" w:lineRule="exact"/>
              <w:jc w:val="right"/>
              <w:rPr>
                <w:rFonts w:hint="eastAsia" w:ascii="宋体" w:hAnsi="宋体" w:cs="宋体"/>
                <w:sz w:val="18"/>
                <w:szCs w:val="18"/>
              </w:rPr>
            </w:pPr>
            <w:r>
              <w:rPr>
                <w:rFonts w:ascii="宋体" w:hAnsi="宋体" w:cs="宋体"/>
                <w:sz w:val="18"/>
                <w:szCs w:val="18"/>
              </w:rPr>
              <w:t>0.00</w:t>
            </w:r>
          </w:p>
        </w:tc>
        <w:tc>
          <w:tcPr>
            <w:tcW w:w="640" w:type="dxa"/>
            <w:gridSpan w:val="2"/>
            <w:tcBorders>
              <w:top w:val="single" w:color="auto" w:sz="2" w:space="0"/>
              <w:left w:val="single" w:color="auto" w:sz="2" w:space="0"/>
              <w:bottom w:val="single" w:color="auto" w:sz="2" w:space="0"/>
              <w:right w:val="single" w:color="auto" w:sz="2" w:space="0"/>
            </w:tcBorders>
            <w:vAlign w:val="center"/>
          </w:tcPr>
          <w:p w14:paraId="44E488AD">
            <w:pPr>
              <w:spacing w:line="240" w:lineRule="exact"/>
              <w:jc w:val="left"/>
              <w:rPr>
                <w:rFonts w:hint="eastAsia" w:ascii="宋体" w:hAnsi="宋体" w:cs="宋体"/>
                <w:sz w:val="18"/>
                <w:szCs w:val="18"/>
              </w:rPr>
            </w:pPr>
            <w:r>
              <w:rPr>
                <w:rFonts w:ascii="宋体" w:hAnsi="宋体" w:cs="宋体"/>
                <w:sz w:val="18"/>
                <w:szCs w:val="18"/>
              </w:rPr>
              <w:t>质押</w:t>
            </w:r>
          </w:p>
        </w:tc>
        <w:tc>
          <w:tcPr>
            <w:tcW w:w="1459" w:type="dxa"/>
            <w:gridSpan w:val="2"/>
            <w:tcBorders>
              <w:top w:val="single" w:color="auto" w:sz="2" w:space="0"/>
              <w:left w:val="single" w:color="auto" w:sz="2" w:space="0"/>
              <w:bottom w:val="single" w:color="auto" w:sz="2" w:space="0"/>
              <w:right w:val="single" w:color="auto" w:sz="2" w:space="0"/>
            </w:tcBorders>
            <w:vAlign w:val="center"/>
          </w:tcPr>
          <w:p w14:paraId="0E5C2F97">
            <w:pPr>
              <w:spacing w:line="240" w:lineRule="exact"/>
              <w:jc w:val="right"/>
              <w:rPr>
                <w:rFonts w:hint="eastAsia" w:ascii="宋体" w:hAnsi="宋体" w:cs="宋体"/>
                <w:sz w:val="18"/>
                <w:szCs w:val="18"/>
              </w:rPr>
            </w:pPr>
            <w:r>
              <w:rPr>
                <w:rFonts w:ascii="宋体" w:hAnsi="宋体" w:cs="宋体"/>
                <w:sz w:val="18"/>
                <w:szCs w:val="18"/>
              </w:rPr>
              <w:t>26,110,000.00</w:t>
            </w:r>
          </w:p>
        </w:tc>
      </w:tr>
      <w:tr w14:paraId="7BAE7C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28" w:type="dxa"/>
            <w:gridSpan w:val="3"/>
            <w:tcBorders>
              <w:top w:val="single" w:color="auto" w:sz="2" w:space="0"/>
              <w:left w:val="single" w:color="auto" w:sz="2" w:space="0"/>
              <w:bottom w:val="single" w:color="auto" w:sz="2" w:space="0"/>
              <w:right w:val="single" w:color="auto" w:sz="2" w:space="0"/>
            </w:tcBorders>
            <w:vAlign w:val="center"/>
          </w:tcPr>
          <w:p w14:paraId="1B4A1BC0">
            <w:pPr>
              <w:spacing w:line="240" w:lineRule="exact"/>
              <w:jc w:val="left"/>
              <w:rPr>
                <w:rFonts w:hint="eastAsia" w:ascii="宋体" w:hAnsi="宋体" w:cs="宋体"/>
                <w:sz w:val="18"/>
                <w:szCs w:val="18"/>
              </w:rPr>
            </w:pPr>
            <w:r>
              <w:rPr>
                <w:rFonts w:ascii="宋体" w:hAnsi="宋体" w:cs="宋体"/>
                <w:sz w:val="18"/>
                <w:szCs w:val="18"/>
              </w:rPr>
              <w:t>叶理青</w:t>
            </w:r>
          </w:p>
        </w:tc>
        <w:tc>
          <w:tcPr>
            <w:tcW w:w="1209" w:type="dxa"/>
            <w:gridSpan w:val="2"/>
            <w:tcBorders>
              <w:top w:val="single" w:color="auto" w:sz="2" w:space="0"/>
              <w:left w:val="single" w:color="auto" w:sz="2" w:space="0"/>
              <w:bottom w:val="single" w:color="auto" w:sz="2" w:space="0"/>
              <w:right w:val="single" w:color="auto" w:sz="2" w:space="0"/>
            </w:tcBorders>
            <w:vAlign w:val="center"/>
          </w:tcPr>
          <w:p w14:paraId="0517677A">
            <w:pPr>
              <w:spacing w:line="240" w:lineRule="exact"/>
              <w:jc w:val="left"/>
              <w:rPr>
                <w:rFonts w:hint="eastAsia" w:ascii="宋体" w:hAnsi="宋体" w:cs="宋体"/>
                <w:sz w:val="18"/>
                <w:szCs w:val="18"/>
              </w:rPr>
            </w:pPr>
            <w:r>
              <w:rPr>
                <w:rFonts w:ascii="宋体" w:hAnsi="宋体" w:cs="宋体"/>
                <w:sz w:val="18"/>
                <w:szCs w:val="18"/>
              </w:rPr>
              <w:t>境内自然人</w:t>
            </w:r>
          </w:p>
        </w:tc>
        <w:tc>
          <w:tcPr>
            <w:tcW w:w="830" w:type="dxa"/>
            <w:gridSpan w:val="2"/>
            <w:tcBorders>
              <w:top w:val="single" w:color="auto" w:sz="2" w:space="0"/>
              <w:left w:val="single" w:color="auto" w:sz="2" w:space="0"/>
              <w:bottom w:val="single" w:color="auto" w:sz="2" w:space="0"/>
              <w:right w:val="single" w:color="auto" w:sz="2" w:space="0"/>
            </w:tcBorders>
            <w:vAlign w:val="center"/>
          </w:tcPr>
          <w:p w14:paraId="6DE96050">
            <w:pPr>
              <w:spacing w:line="240" w:lineRule="exact"/>
              <w:jc w:val="right"/>
              <w:rPr>
                <w:rFonts w:hint="eastAsia" w:ascii="宋体" w:hAnsi="宋体" w:cs="宋体"/>
                <w:sz w:val="18"/>
                <w:szCs w:val="18"/>
              </w:rPr>
            </w:pPr>
            <w:r>
              <w:rPr>
                <w:rFonts w:ascii="宋体" w:hAnsi="宋体" w:cs="宋体"/>
                <w:sz w:val="18"/>
                <w:szCs w:val="18"/>
              </w:rPr>
              <w:t>8.50%</w:t>
            </w:r>
          </w:p>
        </w:tc>
        <w:tc>
          <w:tcPr>
            <w:tcW w:w="1430" w:type="dxa"/>
            <w:gridSpan w:val="2"/>
            <w:tcBorders>
              <w:top w:val="single" w:color="auto" w:sz="2" w:space="0"/>
              <w:left w:val="single" w:color="auto" w:sz="2" w:space="0"/>
              <w:bottom w:val="single" w:color="auto" w:sz="2" w:space="0"/>
              <w:right w:val="single" w:color="auto" w:sz="2" w:space="0"/>
            </w:tcBorders>
            <w:vAlign w:val="center"/>
          </w:tcPr>
          <w:p w14:paraId="2D20CCF8">
            <w:pPr>
              <w:spacing w:line="240" w:lineRule="exact"/>
              <w:jc w:val="right"/>
              <w:rPr>
                <w:rFonts w:hint="eastAsia" w:ascii="宋体" w:hAnsi="宋体" w:cs="宋体"/>
                <w:sz w:val="18"/>
                <w:szCs w:val="18"/>
              </w:rPr>
            </w:pPr>
            <w:r>
              <w:rPr>
                <w:rFonts w:ascii="宋体" w:hAnsi="宋体" w:cs="宋体"/>
                <w:sz w:val="18"/>
                <w:szCs w:val="18"/>
              </w:rPr>
              <w:t>13,536,700.00</w:t>
            </w:r>
          </w:p>
        </w:tc>
        <w:tc>
          <w:tcPr>
            <w:tcW w:w="1440" w:type="dxa"/>
            <w:gridSpan w:val="2"/>
            <w:tcBorders>
              <w:top w:val="single" w:color="auto" w:sz="2" w:space="0"/>
              <w:left w:val="single" w:color="auto" w:sz="2" w:space="0"/>
              <w:bottom w:val="single" w:color="auto" w:sz="2" w:space="0"/>
              <w:right w:val="single" w:color="auto" w:sz="2" w:space="0"/>
            </w:tcBorders>
            <w:vAlign w:val="center"/>
          </w:tcPr>
          <w:p w14:paraId="5E64178A">
            <w:pPr>
              <w:spacing w:line="240" w:lineRule="exact"/>
              <w:jc w:val="right"/>
              <w:rPr>
                <w:rFonts w:hint="eastAsia" w:ascii="宋体" w:hAnsi="宋体" w:cs="宋体"/>
                <w:sz w:val="18"/>
                <w:szCs w:val="18"/>
              </w:rPr>
            </w:pPr>
            <w:r>
              <w:rPr>
                <w:rFonts w:ascii="宋体" w:hAnsi="宋体" w:cs="宋体"/>
                <w:sz w:val="18"/>
                <w:szCs w:val="18"/>
              </w:rPr>
              <w:t>10,152,525.00</w:t>
            </w:r>
          </w:p>
        </w:tc>
        <w:tc>
          <w:tcPr>
            <w:tcW w:w="640" w:type="dxa"/>
            <w:gridSpan w:val="2"/>
            <w:tcBorders>
              <w:top w:val="single" w:color="auto" w:sz="2" w:space="0"/>
              <w:left w:val="single" w:color="auto" w:sz="2" w:space="0"/>
              <w:bottom w:val="single" w:color="auto" w:sz="2" w:space="0"/>
              <w:right w:val="single" w:color="auto" w:sz="2" w:space="0"/>
            </w:tcBorders>
            <w:vAlign w:val="center"/>
          </w:tcPr>
          <w:p w14:paraId="40E7F3FB">
            <w:pPr>
              <w:spacing w:line="240" w:lineRule="exact"/>
              <w:jc w:val="left"/>
              <w:rPr>
                <w:rFonts w:hint="eastAsia" w:ascii="宋体" w:hAnsi="宋体" w:cs="宋体"/>
                <w:sz w:val="18"/>
                <w:szCs w:val="18"/>
              </w:rPr>
            </w:pPr>
            <w:r>
              <w:rPr>
                <w:rFonts w:ascii="宋体" w:hAnsi="宋体" w:cs="宋体"/>
                <w:sz w:val="18"/>
                <w:szCs w:val="18"/>
              </w:rPr>
              <w:t>不适用</w:t>
            </w:r>
          </w:p>
        </w:tc>
        <w:tc>
          <w:tcPr>
            <w:tcW w:w="1459" w:type="dxa"/>
            <w:gridSpan w:val="2"/>
            <w:tcBorders>
              <w:top w:val="single" w:color="auto" w:sz="2" w:space="0"/>
              <w:left w:val="single" w:color="auto" w:sz="2" w:space="0"/>
              <w:bottom w:val="single" w:color="auto" w:sz="2" w:space="0"/>
              <w:right w:val="single" w:color="auto" w:sz="2" w:space="0"/>
            </w:tcBorders>
            <w:vAlign w:val="center"/>
          </w:tcPr>
          <w:p w14:paraId="1D87BEC6">
            <w:pPr>
              <w:spacing w:line="240" w:lineRule="exact"/>
              <w:jc w:val="right"/>
              <w:rPr>
                <w:rFonts w:hint="eastAsia" w:ascii="宋体" w:hAnsi="宋体" w:cs="宋体"/>
                <w:sz w:val="18"/>
                <w:szCs w:val="18"/>
              </w:rPr>
            </w:pPr>
            <w:r>
              <w:rPr>
                <w:rFonts w:ascii="宋体" w:hAnsi="宋体" w:cs="宋体"/>
                <w:sz w:val="18"/>
                <w:szCs w:val="18"/>
              </w:rPr>
              <w:t>0.00</w:t>
            </w:r>
          </w:p>
        </w:tc>
      </w:tr>
      <w:tr w14:paraId="6AF9D4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28" w:type="dxa"/>
            <w:gridSpan w:val="3"/>
            <w:vMerge w:val="restart"/>
            <w:tcBorders>
              <w:top w:val="single" w:color="auto" w:sz="2" w:space="0"/>
              <w:left w:val="single" w:color="auto" w:sz="2" w:space="0"/>
              <w:right w:val="single" w:color="auto" w:sz="2" w:space="0"/>
            </w:tcBorders>
            <w:vAlign w:val="center"/>
          </w:tcPr>
          <w:p w14:paraId="6FED507D">
            <w:pPr>
              <w:spacing w:line="240" w:lineRule="exact"/>
              <w:jc w:val="left"/>
              <w:rPr>
                <w:rFonts w:hint="eastAsia" w:ascii="宋体" w:hAnsi="宋体" w:cs="宋体"/>
                <w:sz w:val="18"/>
                <w:szCs w:val="18"/>
              </w:rPr>
            </w:pPr>
            <w:r>
              <w:rPr>
                <w:rFonts w:ascii="宋体" w:hAnsi="宋体" w:cs="宋体"/>
                <w:sz w:val="18"/>
                <w:szCs w:val="18"/>
              </w:rPr>
              <w:t>李国平</w:t>
            </w:r>
          </w:p>
        </w:tc>
        <w:tc>
          <w:tcPr>
            <w:tcW w:w="1209" w:type="dxa"/>
            <w:gridSpan w:val="2"/>
            <w:vMerge w:val="restart"/>
            <w:tcBorders>
              <w:top w:val="single" w:color="auto" w:sz="2" w:space="0"/>
              <w:left w:val="single" w:color="auto" w:sz="2" w:space="0"/>
              <w:right w:val="single" w:color="auto" w:sz="2" w:space="0"/>
            </w:tcBorders>
            <w:vAlign w:val="center"/>
          </w:tcPr>
          <w:p w14:paraId="7E35C3D1">
            <w:pPr>
              <w:spacing w:line="240" w:lineRule="exact"/>
              <w:jc w:val="left"/>
              <w:rPr>
                <w:rFonts w:hint="eastAsia" w:ascii="宋体" w:hAnsi="宋体" w:cs="宋体"/>
                <w:sz w:val="18"/>
                <w:szCs w:val="18"/>
              </w:rPr>
            </w:pPr>
            <w:r>
              <w:rPr>
                <w:rFonts w:ascii="宋体" w:hAnsi="宋体" w:cs="宋体"/>
                <w:sz w:val="18"/>
                <w:szCs w:val="18"/>
              </w:rPr>
              <w:t>境内自然人</w:t>
            </w:r>
          </w:p>
        </w:tc>
        <w:tc>
          <w:tcPr>
            <w:tcW w:w="830" w:type="dxa"/>
            <w:gridSpan w:val="2"/>
            <w:vMerge w:val="restart"/>
            <w:tcBorders>
              <w:top w:val="single" w:color="auto" w:sz="2" w:space="0"/>
              <w:left w:val="single" w:color="auto" w:sz="2" w:space="0"/>
              <w:right w:val="single" w:color="auto" w:sz="2" w:space="0"/>
            </w:tcBorders>
            <w:vAlign w:val="center"/>
          </w:tcPr>
          <w:p w14:paraId="6FA6253B">
            <w:pPr>
              <w:spacing w:line="240" w:lineRule="exact"/>
              <w:jc w:val="right"/>
              <w:rPr>
                <w:rFonts w:hint="eastAsia" w:ascii="宋体" w:hAnsi="宋体" w:cs="宋体"/>
                <w:sz w:val="18"/>
                <w:szCs w:val="18"/>
              </w:rPr>
            </w:pPr>
            <w:r>
              <w:rPr>
                <w:rFonts w:ascii="宋体" w:hAnsi="宋体" w:cs="宋体"/>
                <w:sz w:val="18"/>
                <w:szCs w:val="18"/>
              </w:rPr>
              <w:t>5.65%</w:t>
            </w:r>
          </w:p>
        </w:tc>
        <w:tc>
          <w:tcPr>
            <w:tcW w:w="1430" w:type="dxa"/>
            <w:gridSpan w:val="2"/>
            <w:vMerge w:val="restart"/>
            <w:tcBorders>
              <w:top w:val="single" w:color="auto" w:sz="2" w:space="0"/>
              <w:left w:val="single" w:color="auto" w:sz="2" w:space="0"/>
              <w:right w:val="single" w:color="auto" w:sz="2" w:space="0"/>
            </w:tcBorders>
            <w:vAlign w:val="center"/>
          </w:tcPr>
          <w:p w14:paraId="53EF2F76">
            <w:pPr>
              <w:spacing w:line="240" w:lineRule="exact"/>
              <w:jc w:val="right"/>
              <w:rPr>
                <w:rFonts w:hint="eastAsia" w:ascii="宋体" w:hAnsi="宋体" w:cs="宋体"/>
                <w:sz w:val="18"/>
                <w:szCs w:val="18"/>
              </w:rPr>
            </w:pPr>
            <w:r>
              <w:rPr>
                <w:rFonts w:ascii="宋体" w:hAnsi="宋体" w:cs="宋体"/>
                <w:sz w:val="18"/>
                <w:szCs w:val="18"/>
              </w:rPr>
              <w:t>9,000,941.00</w:t>
            </w:r>
          </w:p>
        </w:tc>
        <w:tc>
          <w:tcPr>
            <w:tcW w:w="1440" w:type="dxa"/>
            <w:gridSpan w:val="2"/>
            <w:vMerge w:val="restart"/>
            <w:tcBorders>
              <w:top w:val="single" w:color="auto" w:sz="2" w:space="0"/>
              <w:left w:val="single" w:color="auto" w:sz="2" w:space="0"/>
              <w:right w:val="single" w:color="auto" w:sz="2" w:space="0"/>
            </w:tcBorders>
            <w:vAlign w:val="center"/>
          </w:tcPr>
          <w:p w14:paraId="19FC926B">
            <w:pPr>
              <w:spacing w:line="240" w:lineRule="exact"/>
              <w:jc w:val="right"/>
              <w:rPr>
                <w:rFonts w:hint="eastAsia" w:ascii="宋体" w:hAnsi="宋体" w:cs="宋体"/>
                <w:sz w:val="18"/>
                <w:szCs w:val="18"/>
              </w:rPr>
            </w:pPr>
            <w:r>
              <w:rPr>
                <w:rFonts w:ascii="宋体" w:hAnsi="宋体" w:cs="宋体"/>
                <w:sz w:val="18"/>
                <w:szCs w:val="18"/>
              </w:rPr>
              <w:t>6,750,706.00</w:t>
            </w:r>
          </w:p>
        </w:tc>
        <w:tc>
          <w:tcPr>
            <w:tcW w:w="640" w:type="dxa"/>
            <w:gridSpan w:val="2"/>
            <w:tcBorders>
              <w:top w:val="single" w:color="auto" w:sz="2" w:space="0"/>
              <w:left w:val="single" w:color="auto" w:sz="2" w:space="0"/>
              <w:bottom w:val="single" w:color="auto" w:sz="2" w:space="0"/>
              <w:right w:val="single" w:color="auto" w:sz="2" w:space="0"/>
            </w:tcBorders>
            <w:vAlign w:val="center"/>
          </w:tcPr>
          <w:p w14:paraId="0989D077">
            <w:pPr>
              <w:spacing w:line="240" w:lineRule="exact"/>
              <w:jc w:val="left"/>
              <w:rPr>
                <w:rFonts w:hint="eastAsia" w:ascii="宋体" w:hAnsi="宋体" w:cs="宋体"/>
                <w:sz w:val="18"/>
                <w:szCs w:val="18"/>
              </w:rPr>
            </w:pPr>
            <w:r>
              <w:rPr>
                <w:rFonts w:ascii="宋体" w:hAnsi="宋体" w:cs="宋体"/>
                <w:sz w:val="18"/>
                <w:szCs w:val="18"/>
              </w:rPr>
              <w:t>质押</w:t>
            </w:r>
          </w:p>
        </w:tc>
        <w:tc>
          <w:tcPr>
            <w:tcW w:w="1459" w:type="dxa"/>
            <w:gridSpan w:val="2"/>
            <w:tcBorders>
              <w:top w:val="single" w:color="auto" w:sz="2" w:space="0"/>
              <w:left w:val="single" w:color="auto" w:sz="2" w:space="0"/>
              <w:bottom w:val="single" w:color="auto" w:sz="2" w:space="0"/>
              <w:right w:val="single" w:color="auto" w:sz="2" w:space="0"/>
            </w:tcBorders>
            <w:vAlign w:val="center"/>
          </w:tcPr>
          <w:p w14:paraId="070F248C">
            <w:pPr>
              <w:spacing w:line="240" w:lineRule="exact"/>
              <w:jc w:val="right"/>
              <w:rPr>
                <w:rFonts w:hint="eastAsia" w:ascii="宋体" w:hAnsi="宋体" w:cs="宋体"/>
                <w:sz w:val="18"/>
                <w:szCs w:val="18"/>
              </w:rPr>
            </w:pPr>
            <w:r>
              <w:rPr>
                <w:rFonts w:hint="eastAsia" w:ascii="宋体" w:hAnsi="宋体" w:cs="宋体"/>
                <w:sz w:val="18"/>
                <w:szCs w:val="18"/>
              </w:rPr>
              <w:t>5,280,000</w:t>
            </w:r>
          </w:p>
        </w:tc>
      </w:tr>
      <w:tr w14:paraId="1BB920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28" w:type="dxa"/>
            <w:gridSpan w:val="3"/>
            <w:vMerge w:val="continue"/>
            <w:tcBorders>
              <w:left w:val="single" w:color="auto" w:sz="2" w:space="0"/>
              <w:bottom w:val="single" w:color="auto" w:sz="2" w:space="0"/>
              <w:right w:val="single" w:color="auto" w:sz="2" w:space="0"/>
            </w:tcBorders>
            <w:vAlign w:val="center"/>
          </w:tcPr>
          <w:p w14:paraId="0D6CEEB7">
            <w:pPr>
              <w:spacing w:line="240" w:lineRule="exact"/>
              <w:jc w:val="left"/>
              <w:rPr>
                <w:rFonts w:hint="eastAsia" w:ascii="宋体" w:hAnsi="宋体" w:cs="宋体"/>
                <w:sz w:val="18"/>
                <w:szCs w:val="18"/>
              </w:rPr>
            </w:pPr>
          </w:p>
        </w:tc>
        <w:tc>
          <w:tcPr>
            <w:tcW w:w="1209" w:type="dxa"/>
            <w:gridSpan w:val="2"/>
            <w:vMerge w:val="continue"/>
            <w:tcBorders>
              <w:left w:val="single" w:color="auto" w:sz="2" w:space="0"/>
              <w:bottom w:val="single" w:color="auto" w:sz="2" w:space="0"/>
              <w:right w:val="single" w:color="auto" w:sz="2" w:space="0"/>
            </w:tcBorders>
            <w:vAlign w:val="center"/>
          </w:tcPr>
          <w:p w14:paraId="270E9F40">
            <w:pPr>
              <w:spacing w:line="240" w:lineRule="exact"/>
              <w:jc w:val="left"/>
              <w:rPr>
                <w:rFonts w:hint="eastAsia" w:ascii="宋体" w:hAnsi="宋体" w:cs="宋体"/>
                <w:sz w:val="18"/>
                <w:szCs w:val="18"/>
              </w:rPr>
            </w:pPr>
          </w:p>
        </w:tc>
        <w:tc>
          <w:tcPr>
            <w:tcW w:w="830" w:type="dxa"/>
            <w:gridSpan w:val="2"/>
            <w:vMerge w:val="continue"/>
            <w:tcBorders>
              <w:left w:val="single" w:color="auto" w:sz="2" w:space="0"/>
              <w:bottom w:val="single" w:color="auto" w:sz="2" w:space="0"/>
              <w:right w:val="single" w:color="auto" w:sz="2" w:space="0"/>
            </w:tcBorders>
            <w:vAlign w:val="center"/>
          </w:tcPr>
          <w:p w14:paraId="770019A3">
            <w:pPr>
              <w:spacing w:line="240" w:lineRule="exact"/>
              <w:jc w:val="right"/>
              <w:rPr>
                <w:rFonts w:hint="eastAsia" w:ascii="宋体" w:hAnsi="宋体" w:cs="宋体"/>
                <w:sz w:val="18"/>
                <w:szCs w:val="18"/>
              </w:rPr>
            </w:pPr>
          </w:p>
        </w:tc>
        <w:tc>
          <w:tcPr>
            <w:tcW w:w="1430" w:type="dxa"/>
            <w:gridSpan w:val="2"/>
            <w:vMerge w:val="continue"/>
            <w:tcBorders>
              <w:left w:val="single" w:color="auto" w:sz="2" w:space="0"/>
              <w:bottom w:val="single" w:color="auto" w:sz="2" w:space="0"/>
              <w:right w:val="single" w:color="auto" w:sz="2" w:space="0"/>
            </w:tcBorders>
            <w:vAlign w:val="center"/>
          </w:tcPr>
          <w:p w14:paraId="59E475AE">
            <w:pPr>
              <w:spacing w:line="240" w:lineRule="exact"/>
              <w:jc w:val="right"/>
              <w:rPr>
                <w:rFonts w:hint="eastAsia" w:ascii="宋体" w:hAnsi="宋体" w:cs="宋体"/>
                <w:sz w:val="18"/>
                <w:szCs w:val="18"/>
              </w:rPr>
            </w:pPr>
          </w:p>
        </w:tc>
        <w:tc>
          <w:tcPr>
            <w:tcW w:w="1440" w:type="dxa"/>
            <w:gridSpan w:val="2"/>
            <w:vMerge w:val="continue"/>
            <w:tcBorders>
              <w:left w:val="single" w:color="auto" w:sz="2" w:space="0"/>
              <w:bottom w:val="single" w:color="auto" w:sz="2" w:space="0"/>
              <w:right w:val="single" w:color="auto" w:sz="2" w:space="0"/>
            </w:tcBorders>
            <w:vAlign w:val="center"/>
          </w:tcPr>
          <w:p w14:paraId="2C836A9B">
            <w:pPr>
              <w:spacing w:line="240" w:lineRule="exact"/>
              <w:jc w:val="right"/>
              <w:rPr>
                <w:rFonts w:hint="eastAsia" w:ascii="宋体" w:hAnsi="宋体" w:cs="宋体"/>
                <w:sz w:val="18"/>
                <w:szCs w:val="18"/>
              </w:rPr>
            </w:pPr>
          </w:p>
        </w:tc>
        <w:tc>
          <w:tcPr>
            <w:tcW w:w="640" w:type="dxa"/>
            <w:gridSpan w:val="2"/>
            <w:tcBorders>
              <w:top w:val="single" w:color="auto" w:sz="2" w:space="0"/>
              <w:left w:val="single" w:color="auto" w:sz="2" w:space="0"/>
              <w:bottom w:val="single" w:color="auto" w:sz="2" w:space="0"/>
              <w:right w:val="single" w:color="auto" w:sz="2" w:space="0"/>
            </w:tcBorders>
            <w:vAlign w:val="center"/>
          </w:tcPr>
          <w:p w14:paraId="489D8058">
            <w:pPr>
              <w:spacing w:line="240" w:lineRule="exact"/>
              <w:jc w:val="left"/>
              <w:rPr>
                <w:rFonts w:hint="eastAsia" w:ascii="宋体" w:hAnsi="宋体" w:cs="宋体"/>
                <w:sz w:val="18"/>
                <w:szCs w:val="18"/>
              </w:rPr>
            </w:pPr>
            <w:r>
              <w:rPr>
                <w:rFonts w:hint="eastAsia" w:ascii="宋体" w:hAnsi="宋体" w:cs="宋体"/>
                <w:sz w:val="18"/>
                <w:szCs w:val="18"/>
              </w:rPr>
              <w:t>冻结</w:t>
            </w:r>
          </w:p>
        </w:tc>
        <w:tc>
          <w:tcPr>
            <w:tcW w:w="1459" w:type="dxa"/>
            <w:gridSpan w:val="2"/>
            <w:tcBorders>
              <w:top w:val="single" w:color="auto" w:sz="2" w:space="0"/>
              <w:left w:val="single" w:color="auto" w:sz="2" w:space="0"/>
              <w:bottom w:val="single" w:color="auto" w:sz="2" w:space="0"/>
              <w:right w:val="single" w:color="auto" w:sz="2" w:space="0"/>
            </w:tcBorders>
            <w:vAlign w:val="center"/>
          </w:tcPr>
          <w:p w14:paraId="5D51871C">
            <w:pPr>
              <w:spacing w:line="240" w:lineRule="exact"/>
              <w:jc w:val="right"/>
              <w:rPr>
                <w:rFonts w:hint="eastAsia" w:ascii="宋体" w:hAnsi="宋体" w:cs="宋体"/>
                <w:sz w:val="18"/>
                <w:szCs w:val="18"/>
              </w:rPr>
            </w:pPr>
            <w:r>
              <w:rPr>
                <w:rFonts w:hint="eastAsia" w:ascii="宋体" w:hAnsi="宋体" w:cs="宋体"/>
                <w:sz w:val="18"/>
                <w:szCs w:val="18"/>
              </w:rPr>
              <w:t>3,100,000</w:t>
            </w:r>
          </w:p>
        </w:tc>
      </w:tr>
      <w:tr w14:paraId="7BFDC5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28" w:type="dxa"/>
            <w:gridSpan w:val="3"/>
            <w:tcBorders>
              <w:top w:val="single" w:color="auto" w:sz="2" w:space="0"/>
              <w:left w:val="single" w:color="auto" w:sz="2" w:space="0"/>
              <w:bottom w:val="single" w:color="auto" w:sz="2" w:space="0"/>
              <w:right w:val="single" w:color="auto" w:sz="2" w:space="0"/>
            </w:tcBorders>
            <w:vAlign w:val="center"/>
          </w:tcPr>
          <w:p w14:paraId="2821AF57">
            <w:pPr>
              <w:spacing w:line="240" w:lineRule="exact"/>
              <w:jc w:val="left"/>
              <w:rPr>
                <w:rFonts w:hint="eastAsia" w:ascii="宋体" w:hAnsi="宋体" w:cs="宋体"/>
                <w:sz w:val="18"/>
                <w:szCs w:val="18"/>
              </w:rPr>
            </w:pPr>
            <w:r>
              <w:rPr>
                <w:rFonts w:ascii="宋体" w:hAnsi="宋体" w:cs="宋体"/>
                <w:sz w:val="18"/>
                <w:szCs w:val="18"/>
              </w:rPr>
              <w:t>福建平潭奥泰科技投资中心（有限合伙）</w:t>
            </w:r>
          </w:p>
        </w:tc>
        <w:tc>
          <w:tcPr>
            <w:tcW w:w="1209" w:type="dxa"/>
            <w:gridSpan w:val="2"/>
            <w:tcBorders>
              <w:top w:val="single" w:color="auto" w:sz="2" w:space="0"/>
              <w:left w:val="single" w:color="auto" w:sz="2" w:space="0"/>
              <w:bottom w:val="single" w:color="auto" w:sz="2" w:space="0"/>
              <w:right w:val="single" w:color="auto" w:sz="2" w:space="0"/>
            </w:tcBorders>
            <w:vAlign w:val="center"/>
          </w:tcPr>
          <w:p w14:paraId="2F505D58">
            <w:pPr>
              <w:spacing w:line="240" w:lineRule="exact"/>
              <w:jc w:val="left"/>
              <w:rPr>
                <w:rFonts w:hint="eastAsia" w:ascii="宋体" w:hAnsi="宋体" w:cs="宋体"/>
                <w:sz w:val="18"/>
                <w:szCs w:val="18"/>
              </w:rPr>
            </w:pPr>
            <w:r>
              <w:rPr>
                <w:rFonts w:ascii="宋体" w:hAnsi="宋体" w:cs="宋体"/>
                <w:sz w:val="18"/>
                <w:szCs w:val="18"/>
              </w:rPr>
              <w:t>境内非国有法人</w:t>
            </w:r>
          </w:p>
        </w:tc>
        <w:tc>
          <w:tcPr>
            <w:tcW w:w="830" w:type="dxa"/>
            <w:gridSpan w:val="2"/>
            <w:tcBorders>
              <w:top w:val="single" w:color="auto" w:sz="2" w:space="0"/>
              <w:left w:val="single" w:color="auto" w:sz="2" w:space="0"/>
              <w:bottom w:val="single" w:color="auto" w:sz="2" w:space="0"/>
              <w:right w:val="single" w:color="auto" w:sz="2" w:space="0"/>
            </w:tcBorders>
            <w:vAlign w:val="center"/>
          </w:tcPr>
          <w:p w14:paraId="3919D069">
            <w:pPr>
              <w:spacing w:line="240" w:lineRule="exact"/>
              <w:jc w:val="right"/>
              <w:rPr>
                <w:rFonts w:hint="eastAsia" w:ascii="宋体" w:hAnsi="宋体" w:cs="宋体"/>
                <w:sz w:val="18"/>
                <w:szCs w:val="18"/>
              </w:rPr>
            </w:pPr>
            <w:r>
              <w:rPr>
                <w:rFonts w:ascii="宋体" w:hAnsi="宋体" w:cs="宋体"/>
                <w:sz w:val="18"/>
                <w:szCs w:val="18"/>
              </w:rPr>
              <w:t>5.04%</w:t>
            </w:r>
          </w:p>
        </w:tc>
        <w:tc>
          <w:tcPr>
            <w:tcW w:w="1430" w:type="dxa"/>
            <w:gridSpan w:val="2"/>
            <w:tcBorders>
              <w:top w:val="single" w:color="auto" w:sz="2" w:space="0"/>
              <w:left w:val="single" w:color="auto" w:sz="2" w:space="0"/>
              <w:bottom w:val="single" w:color="auto" w:sz="2" w:space="0"/>
              <w:right w:val="single" w:color="auto" w:sz="2" w:space="0"/>
            </w:tcBorders>
            <w:vAlign w:val="center"/>
          </w:tcPr>
          <w:p w14:paraId="2E5D2503">
            <w:pPr>
              <w:spacing w:line="240" w:lineRule="exact"/>
              <w:jc w:val="right"/>
              <w:rPr>
                <w:rFonts w:hint="eastAsia" w:ascii="宋体" w:hAnsi="宋体" w:cs="宋体"/>
                <w:sz w:val="18"/>
                <w:szCs w:val="18"/>
              </w:rPr>
            </w:pPr>
            <w:r>
              <w:rPr>
                <w:rFonts w:ascii="宋体" w:hAnsi="宋体" w:cs="宋体"/>
                <w:sz w:val="18"/>
                <w:szCs w:val="18"/>
              </w:rPr>
              <w:t>8,025,000.00</w:t>
            </w:r>
          </w:p>
        </w:tc>
        <w:tc>
          <w:tcPr>
            <w:tcW w:w="1440" w:type="dxa"/>
            <w:gridSpan w:val="2"/>
            <w:tcBorders>
              <w:top w:val="single" w:color="auto" w:sz="2" w:space="0"/>
              <w:left w:val="single" w:color="auto" w:sz="2" w:space="0"/>
              <w:bottom w:val="single" w:color="auto" w:sz="2" w:space="0"/>
              <w:right w:val="single" w:color="auto" w:sz="2" w:space="0"/>
            </w:tcBorders>
            <w:vAlign w:val="center"/>
          </w:tcPr>
          <w:p w14:paraId="4661A7E6">
            <w:pPr>
              <w:spacing w:line="240" w:lineRule="exact"/>
              <w:jc w:val="right"/>
              <w:rPr>
                <w:rFonts w:hint="eastAsia" w:ascii="宋体" w:hAnsi="宋体" w:cs="宋体"/>
                <w:sz w:val="18"/>
                <w:szCs w:val="18"/>
              </w:rPr>
            </w:pPr>
            <w:r>
              <w:rPr>
                <w:rFonts w:ascii="宋体" w:hAnsi="宋体" w:cs="宋体"/>
                <w:sz w:val="18"/>
                <w:szCs w:val="18"/>
              </w:rPr>
              <w:t>0.00</w:t>
            </w:r>
          </w:p>
        </w:tc>
        <w:tc>
          <w:tcPr>
            <w:tcW w:w="640" w:type="dxa"/>
            <w:gridSpan w:val="2"/>
            <w:tcBorders>
              <w:top w:val="single" w:color="auto" w:sz="2" w:space="0"/>
              <w:left w:val="single" w:color="auto" w:sz="2" w:space="0"/>
              <w:bottom w:val="single" w:color="auto" w:sz="2" w:space="0"/>
              <w:right w:val="single" w:color="auto" w:sz="2" w:space="0"/>
            </w:tcBorders>
            <w:vAlign w:val="center"/>
          </w:tcPr>
          <w:p w14:paraId="2B730B28">
            <w:pPr>
              <w:spacing w:line="240" w:lineRule="exact"/>
              <w:jc w:val="left"/>
              <w:rPr>
                <w:rFonts w:hint="eastAsia" w:ascii="宋体" w:hAnsi="宋体" w:cs="宋体"/>
                <w:sz w:val="18"/>
                <w:szCs w:val="18"/>
              </w:rPr>
            </w:pPr>
            <w:r>
              <w:rPr>
                <w:rFonts w:ascii="宋体" w:hAnsi="宋体" w:cs="宋体"/>
                <w:sz w:val="18"/>
                <w:szCs w:val="18"/>
              </w:rPr>
              <w:t>质押</w:t>
            </w:r>
          </w:p>
        </w:tc>
        <w:tc>
          <w:tcPr>
            <w:tcW w:w="1459" w:type="dxa"/>
            <w:gridSpan w:val="2"/>
            <w:tcBorders>
              <w:top w:val="single" w:color="auto" w:sz="2" w:space="0"/>
              <w:left w:val="single" w:color="auto" w:sz="2" w:space="0"/>
              <w:bottom w:val="single" w:color="auto" w:sz="2" w:space="0"/>
              <w:right w:val="single" w:color="auto" w:sz="2" w:space="0"/>
            </w:tcBorders>
            <w:vAlign w:val="center"/>
          </w:tcPr>
          <w:p w14:paraId="777FC6E2">
            <w:pPr>
              <w:spacing w:line="240" w:lineRule="exact"/>
              <w:jc w:val="right"/>
              <w:rPr>
                <w:rFonts w:hint="eastAsia" w:ascii="宋体" w:hAnsi="宋体" w:cs="宋体"/>
                <w:sz w:val="18"/>
                <w:szCs w:val="18"/>
              </w:rPr>
            </w:pPr>
            <w:r>
              <w:rPr>
                <w:rFonts w:ascii="宋体" w:hAnsi="宋体" w:cs="宋体"/>
                <w:sz w:val="18"/>
                <w:szCs w:val="18"/>
              </w:rPr>
              <w:t>6,000,000.00</w:t>
            </w:r>
          </w:p>
        </w:tc>
      </w:tr>
      <w:tr w14:paraId="1F1047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28" w:type="dxa"/>
            <w:gridSpan w:val="3"/>
            <w:tcBorders>
              <w:top w:val="single" w:color="auto" w:sz="2" w:space="0"/>
              <w:left w:val="single" w:color="auto" w:sz="2" w:space="0"/>
              <w:bottom w:val="single" w:color="auto" w:sz="2" w:space="0"/>
              <w:right w:val="single" w:color="auto" w:sz="2" w:space="0"/>
            </w:tcBorders>
            <w:vAlign w:val="center"/>
          </w:tcPr>
          <w:p w14:paraId="5193C9AB">
            <w:pPr>
              <w:spacing w:line="240" w:lineRule="exact"/>
              <w:jc w:val="left"/>
              <w:rPr>
                <w:rFonts w:hint="eastAsia" w:ascii="宋体" w:hAnsi="宋体" w:cs="宋体"/>
                <w:sz w:val="18"/>
                <w:szCs w:val="18"/>
              </w:rPr>
            </w:pPr>
            <w:r>
              <w:rPr>
                <w:rFonts w:ascii="宋体" w:hAnsi="宋体" w:cs="宋体"/>
                <w:sz w:val="18"/>
                <w:szCs w:val="18"/>
              </w:rPr>
              <w:t>李国栋</w:t>
            </w:r>
          </w:p>
        </w:tc>
        <w:tc>
          <w:tcPr>
            <w:tcW w:w="1209" w:type="dxa"/>
            <w:gridSpan w:val="2"/>
            <w:tcBorders>
              <w:top w:val="single" w:color="auto" w:sz="2" w:space="0"/>
              <w:left w:val="single" w:color="auto" w:sz="2" w:space="0"/>
              <w:bottom w:val="single" w:color="auto" w:sz="2" w:space="0"/>
              <w:right w:val="single" w:color="auto" w:sz="2" w:space="0"/>
            </w:tcBorders>
            <w:vAlign w:val="center"/>
          </w:tcPr>
          <w:p w14:paraId="2DAC7BAA">
            <w:pPr>
              <w:spacing w:line="240" w:lineRule="exact"/>
              <w:jc w:val="left"/>
              <w:rPr>
                <w:rFonts w:hint="eastAsia" w:ascii="宋体" w:hAnsi="宋体" w:cs="宋体"/>
                <w:sz w:val="18"/>
                <w:szCs w:val="18"/>
              </w:rPr>
            </w:pPr>
            <w:r>
              <w:rPr>
                <w:rFonts w:ascii="宋体" w:hAnsi="宋体" w:cs="宋体"/>
                <w:sz w:val="18"/>
                <w:szCs w:val="18"/>
              </w:rPr>
              <w:t>境内自然人</w:t>
            </w:r>
          </w:p>
        </w:tc>
        <w:tc>
          <w:tcPr>
            <w:tcW w:w="830" w:type="dxa"/>
            <w:gridSpan w:val="2"/>
            <w:tcBorders>
              <w:top w:val="single" w:color="auto" w:sz="2" w:space="0"/>
              <w:left w:val="single" w:color="auto" w:sz="2" w:space="0"/>
              <w:bottom w:val="single" w:color="auto" w:sz="2" w:space="0"/>
              <w:right w:val="single" w:color="auto" w:sz="2" w:space="0"/>
            </w:tcBorders>
            <w:vAlign w:val="center"/>
          </w:tcPr>
          <w:p w14:paraId="4D10FABB">
            <w:pPr>
              <w:spacing w:line="240" w:lineRule="exact"/>
              <w:jc w:val="right"/>
              <w:rPr>
                <w:rFonts w:hint="eastAsia" w:ascii="宋体" w:hAnsi="宋体" w:cs="宋体"/>
                <w:sz w:val="18"/>
                <w:szCs w:val="18"/>
              </w:rPr>
            </w:pPr>
            <w:r>
              <w:rPr>
                <w:rFonts w:ascii="宋体" w:hAnsi="宋体" w:cs="宋体"/>
                <w:sz w:val="18"/>
                <w:szCs w:val="18"/>
              </w:rPr>
              <w:t>4.71%</w:t>
            </w:r>
          </w:p>
        </w:tc>
        <w:tc>
          <w:tcPr>
            <w:tcW w:w="1430" w:type="dxa"/>
            <w:gridSpan w:val="2"/>
            <w:tcBorders>
              <w:top w:val="single" w:color="auto" w:sz="2" w:space="0"/>
              <w:left w:val="single" w:color="auto" w:sz="2" w:space="0"/>
              <w:bottom w:val="single" w:color="auto" w:sz="2" w:space="0"/>
              <w:right w:val="single" w:color="auto" w:sz="2" w:space="0"/>
            </w:tcBorders>
            <w:vAlign w:val="center"/>
          </w:tcPr>
          <w:p w14:paraId="1F6FA6D6">
            <w:pPr>
              <w:spacing w:line="240" w:lineRule="exact"/>
              <w:jc w:val="right"/>
              <w:rPr>
                <w:rFonts w:hint="eastAsia" w:ascii="宋体" w:hAnsi="宋体" w:cs="宋体"/>
                <w:sz w:val="18"/>
                <w:szCs w:val="18"/>
              </w:rPr>
            </w:pPr>
            <w:r>
              <w:rPr>
                <w:rFonts w:ascii="宋体" w:hAnsi="宋体" w:cs="宋体"/>
                <w:sz w:val="18"/>
                <w:szCs w:val="18"/>
              </w:rPr>
              <w:t>7,500,000.00</w:t>
            </w:r>
          </w:p>
        </w:tc>
        <w:tc>
          <w:tcPr>
            <w:tcW w:w="1440" w:type="dxa"/>
            <w:gridSpan w:val="2"/>
            <w:tcBorders>
              <w:top w:val="single" w:color="auto" w:sz="2" w:space="0"/>
              <w:left w:val="single" w:color="auto" w:sz="2" w:space="0"/>
              <w:bottom w:val="single" w:color="auto" w:sz="2" w:space="0"/>
              <w:right w:val="single" w:color="auto" w:sz="2" w:space="0"/>
            </w:tcBorders>
            <w:vAlign w:val="center"/>
          </w:tcPr>
          <w:p w14:paraId="19601D7C">
            <w:pPr>
              <w:spacing w:line="240" w:lineRule="exact"/>
              <w:jc w:val="right"/>
              <w:rPr>
                <w:rFonts w:hint="eastAsia" w:ascii="宋体" w:hAnsi="宋体" w:cs="宋体"/>
                <w:sz w:val="18"/>
                <w:szCs w:val="18"/>
              </w:rPr>
            </w:pPr>
            <w:r>
              <w:rPr>
                <w:rFonts w:ascii="宋体" w:hAnsi="宋体" w:cs="宋体"/>
                <w:sz w:val="18"/>
                <w:szCs w:val="18"/>
              </w:rPr>
              <w:t>5,625,000.00</w:t>
            </w:r>
          </w:p>
        </w:tc>
        <w:tc>
          <w:tcPr>
            <w:tcW w:w="640" w:type="dxa"/>
            <w:gridSpan w:val="2"/>
            <w:tcBorders>
              <w:top w:val="single" w:color="auto" w:sz="2" w:space="0"/>
              <w:left w:val="single" w:color="auto" w:sz="2" w:space="0"/>
              <w:bottom w:val="single" w:color="auto" w:sz="2" w:space="0"/>
              <w:right w:val="single" w:color="auto" w:sz="2" w:space="0"/>
            </w:tcBorders>
            <w:vAlign w:val="center"/>
          </w:tcPr>
          <w:p w14:paraId="1757EB4D">
            <w:pPr>
              <w:spacing w:line="240" w:lineRule="exact"/>
              <w:jc w:val="left"/>
              <w:rPr>
                <w:rFonts w:hint="eastAsia" w:ascii="宋体" w:hAnsi="宋体" w:cs="宋体"/>
                <w:sz w:val="18"/>
                <w:szCs w:val="18"/>
              </w:rPr>
            </w:pPr>
            <w:r>
              <w:rPr>
                <w:rFonts w:ascii="宋体" w:hAnsi="宋体" w:cs="宋体"/>
                <w:sz w:val="18"/>
                <w:szCs w:val="18"/>
              </w:rPr>
              <w:t>质押</w:t>
            </w:r>
          </w:p>
        </w:tc>
        <w:tc>
          <w:tcPr>
            <w:tcW w:w="1459" w:type="dxa"/>
            <w:gridSpan w:val="2"/>
            <w:tcBorders>
              <w:top w:val="single" w:color="auto" w:sz="2" w:space="0"/>
              <w:left w:val="single" w:color="auto" w:sz="2" w:space="0"/>
              <w:bottom w:val="single" w:color="auto" w:sz="2" w:space="0"/>
              <w:right w:val="single" w:color="auto" w:sz="2" w:space="0"/>
            </w:tcBorders>
            <w:vAlign w:val="center"/>
          </w:tcPr>
          <w:p w14:paraId="22EAA6DE">
            <w:pPr>
              <w:spacing w:line="240" w:lineRule="exact"/>
              <w:jc w:val="right"/>
              <w:rPr>
                <w:rFonts w:hint="eastAsia" w:ascii="宋体" w:hAnsi="宋体" w:cs="宋体"/>
                <w:sz w:val="18"/>
                <w:szCs w:val="18"/>
              </w:rPr>
            </w:pPr>
            <w:r>
              <w:rPr>
                <w:rFonts w:ascii="宋体" w:hAnsi="宋体" w:cs="宋体"/>
                <w:sz w:val="18"/>
                <w:szCs w:val="18"/>
              </w:rPr>
              <w:t>3,000,000.00</w:t>
            </w:r>
          </w:p>
        </w:tc>
      </w:tr>
      <w:tr w14:paraId="375E95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28" w:type="dxa"/>
            <w:gridSpan w:val="3"/>
            <w:tcBorders>
              <w:top w:val="single" w:color="auto" w:sz="2" w:space="0"/>
              <w:left w:val="single" w:color="auto" w:sz="2" w:space="0"/>
              <w:bottom w:val="single" w:color="auto" w:sz="2" w:space="0"/>
              <w:right w:val="single" w:color="auto" w:sz="2" w:space="0"/>
            </w:tcBorders>
            <w:vAlign w:val="center"/>
          </w:tcPr>
          <w:p w14:paraId="4E92C8F8">
            <w:pPr>
              <w:spacing w:line="240" w:lineRule="exact"/>
              <w:jc w:val="left"/>
              <w:rPr>
                <w:rFonts w:hint="eastAsia" w:ascii="宋体" w:hAnsi="宋体" w:cs="宋体"/>
                <w:sz w:val="18"/>
                <w:szCs w:val="18"/>
              </w:rPr>
            </w:pPr>
            <w:r>
              <w:rPr>
                <w:rFonts w:ascii="宋体" w:hAnsi="宋体" w:cs="宋体"/>
                <w:sz w:val="18"/>
                <w:szCs w:val="18"/>
              </w:rPr>
              <w:t>渤海银行股份有限公司－中信建投医改灵活配置混合型证券投资基金</w:t>
            </w:r>
          </w:p>
        </w:tc>
        <w:tc>
          <w:tcPr>
            <w:tcW w:w="1209" w:type="dxa"/>
            <w:gridSpan w:val="2"/>
            <w:tcBorders>
              <w:top w:val="single" w:color="auto" w:sz="2" w:space="0"/>
              <w:left w:val="single" w:color="auto" w:sz="2" w:space="0"/>
              <w:bottom w:val="single" w:color="auto" w:sz="2" w:space="0"/>
              <w:right w:val="single" w:color="auto" w:sz="2" w:space="0"/>
            </w:tcBorders>
            <w:vAlign w:val="center"/>
          </w:tcPr>
          <w:p w14:paraId="7034AE07">
            <w:pPr>
              <w:spacing w:line="240" w:lineRule="exact"/>
              <w:jc w:val="left"/>
              <w:rPr>
                <w:rFonts w:hint="eastAsia" w:ascii="宋体" w:hAnsi="宋体" w:cs="宋体"/>
                <w:sz w:val="18"/>
                <w:szCs w:val="18"/>
              </w:rPr>
            </w:pPr>
            <w:r>
              <w:rPr>
                <w:rFonts w:ascii="宋体" w:hAnsi="宋体" w:cs="宋体"/>
                <w:sz w:val="18"/>
                <w:szCs w:val="18"/>
              </w:rPr>
              <w:t>其他</w:t>
            </w:r>
          </w:p>
        </w:tc>
        <w:tc>
          <w:tcPr>
            <w:tcW w:w="830" w:type="dxa"/>
            <w:gridSpan w:val="2"/>
            <w:tcBorders>
              <w:top w:val="single" w:color="auto" w:sz="2" w:space="0"/>
              <w:left w:val="single" w:color="auto" w:sz="2" w:space="0"/>
              <w:bottom w:val="single" w:color="auto" w:sz="2" w:space="0"/>
              <w:right w:val="single" w:color="auto" w:sz="2" w:space="0"/>
            </w:tcBorders>
            <w:vAlign w:val="center"/>
          </w:tcPr>
          <w:p w14:paraId="30053DE0">
            <w:pPr>
              <w:spacing w:line="240" w:lineRule="exact"/>
              <w:jc w:val="right"/>
              <w:rPr>
                <w:rFonts w:hint="eastAsia" w:ascii="宋体" w:hAnsi="宋体" w:cs="宋体"/>
                <w:sz w:val="18"/>
                <w:szCs w:val="18"/>
              </w:rPr>
            </w:pPr>
            <w:r>
              <w:rPr>
                <w:rFonts w:ascii="宋体" w:hAnsi="宋体" w:cs="宋体"/>
                <w:sz w:val="18"/>
                <w:szCs w:val="18"/>
              </w:rPr>
              <w:t>1.44%</w:t>
            </w:r>
          </w:p>
        </w:tc>
        <w:tc>
          <w:tcPr>
            <w:tcW w:w="1430" w:type="dxa"/>
            <w:gridSpan w:val="2"/>
            <w:tcBorders>
              <w:top w:val="single" w:color="auto" w:sz="2" w:space="0"/>
              <w:left w:val="single" w:color="auto" w:sz="2" w:space="0"/>
              <w:bottom w:val="single" w:color="auto" w:sz="2" w:space="0"/>
              <w:right w:val="single" w:color="auto" w:sz="2" w:space="0"/>
            </w:tcBorders>
            <w:vAlign w:val="center"/>
          </w:tcPr>
          <w:p w14:paraId="5423939D">
            <w:pPr>
              <w:spacing w:line="240" w:lineRule="exact"/>
              <w:jc w:val="right"/>
              <w:rPr>
                <w:rFonts w:hint="eastAsia" w:ascii="宋体" w:hAnsi="宋体" w:cs="宋体"/>
                <w:sz w:val="18"/>
                <w:szCs w:val="18"/>
              </w:rPr>
            </w:pPr>
            <w:r>
              <w:rPr>
                <w:rFonts w:ascii="宋体" w:hAnsi="宋体" w:cs="宋体"/>
                <w:sz w:val="18"/>
                <w:szCs w:val="18"/>
              </w:rPr>
              <w:t>2,300,000.00</w:t>
            </w:r>
          </w:p>
        </w:tc>
        <w:tc>
          <w:tcPr>
            <w:tcW w:w="1440" w:type="dxa"/>
            <w:gridSpan w:val="2"/>
            <w:tcBorders>
              <w:top w:val="single" w:color="auto" w:sz="2" w:space="0"/>
              <w:left w:val="single" w:color="auto" w:sz="2" w:space="0"/>
              <w:bottom w:val="single" w:color="auto" w:sz="2" w:space="0"/>
              <w:right w:val="single" w:color="auto" w:sz="2" w:space="0"/>
            </w:tcBorders>
            <w:vAlign w:val="center"/>
          </w:tcPr>
          <w:p w14:paraId="73E2D4AF">
            <w:pPr>
              <w:spacing w:line="240" w:lineRule="exact"/>
              <w:jc w:val="right"/>
              <w:rPr>
                <w:rFonts w:hint="eastAsia" w:ascii="宋体" w:hAnsi="宋体" w:cs="宋体"/>
                <w:sz w:val="18"/>
                <w:szCs w:val="18"/>
              </w:rPr>
            </w:pPr>
            <w:r>
              <w:rPr>
                <w:rFonts w:ascii="宋体" w:hAnsi="宋体" w:cs="宋体"/>
                <w:sz w:val="18"/>
                <w:szCs w:val="18"/>
              </w:rPr>
              <w:t>0.00</w:t>
            </w:r>
          </w:p>
        </w:tc>
        <w:tc>
          <w:tcPr>
            <w:tcW w:w="640" w:type="dxa"/>
            <w:gridSpan w:val="2"/>
            <w:tcBorders>
              <w:top w:val="single" w:color="auto" w:sz="2" w:space="0"/>
              <w:left w:val="single" w:color="auto" w:sz="2" w:space="0"/>
              <w:bottom w:val="single" w:color="auto" w:sz="2" w:space="0"/>
              <w:right w:val="single" w:color="auto" w:sz="2" w:space="0"/>
            </w:tcBorders>
            <w:vAlign w:val="center"/>
          </w:tcPr>
          <w:p w14:paraId="600637EE">
            <w:pPr>
              <w:spacing w:line="240" w:lineRule="exact"/>
              <w:jc w:val="left"/>
              <w:rPr>
                <w:rFonts w:hint="eastAsia" w:ascii="宋体" w:hAnsi="宋体" w:cs="宋体"/>
                <w:sz w:val="18"/>
                <w:szCs w:val="18"/>
              </w:rPr>
            </w:pPr>
            <w:r>
              <w:rPr>
                <w:rFonts w:ascii="宋体" w:hAnsi="宋体" w:cs="宋体"/>
                <w:sz w:val="18"/>
                <w:szCs w:val="18"/>
              </w:rPr>
              <w:t>不适用</w:t>
            </w:r>
          </w:p>
        </w:tc>
        <w:tc>
          <w:tcPr>
            <w:tcW w:w="1459" w:type="dxa"/>
            <w:gridSpan w:val="2"/>
            <w:tcBorders>
              <w:top w:val="single" w:color="auto" w:sz="2" w:space="0"/>
              <w:left w:val="single" w:color="auto" w:sz="2" w:space="0"/>
              <w:bottom w:val="single" w:color="auto" w:sz="2" w:space="0"/>
              <w:right w:val="single" w:color="auto" w:sz="2" w:space="0"/>
            </w:tcBorders>
            <w:vAlign w:val="center"/>
          </w:tcPr>
          <w:p w14:paraId="699C9720">
            <w:pPr>
              <w:spacing w:line="240" w:lineRule="exact"/>
              <w:jc w:val="right"/>
              <w:rPr>
                <w:rFonts w:hint="eastAsia" w:ascii="宋体" w:hAnsi="宋体" w:cs="宋体"/>
                <w:sz w:val="18"/>
                <w:szCs w:val="18"/>
              </w:rPr>
            </w:pPr>
            <w:r>
              <w:rPr>
                <w:rFonts w:ascii="宋体" w:hAnsi="宋体" w:cs="宋体"/>
                <w:sz w:val="18"/>
                <w:szCs w:val="18"/>
              </w:rPr>
              <w:t>0.00</w:t>
            </w:r>
          </w:p>
        </w:tc>
      </w:tr>
      <w:tr w14:paraId="4D3534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28" w:type="dxa"/>
            <w:gridSpan w:val="3"/>
            <w:tcBorders>
              <w:top w:val="single" w:color="auto" w:sz="2" w:space="0"/>
              <w:left w:val="single" w:color="auto" w:sz="2" w:space="0"/>
              <w:bottom w:val="single" w:color="auto" w:sz="2" w:space="0"/>
              <w:right w:val="single" w:color="auto" w:sz="2" w:space="0"/>
            </w:tcBorders>
            <w:vAlign w:val="center"/>
          </w:tcPr>
          <w:p w14:paraId="429AE290">
            <w:pPr>
              <w:spacing w:line="240" w:lineRule="exact"/>
              <w:jc w:val="left"/>
              <w:rPr>
                <w:rFonts w:hint="eastAsia" w:ascii="宋体" w:hAnsi="宋体" w:cs="宋体"/>
                <w:sz w:val="18"/>
                <w:szCs w:val="18"/>
              </w:rPr>
            </w:pPr>
            <w:r>
              <w:rPr>
                <w:rFonts w:ascii="宋体" w:hAnsi="宋体" w:cs="宋体"/>
                <w:sz w:val="18"/>
                <w:szCs w:val="18"/>
              </w:rPr>
              <w:t>蔡云霞</w:t>
            </w:r>
          </w:p>
        </w:tc>
        <w:tc>
          <w:tcPr>
            <w:tcW w:w="1209" w:type="dxa"/>
            <w:gridSpan w:val="2"/>
            <w:tcBorders>
              <w:top w:val="single" w:color="auto" w:sz="2" w:space="0"/>
              <w:left w:val="single" w:color="auto" w:sz="2" w:space="0"/>
              <w:bottom w:val="single" w:color="auto" w:sz="2" w:space="0"/>
              <w:right w:val="single" w:color="auto" w:sz="2" w:space="0"/>
            </w:tcBorders>
            <w:vAlign w:val="center"/>
          </w:tcPr>
          <w:p w14:paraId="4AF28095">
            <w:pPr>
              <w:spacing w:line="240" w:lineRule="exact"/>
              <w:jc w:val="left"/>
              <w:rPr>
                <w:rFonts w:hint="eastAsia" w:ascii="宋体" w:hAnsi="宋体" w:cs="宋体"/>
                <w:sz w:val="18"/>
                <w:szCs w:val="18"/>
              </w:rPr>
            </w:pPr>
            <w:r>
              <w:rPr>
                <w:rFonts w:ascii="宋体" w:hAnsi="宋体" w:cs="宋体"/>
                <w:sz w:val="18"/>
                <w:szCs w:val="18"/>
              </w:rPr>
              <w:t>境内自然人</w:t>
            </w:r>
          </w:p>
        </w:tc>
        <w:tc>
          <w:tcPr>
            <w:tcW w:w="830" w:type="dxa"/>
            <w:gridSpan w:val="2"/>
            <w:tcBorders>
              <w:top w:val="single" w:color="auto" w:sz="2" w:space="0"/>
              <w:left w:val="single" w:color="auto" w:sz="2" w:space="0"/>
              <w:bottom w:val="single" w:color="auto" w:sz="2" w:space="0"/>
              <w:right w:val="single" w:color="auto" w:sz="2" w:space="0"/>
            </w:tcBorders>
            <w:vAlign w:val="center"/>
          </w:tcPr>
          <w:p w14:paraId="543BBEE7">
            <w:pPr>
              <w:spacing w:line="240" w:lineRule="exact"/>
              <w:jc w:val="right"/>
              <w:rPr>
                <w:rFonts w:hint="eastAsia" w:ascii="宋体" w:hAnsi="宋体" w:cs="宋体"/>
                <w:sz w:val="18"/>
                <w:szCs w:val="18"/>
              </w:rPr>
            </w:pPr>
            <w:r>
              <w:rPr>
                <w:rFonts w:ascii="宋体" w:hAnsi="宋体" w:cs="宋体"/>
                <w:sz w:val="18"/>
                <w:szCs w:val="18"/>
              </w:rPr>
              <w:t>1.35%</w:t>
            </w:r>
          </w:p>
        </w:tc>
        <w:tc>
          <w:tcPr>
            <w:tcW w:w="1430" w:type="dxa"/>
            <w:gridSpan w:val="2"/>
            <w:tcBorders>
              <w:top w:val="single" w:color="auto" w:sz="2" w:space="0"/>
              <w:left w:val="single" w:color="auto" w:sz="2" w:space="0"/>
              <w:bottom w:val="single" w:color="auto" w:sz="2" w:space="0"/>
              <w:right w:val="single" w:color="auto" w:sz="2" w:space="0"/>
            </w:tcBorders>
            <w:vAlign w:val="center"/>
          </w:tcPr>
          <w:p w14:paraId="1317778A">
            <w:pPr>
              <w:spacing w:line="240" w:lineRule="exact"/>
              <w:jc w:val="right"/>
              <w:rPr>
                <w:rFonts w:hint="eastAsia" w:ascii="宋体" w:hAnsi="宋体" w:cs="宋体"/>
                <w:sz w:val="18"/>
                <w:szCs w:val="18"/>
              </w:rPr>
            </w:pPr>
            <w:r>
              <w:rPr>
                <w:rFonts w:ascii="宋体" w:hAnsi="宋体" w:cs="宋体"/>
                <w:sz w:val="18"/>
                <w:szCs w:val="18"/>
              </w:rPr>
              <w:t>2,100,527.00</w:t>
            </w:r>
          </w:p>
        </w:tc>
        <w:tc>
          <w:tcPr>
            <w:tcW w:w="1440" w:type="dxa"/>
            <w:gridSpan w:val="2"/>
            <w:tcBorders>
              <w:top w:val="single" w:color="auto" w:sz="2" w:space="0"/>
              <w:left w:val="single" w:color="auto" w:sz="2" w:space="0"/>
              <w:bottom w:val="single" w:color="auto" w:sz="2" w:space="0"/>
              <w:right w:val="single" w:color="auto" w:sz="2" w:space="0"/>
            </w:tcBorders>
            <w:vAlign w:val="center"/>
          </w:tcPr>
          <w:p w14:paraId="0651B7E3">
            <w:pPr>
              <w:spacing w:line="240" w:lineRule="exact"/>
              <w:jc w:val="right"/>
              <w:rPr>
                <w:rFonts w:hint="eastAsia" w:ascii="宋体" w:hAnsi="宋体" w:cs="宋体"/>
                <w:sz w:val="18"/>
                <w:szCs w:val="18"/>
              </w:rPr>
            </w:pPr>
            <w:r>
              <w:rPr>
                <w:rFonts w:ascii="宋体" w:hAnsi="宋体" w:cs="宋体"/>
                <w:sz w:val="18"/>
                <w:szCs w:val="18"/>
              </w:rPr>
              <w:t>0.00</w:t>
            </w:r>
          </w:p>
        </w:tc>
        <w:tc>
          <w:tcPr>
            <w:tcW w:w="640" w:type="dxa"/>
            <w:gridSpan w:val="2"/>
            <w:tcBorders>
              <w:top w:val="single" w:color="auto" w:sz="2" w:space="0"/>
              <w:left w:val="single" w:color="auto" w:sz="2" w:space="0"/>
              <w:bottom w:val="single" w:color="auto" w:sz="2" w:space="0"/>
              <w:right w:val="single" w:color="auto" w:sz="2" w:space="0"/>
            </w:tcBorders>
            <w:vAlign w:val="center"/>
          </w:tcPr>
          <w:p w14:paraId="08082F46">
            <w:pPr>
              <w:spacing w:line="240" w:lineRule="exact"/>
              <w:jc w:val="left"/>
              <w:rPr>
                <w:rFonts w:hint="eastAsia" w:ascii="宋体" w:hAnsi="宋体" w:cs="宋体"/>
                <w:sz w:val="18"/>
                <w:szCs w:val="18"/>
              </w:rPr>
            </w:pPr>
            <w:r>
              <w:rPr>
                <w:rFonts w:ascii="宋体" w:hAnsi="宋体" w:cs="宋体"/>
                <w:sz w:val="18"/>
                <w:szCs w:val="18"/>
              </w:rPr>
              <w:t>不适用</w:t>
            </w:r>
          </w:p>
        </w:tc>
        <w:tc>
          <w:tcPr>
            <w:tcW w:w="1459" w:type="dxa"/>
            <w:gridSpan w:val="2"/>
            <w:tcBorders>
              <w:top w:val="single" w:color="auto" w:sz="2" w:space="0"/>
              <w:left w:val="single" w:color="auto" w:sz="2" w:space="0"/>
              <w:bottom w:val="single" w:color="auto" w:sz="2" w:space="0"/>
              <w:right w:val="single" w:color="auto" w:sz="2" w:space="0"/>
            </w:tcBorders>
            <w:vAlign w:val="center"/>
          </w:tcPr>
          <w:p w14:paraId="3D0A3F8F">
            <w:pPr>
              <w:spacing w:line="240" w:lineRule="exact"/>
              <w:jc w:val="right"/>
              <w:rPr>
                <w:rFonts w:hint="eastAsia" w:ascii="宋体" w:hAnsi="宋体" w:cs="宋体"/>
                <w:sz w:val="18"/>
                <w:szCs w:val="18"/>
              </w:rPr>
            </w:pPr>
            <w:r>
              <w:rPr>
                <w:rFonts w:ascii="宋体" w:hAnsi="宋体" w:cs="宋体"/>
                <w:sz w:val="18"/>
                <w:szCs w:val="18"/>
              </w:rPr>
              <w:t>0.00</w:t>
            </w:r>
          </w:p>
        </w:tc>
      </w:tr>
      <w:tr w14:paraId="759EE9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28" w:type="dxa"/>
            <w:gridSpan w:val="3"/>
            <w:tcBorders>
              <w:top w:val="single" w:color="auto" w:sz="2" w:space="0"/>
              <w:left w:val="single" w:color="auto" w:sz="2" w:space="0"/>
              <w:bottom w:val="single" w:color="auto" w:sz="2" w:space="0"/>
              <w:right w:val="single" w:color="auto" w:sz="2" w:space="0"/>
            </w:tcBorders>
            <w:vAlign w:val="center"/>
          </w:tcPr>
          <w:p w14:paraId="0D2A2860">
            <w:pPr>
              <w:spacing w:line="240" w:lineRule="exact"/>
              <w:jc w:val="left"/>
              <w:rPr>
                <w:rFonts w:hint="eastAsia" w:ascii="宋体" w:hAnsi="宋体" w:cs="宋体"/>
                <w:sz w:val="18"/>
                <w:szCs w:val="18"/>
              </w:rPr>
            </w:pPr>
            <w:r>
              <w:rPr>
                <w:rFonts w:ascii="宋体" w:hAnsi="宋体" w:cs="宋体"/>
                <w:sz w:val="18"/>
                <w:szCs w:val="18"/>
              </w:rPr>
              <w:t>黄彩艳</w:t>
            </w:r>
          </w:p>
        </w:tc>
        <w:tc>
          <w:tcPr>
            <w:tcW w:w="1209" w:type="dxa"/>
            <w:gridSpan w:val="2"/>
            <w:tcBorders>
              <w:top w:val="single" w:color="auto" w:sz="2" w:space="0"/>
              <w:left w:val="single" w:color="auto" w:sz="2" w:space="0"/>
              <w:bottom w:val="single" w:color="auto" w:sz="2" w:space="0"/>
              <w:right w:val="single" w:color="auto" w:sz="2" w:space="0"/>
            </w:tcBorders>
            <w:vAlign w:val="center"/>
          </w:tcPr>
          <w:p w14:paraId="255BA35F">
            <w:pPr>
              <w:spacing w:line="240" w:lineRule="exact"/>
              <w:jc w:val="left"/>
              <w:rPr>
                <w:rFonts w:hint="eastAsia" w:ascii="宋体" w:hAnsi="宋体" w:cs="宋体"/>
                <w:sz w:val="18"/>
                <w:szCs w:val="18"/>
              </w:rPr>
            </w:pPr>
            <w:r>
              <w:rPr>
                <w:rFonts w:ascii="宋体" w:hAnsi="宋体" w:cs="宋体"/>
                <w:sz w:val="18"/>
                <w:szCs w:val="18"/>
              </w:rPr>
              <w:t>境内自然人</w:t>
            </w:r>
          </w:p>
        </w:tc>
        <w:tc>
          <w:tcPr>
            <w:tcW w:w="830" w:type="dxa"/>
            <w:gridSpan w:val="2"/>
            <w:tcBorders>
              <w:top w:val="single" w:color="auto" w:sz="2" w:space="0"/>
              <w:left w:val="single" w:color="auto" w:sz="2" w:space="0"/>
              <w:bottom w:val="single" w:color="auto" w:sz="2" w:space="0"/>
              <w:right w:val="single" w:color="auto" w:sz="2" w:space="0"/>
            </w:tcBorders>
            <w:vAlign w:val="center"/>
          </w:tcPr>
          <w:p w14:paraId="47974BB4">
            <w:pPr>
              <w:spacing w:line="240" w:lineRule="exact"/>
              <w:jc w:val="right"/>
              <w:rPr>
                <w:rFonts w:hint="eastAsia" w:ascii="宋体" w:hAnsi="宋体" w:cs="宋体"/>
                <w:sz w:val="18"/>
                <w:szCs w:val="18"/>
              </w:rPr>
            </w:pPr>
            <w:r>
              <w:rPr>
                <w:rFonts w:ascii="宋体" w:hAnsi="宋体" w:cs="宋体"/>
                <w:sz w:val="18"/>
                <w:szCs w:val="18"/>
              </w:rPr>
              <w:t>1.12%</w:t>
            </w:r>
          </w:p>
        </w:tc>
        <w:tc>
          <w:tcPr>
            <w:tcW w:w="1430" w:type="dxa"/>
            <w:gridSpan w:val="2"/>
            <w:tcBorders>
              <w:top w:val="single" w:color="auto" w:sz="2" w:space="0"/>
              <w:left w:val="single" w:color="auto" w:sz="2" w:space="0"/>
              <w:bottom w:val="single" w:color="auto" w:sz="2" w:space="0"/>
              <w:right w:val="single" w:color="auto" w:sz="2" w:space="0"/>
            </w:tcBorders>
            <w:vAlign w:val="center"/>
          </w:tcPr>
          <w:p w14:paraId="12400A37">
            <w:pPr>
              <w:spacing w:line="240" w:lineRule="exact"/>
              <w:jc w:val="right"/>
              <w:rPr>
                <w:rFonts w:hint="eastAsia" w:ascii="宋体" w:hAnsi="宋体" w:cs="宋体"/>
                <w:sz w:val="18"/>
                <w:szCs w:val="18"/>
              </w:rPr>
            </w:pPr>
            <w:r>
              <w:rPr>
                <w:rFonts w:ascii="宋体" w:hAnsi="宋体" w:cs="宋体"/>
                <w:sz w:val="18"/>
                <w:szCs w:val="18"/>
              </w:rPr>
              <w:t>1,788,000.00</w:t>
            </w:r>
          </w:p>
        </w:tc>
        <w:tc>
          <w:tcPr>
            <w:tcW w:w="1440" w:type="dxa"/>
            <w:gridSpan w:val="2"/>
            <w:tcBorders>
              <w:top w:val="single" w:color="auto" w:sz="2" w:space="0"/>
              <w:left w:val="single" w:color="auto" w:sz="2" w:space="0"/>
              <w:bottom w:val="single" w:color="auto" w:sz="2" w:space="0"/>
              <w:right w:val="single" w:color="auto" w:sz="2" w:space="0"/>
            </w:tcBorders>
            <w:vAlign w:val="center"/>
          </w:tcPr>
          <w:p w14:paraId="3DD4A0F2">
            <w:pPr>
              <w:spacing w:line="240" w:lineRule="exact"/>
              <w:jc w:val="right"/>
              <w:rPr>
                <w:rFonts w:hint="eastAsia" w:ascii="宋体" w:hAnsi="宋体" w:cs="宋体"/>
                <w:sz w:val="18"/>
                <w:szCs w:val="18"/>
              </w:rPr>
            </w:pPr>
            <w:r>
              <w:rPr>
                <w:rFonts w:ascii="宋体" w:hAnsi="宋体" w:cs="宋体"/>
                <w:sz w:val="18"/>
                <w:szCs w:val="18"/>
              </w:rPr>
              <w:t>0.00</w:t>
            </w:r>
          </w:p>
        </w:tc>
        <w:tc>
          <w:tcPr>
            <w:tcW w:w="640" w:type="dxa"/>
            <w:gridSpan w:val="2"/>
            <w:tcBorders>
              <w:top w:val="single" w:color="auto" w:sz="2" w:space="0"/>
              <w:left w:val="single" w:color="auto" w:sz="2" w:space="0"/>
              <w:bottom w:val="single" w:color="auto" w:sz="2" w:space="0"/>
              <w:right w:val="single" w:color="auto" w:sz="2" w:space="0"/>
            </w:tcBorders>
            <w:vAlign w:val="center"/>
          </w:tcPr>
          <w:p w14:paraId="212F29E6">
            <w:pPr>
              <w:spacing w:line="240" w:lineRule="exact"/>
              <w:jc w:val="left"/>
              <w:rPr>
                <w:rFonts w:hint="eastAsia" w:ascii="宋体" w:hAnsi="宋体" w:cs="宋体"/>
                <w:sz w:val="18"/>
                <w:szCs w:val="18"/>
              </w:rPr>
            </w:pPr>
            <w:r>
              <w:rPr>
                <w:rFonts w:ascii="宋体" w:hAnsi="宋体" w:cs="宋体"/>
                <w:sz w:val="18"/>
                <w:szCs w:val="18"/>
              </w:rPr>
              <w:t>不适用</w:t>
            </w:r>
          </w:p>
        </w:tc>
        <w:tc>
          <w:tcPr>
            <w:tcW w:w="1459" w:type="dxa"/>
            <w:gridSpan w:val="2"/>
            <w:tcBorders>
              <w:top w:val="single" w:color="auto" w:sz="2" w:space="0"/>
              <w:left w:val="single" w:color="auto" w:sz="2" w:space="0"/>
              <w:bottom w:val="single" w:color="auto" w:sz="2" w:space="0"/>
              <w:right w:val="single" w:color="auto" w:sz="2" w:space="0"/>
            </w:tcBorders>
            <w:vAlign w:val="center"/>
          </w:tcPr>
          <w:p w14:paraId="2967290F">
            <w:pPr>
              <w:spacing w:line="240" w:lineRule="exact"/>
              <w:jc w:val="right"/>
              <w:rPr>
                <w:rFonts w:hint="eastAsia" w:ascii="宋体" w:hAnsi="宋体" w:cs="宋体"/>
                <w:sz w:val="18"/>
                <w:szCs w:val="18"/>
              </w:rPr>
            </w:pPr>
            <w:r>
              <w:rPr>
                <w:rFonts w:ascii="宋体" w:hAnsi="宋体" w:cs="宋体"/>
                <w:sz w:val="18"/>
                <w:szCs w:val="18"/>
              </w:rPr>
              <w:t>0.00</w:t>
            </w:r>
          </w:p>
        </w:tc>
      </w:tr>
      <w:tr w14:paraId="218DB2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28" w:type="dxa"/>
            <w:gridSpan w:val="3"/>
            <w:tcBorders>
              <w:top w:val="single" w:color="auto" w:sz="2" w:space="0"/>
              <w:left w:val="single" w:color="auto" w:sz="2" w:space="0"/>
              <w:bottom w:val="single" w:color="auto" w:sz="2" w:space="0"/>
              <w:right w:val="single" w:color="auto" w:sz="2" w:space="0"/>
            </w:tcBorders>
            <w:vAlign w:val="center"/>
          </w:tcPr>
          <w:p w14:paraId="6C6C32A2">
            <w:pPr>
              <w:spacing w:line="240" w:lineRule="exact"/>
              <w:jc w:val="left"/>
              <w:rPr>
                <w:rFonts w:hint="eastAsia" w:ascii="宋体" w:hAnsi="宋体" w:cs="宋体"/>
                <w:sz w:val="18"/>
                <w:szCs w:val="18"/>
              </w:rPr>
            </w:pPr>
            <w:r>
              <w:rPr>
                <w:rFonts w:ascii="宋体" w:hAnsi="宋体" w:cs="宋体"/>
                <w:sz w:val="18"/>
                <w:szCs w:val="18"/>
              </w:rPr>
              <w:t>林凤鸣</w:t>
            </w:r>
          </w:p>
        </w:tc>
        <w:tc>
          <w:tcPr>
            <w:tcW w:w="1209" w:type="dxa"/>
            <w:gridSpan w:val="2"/>
            <w:tcBorders>
              <w:top w:val="single" w:color="auto" w:sz="2" w:space="0"/>
              <w:left w:val="single" w:color="auto" w:sz="2" w:space="0"/>
              <w:bottom w:val="single" w:color="auto" w:sz="2" w:space="0"/>
              <w:right w:val="single" w:color="auto" w:sz="2" w:space="0"/>
            </w:tcBorders>
            <w:vAlign w:val="center"/>
          </w:tcPr>
          <w:p w14:paraId="0DDF6F8F">
            <w:pPr>
              <w:spacing w:line="240" w:lineRule="exact"/>
              <w:jc w:val="left"/>
              <w:rPr>
                <w:rFonts w:hint="eastAsia" w:ascii="宋体" w:hAnsi="宋体" w:cs="宋体"/>
                <w:sz w:val="18"/>
                <w:szCs w:val="18"/>
              </w:rPr>
            </w:pPr>
            <w:r>
              <w:rPr>
                <w:rFonts w:ascii="宋体" w:hAnsi="宋体" w:cs="宋体"/>
                <w:sz w:val="18"/>
                <w:szCs w:val="18"/>
              </w:rPr>
              <w:t>境内自然人</w:t>
            </w:r>
          </w:p>
        </w:tc>
        <w:tc>
          <w:tcPr>
            <w:tcW w:w="830" w:type="dxa"/>
            <w:gridSpan w:val="2"/>
            <w:tcBorders>
              <w:top w:val="single" w:color="auto" w:sz="2" w:space="0"/>
              <w:left w:val="single" w:color="auto" w:sz="2" w:space="0"/>
              <w:bottom w:val="single" w:color="auto" w:sz="2" w:space="0"/>
              <w:right w:val="single" w:color="auto" w:sz="2" w:space="0"/>
            </w:tcBorders>
            <w:vAlign w:val="center"/>
          </w:tcPr>
          <w:p w14:paraId="4FC77A6B">
            <w:pPr>
              <w:spacing w:line="240" w:lineRule="exact"/>
              <w:jc w:val="right"/>
              <w:rPr>
                <w:rFonts w:hint="eastAsia" w:ascii="宋体" w:hAnsi="宋体" w:cs="宋体"/>
                <w:sz w:val="18"/>
                <w:szCs w:val="18"/>
              </w:rPr>
            </w:pPr>
            <w:r>
              <w:rPr>
                <w:rFonts w:ascii="宋体" w:hAnsi="宋体" w:cs="宋体"/>
                <w:sz w:val="18"/>
                <w:szCs w:val="18"/>
              </w:rPr>
              <w:t>0.85%</w:t>
            </w:r>
          </w:p>
        </w:tc>
        <w:tc>
          <w:tcPr>
            <w:tcW w:w="1430" w:type="dxa"/>
            <w:gridSpan w:val="2"/>
            <w:tcBorders>
              <w:top w:val="single" w:color="auto" w:sz="2" w:space="0"/>
              <w:left w:val="single" w:color="auto" w:sz="2" w:space="0"/>
              <w:bottom w:val="single" w:color="auto" w:sz="2" w:space="0"/>
              <w:right w:val="single" w:color="auto" w:sz="2" w:space="0"/>
            </w:tcBorders>
            <w:vAlign w:val="center"/>
          </w:tcPr>
          <w:p w14:paraId="32B040ED">
            <w:pPr>
              <w:spacing w:line="240" w:lineRule="exact"/>
              <w:jc w:val="right"/>
              <w:rPr>
                <w:rFonts w:hint="eastAsia" w:ascii="宋体" w:hAnsi="宋体" w:cs="宋体"/>
                <w:sz w:val="18"/>
                <w:szCs w:val="18"/>
              </w:rPr>
            </w:pPr>
            <w:r>
              <w:rPr>
                <w:rFonts w:ascii="宋体" w:hAnsi="宋体" w:cs="宋体"/>
                <w:sz w:val="18"/>
                <w:szCs w:val="18"/>
              </w:rPr>
              <w:t>1,360,636.00</w:t>
            </w:r>
          </w:p>
        </w:tc>
        <w:tc>
          <w:tcPr>
            <w:tcW w:w="1440" w:type="dxa"/>
            <w:gridSpan w:val="2"/>
            <w:tcBorders>
              <w:top w:val="single" w:color="auto" w:sz="2" w:space="0"/>
              <w:left w:val="single" w:color="auto" w:sz="2" w:space="0"/>
              <w:bottom w:val="single" w:color="auto" w:sz="2" w:space="0"/>
              <w:right w:val="single" w:color="auto" w:sz="2" w:space="0"/>
            </w:tcBorders>
            <w:vAlign w:val="center"/>
          </w:tcPr>
          <w:p w14:paraId="2EB786B6">
            <w:pPr>
              <w:spacing w:line="240" w:lineRule="exact"/>
              <w:jc w:val="right"/>
              <w:rPr>
                <w:rFonts w:hint="eastAsia" w:ascii="宋体" w:hAnsi="宋体" w:cs="宋体"/>
                <w:sz w:val="18"/>
                <w:szCs w:val="18"/>
              </w:rPr>
            </w:pPr>
            <w:r>
              <w:rPr>
                <w:rFonts w:ascii="宋体" w:hAnsi="宋体" w:cs="宋体"/>
                <w:sz w:val="18"/>
                <w:szCs w:val="18"/>
              </w:rPr>
              <w:t>0.00</w:t>
            </w:r>
          </w:p>
        </w:tc>
        <w:tc>
          <w:tcPr>
            <w:tcW w:w="640" w:type="dxa"/>
            <w:gridSpan w:val="2"/>
            <w:tcBorders>
              <w:top w:val="single" w:color="auto" w:sz="2" w:space="0"/>
              <w:left w:val="single" w:color="auto" w:sz="2" w:space="0"/>
              <w:bottom w:val="single" w:color="auto" w:sz="2" w:space="0"/>
              <w:right w:val="single" w:color="auto" w:sz="2" w:space="0"/>
            </w:tcBorders>
            <w:vAlign w:val="center"/>
          </w:tcPr>
          <w:p w14:paraId="51B7B9F3">
            <w:pPr>
              <w:spacing w:line="240" w:lineRule="exact"/>
              <w:jc w:val="left"/>
              <w:rPr>
                <w:rFonts w:hint="eastAsia" w:ascii="宋体" w:hAnsi="宋体" w:cs="宋体"/>
                <w:sz w:val="18"/>
                <w:szCs w:val="18"/>
              </w:rPr>
            </w:pPr>
            <w:r>
              <w:rPr>
                <w:rFonts w:ascii="宋体" w:hAnsi="宋体" w:cs="宋体"/>
                <w:sz w:val="18"/>
                <w:szCs w:val="18"/>
              </w:rPr>
              <w:t>不适用</w:t>
            </w:r>
          </w:p>
        </w:tc>
        <w:tc>
          <w:tcPr>
            <w:tcW w:w="1459" w:type="dxa"/>
            <w:gridSpan w:val="2"/>
            <w:tcBorders>
              <w:top w:val="single" w:color="auto" w:sz="2" w:space="0"/>
              <w:left w:val="single" w:color="auto" w:sz="2" w:space="0"/>
              <w:bottom w:val="single" w:color="auto" w:sz="2" w:space="0"/>
              <w:right w:val="single" w:color="auto" w:sz="2" w:space="0"/>
            </w:tcBorders>
            <w:vAlign w:val="center"/>
          </w:tcPr>
          <w:p w14:paraId="10658435">
            <w:pPr>
              <w:spacing w:line="240" w:lineRule="exact"/>
              <w:jc w:val="right"/>
              <w:rPr>
                <w:rFonts w:hint="eastAsia" w:ascii="宋体" w:hAnsi="宋体" w:cs="宋体"/>
                <w:sz w:val="18"/>
                <w:szCs w:val="18"/>
              </w:rPr>
            </w:pPr>
            <w:r>
              <w:rPr>
                <w:rFonts w:ascii="宋体" w:hAnsi="宋体" w:cs="宋体"/>
                <w:sz w:val="18"/>
                <w:szCs w:val="18"/>
              </w:rPr>
              <w:t>0.00</w:t>
            </w:r>
          </w:p>
        </w:tc>
      </w:tr>
      <w:tr w14:paraId="63707E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2628" w:type="dxa"/>
            <w:gridSpan w:val="3"/>
            <w:tcBorders>
              <w:top w:val="single" w:color="auto" w:sz="2" w:space="0"/>
              <w:left w:val="single" w:color="auto" w:sz="2" w:space="0"/>
              <w:bottom w:val="single" w:color="auto" w:sz="2" w:space="0"/>
              <w:right w:val="single" w:color="auto" w:sz="2" w:space="0"/>
            </w:tcBorders>
            <w:vAlign w:val="center"/>
          </w:tcPr>
          <w:p w14:paraId="5403033F">
            <w:pPr>
              <w:spacing w:line="240" w:lineRule="exact"/>
              <w:jc w:val="left"/>
              <w:rPr>
                <w:rFonts w:hint="eastAsia" w:ascii="宋体" w:hAnsi="宋体" w:cs="宋体"/>
                <w:sz w:val="18"/>
                <w:szCs w:val="18"/>
              </w:rPr>
            </w:pPr>
            <w:r>
              <w:rPr>
                <w:rFonts w:ascii="宋体" w:hAnsi="宋体" w:cs="宋体"/>
                <w:sz w:val="18"/>
                <w:szCs w:val="18"/>
              </w:rPr>
              <w:t>福建千寻私募基金管理有限公司－千寻朴润成长私募证券投资基金</w:t>
            </w:r>
          </w:p>
        </w:tc>
        <w:tc>
          <w:tcPr>
            <w:tcW w:w="1209" w:type="dxa"/>
            <w:gridSpan w:val="2"/>
            <w:tcBorders>
              <w:top w:val="single" w:color="auto" w:sz="2" w:space="0"/>
              <w:left w:val="single" w:color="auto" w:sz="2" w:space="0"/>
              <w:bottom w:val="single" w:color="auto" w:sz="2" w:space="0"/>
              <w:right w:val="single" w:color="auto" w:sz="2" w:space="0"/>
            </w:tcBorders>
            <w:vAlign w:val="center"/>
          </w:tcPr>
          <w:p w14:paraId="12A06733">
            <w:pPr>
              <w:spacing w:line="240" w:lineRule="exact"/>
              <w:jc w:val="left"/>
              <w:rPr>
                <w:rFonts w:hint="eastAsia" w:ascii="宋体" w:hAnsi="宋体" w:cs="宋体"/>
                <w:sz w:val="18"/>
                <w:szCs w:val="18"/>
              </w:rPr>
            </w:pPr>
            <w:r>
              <w:rPr>
                <w:rFonts w:ascii="宋体" w:hAnsi="宋体" w:cs="宋体"/>
                <w:sz w:val="18"/>
                <w:szCs w:val="18"/>
              </w:rPr>
              <w:t>其他</w:t>
            </w:r>
          </w:p>
        </w:tc>
        <w:tc>
          <w:tcPr>
            <w:tcW w:w="830" w:type="dxa"/>
            <w:gridSpan w:val="2"/>
            <w:tcBorders>
              <w:top w:val="single" w:color="auto" w:sz="2" w:space="0"/>
              <w:left w:val="single" w:color="auto" w:sz="2" w:space="0"/>
              <w:bottom w:val="single" w:color="auto" w:sz="2" w:space="0"/>
              <w:right w:val="single" w:color="auto" w:sz="2" w:space="0"/>
            </w:tcBorders>
            <w:vAlign w:val="center"/>
          </w:tcPr>
          <w:p w14:paraId="2EA3C4CE">
            <w:pPr>
              <w:spacing w:line="240" w:lineRule="exact"/>
              <w:jc w:val="right"/>
              <w:rPr>
                <w:rFonts w:hint="eastAsia" w:ascii="宋体" w:hAnsi="宋体" w:cs="宋体"/>
                <w:sz w:val="18"/>
                <w:szCs w:val="18"/>
              </w:rPr>
            </w:pPr>
            <w:r>
              <w:rPr>
                <w:rFonts w:ascii="宋体" w:hAnsi="宋体" w:cs="宋体"/>
                <w:sz w:val="18"/>
                <w:szCs w:val="18"/>
              </w:rPr>
              <w:t>0.72%</w:t>
            </w:r>
          </w:p>
        </w:tc>
        <w:tc>
          <w:tcPr>
            <w:tcW w:w="1430" w:type="dxa"/>
            <w:gridSpan w:val="2"/>
            <w:tcBorders>
              <w:top w:val="single" w:color="auto" w:sz="2" w:space="0"/>
              <w:left w:val="single" w:color="auto" w:sz="2" w:space="0"/>
              <w:bottom w:val="single" w:color="auto" w:sz="2" w:space="0"/>
              <w:right w:val="single" w:color="auto" w:sz="2" w:space="0"/>
            </w:tcBorders>
            <w:vAlign w:val="center"/>
          </w:tcPr>
          <w:p w14:paraId="5BC1CBEE">
            <w:pPr>
              <w:spacing w:line="240" w:lineRule="exact"/>
              <w:jc w:val="right"/>
              <w:rPr>
                <w:rFonts w:hint="eastAsia" w:ascii="宋体" w:hAnsi="宋体" w:cs="宋体"/>
                <w:sz w:val="18"/>
                <w:szCs w:val="18"/>
              </w:rPr>
            </w:pPr>
            <w:r>
              <w:rPr>
                <w:rFonts w:ascii="宋体" w:hAnsi="宋体" w:cs="宋体"/>
                <w:sz w:val="18"/>
                <w:szCs w:val="18"/>
              </w:rPr>
              <w:t>964,200.00</w:t>
            </w:r>
          </w:p>
        </w:tc>
        <w:tc>
          <w:tcPr>
            <w:tcW w:w="1440" w:type="dxa"/>
            <w:gridSpan w:val="2"/>
            <w:tcBorders>
              <w:top w:val="single" w:color="auto" w:sz="2" w:space="0"/>
              <w:left w:val="single" w:color="auto" w:sz="2" w:space="0"/>
              <w:bottom w:val="single" w:color="auto" w:sz="2" w:space="0"/>
              <w:right w:val="single" w:color="auto" w:sz="2" w:space="0"/>
            </w:tcBorders>
            <w:vAlign w:val="center"/>
          </w:tcPr>
          <w:p w14:paraId="34B95309">
            <w:pPr>
              <w:spacing w:line="240" w:lineRule="exact"/>
              <w:jc w:val="right"/>
              <w:rPr>
                <w:rFonts w:hint="eastAsia" w:ascii="宋体" w:hAnsi="宋体" w:cs="宋体"/>
                <w:sz w:val="18"/>
                <w:szCs w:val="18"/>
              </w:rPr>
            </w:pPr>
            <w:r>
              <w:rPr>
                <w:rFonts w:ascii="宋体" w:hAnsi="宋体" w:cs="宋体"/>
                <w:sz w:val="18"/>
                <w:szCs w:val="18"/>
              </w:rPr>
              <w:t>0.00</w:t>
            </w:r>
          </w:p>
        </w:tc>
        <w:tc>
          <w:tcPr>
            <w:tcW w:w="640" w:type="dxa"/>
            <w:gridSpan w:val="2"/>
            <w:tcBorders>
              <w:top w:val="single" w:color="auto" w:sz="2" w:space="0"/>
              <w:left w:val="single" w:color="auto" w:sz="2" w:space="0"/>
              <w:bottom w:val="single" w:color="auto" w:sz="2" w:space="0"/>
              <w:right w:val="single" w:color="auto" w:sz="2" w:space="0"/>
            </w:tcBorders>
            <w:vAlign w:val="center"/>
          </w:tcPr>
          <w:p w14:paraId="44B3577C">
            <w:pPr>
              <w:spacing w:line="240" w:lineRule="exact"/>
              <w:jc w:val="left"/>
              <w:rPr>
                <w:rFonts w:hint="eastAsia" w:ascii="宋体" w:hAnsi="宋体" w:cs="宋体"/>
                <w:sz w:val="18"/>
                <w:szCs w:val="18"/>
              </w:rPr>
            </w:pPr>
            <w:r>
              <w:rPr>
                <w:rFonts w:ascii="宋体" w:hAnsi="宋体" w:cs="宋体"/>
                <w:sz w:val="18"/>
                <w:szCs w:val="18"/>
              </w:rPr>
              <w:t>不适用</w:t>
            </w:r>
          </w:p>
        </w:tc>
        <w:tc>
          <w:tcPr>
            <w:tcW w:w="1459" w:type="dxa"/>
            <w:gridSpan w:val="2"/>
            <w:tcBorders>
              <w:top w:val="single" w:color="auto" w:sz="2" w:space="0"/>
              <w:left w:val="single" w:color="auto" w:sz="2" w:space="0"/>
              <w:bottom w:val="single" w:color="auto" w:sz="2" w:space="0"/>
              <w:right w:val="single" w:color="auto" w:sz="2" w:space="0"/>
            </w:tcBorders>
            <w:vAlign w:val="center"/>
          </w:tcPr>
          <w:p w14:paraId="2F301A5F">
            <w:pPr>
              <w:spacing w:line="240" w:lineRule="exact"/>
              <w:jc w:val="right"/>
              <w:rPr>
                <w:rFonts w:hint="eastAsia" w:ascii="宋体" w:hAnsi="宋体" w:cs="宋体"/>
                <w:sz w:val="18"/>
                <w:szCs w:val="18"/>
              </w:rPr>
            </w:pPr>
            <w:r>
              <w:rPr>
                <w:rFonts w:ascii="宋体" w:hAnsi="宋体" w:cs="宋体"/>
                <w:sz w:val="18"/>
                <w:szCs w:val="18"/>
              </w:rPr>
              <w:t>0.00</w:t>
            </w:r>
          </w:p>
        </w:tc>
      </w:tr>
      <w:tr w14:paraId="67434F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40" w:hRule="atLeast"/>
        </w:trPr>
        <w:tc>
          <w:tcPr>
            <w:tcW w:w="1752" w:type="dxa"/>
            <w:gridSpan w:val="2"/>
            <w:tcBorders>
              <w:top w:val="single" w:color="auto" w:sz="2" w:space="0"/>
              <w:left w:val="single" w:color="auto" w:sz="2" w:space="0"/>
              <w:bottom w:val="single" w:color="auto" w:sz="2" w:space="0"/>
              <w:right w:val="single" w:color="auto" w:sz="2" w:space="0"/>
            </w:tcBorders>
            <w:shd w:val="clear" w:color="auto" w:fill="D3D3D3"/>
            <w:vAlign w:val="center"/>
          </w:tcPr>
          <w:p w14:paraId="6DB8E70C">
            <w:pPr>
              <w:spacing w:before="40" w:after="40" w:line="240" w:lineRule="exact"/>
              <w:jc w:val="left"/>
              <w:rPr>
                <w:rFonts w:hint="eastAsia" w:ascii="宋体" w:hAnsi="宋体" w:cs="宋体"/>
                <w:sz w:val="18"/>
                <w:szCs w:val="18"/>
              </w:rPr>
            </w:pPr>
            <w:r>
              <w:rPr>
                <w:rFonts w:ascii="宋体" w:hAnsi="宋体" w:cs="宋体"/>
                <w:sz w:val="18"/>
                <w:szCs w:val="18"/>
              </w:rPr>
              <w:t>上述股东关联关系或一致行动的说明</w:t>
            </w:r>
          </w:p>
        </w:tc>
        <w:tc>
          <w:tcPr>
            <w:tcW w:w="7884" w:type="dxa"/>
            <w:gridSpan w:val="13"/>
            <w:tcBorders>
              <w:top w:val="single" w:color="auto" w:sz="2" w:space="0"/>
              <w:left w:val="single" w:color="auto" w:sz="2" w:space="0"/>
              <w:bottom w:val="single" w:color="auto" w:sz="2" w:space="0"/>
              <w:right w:val="single" w:color="auto" w:sz="2" w:space="0"/>
            </w:tcBorders>
            <w:vAlign w:val="center"/>
          </w:tcPr>
          <w:p w14:paraId="6984B1A4">
            <w:pPr>
              <w:spacing w:line="240" w:lineRule="exact"/>
              <w:jc w:val="left"/>
              <w:rPr>
                <w:rFonts w:hint="eastAsia" w:ascii="宋体" w:hAnsi="宋体" w:cs="宋体"/>
                <w:sz w:val="18"/>
                <w:szCs w:val="18"/>
              </w:rPr>
            </w:pPr>
            <w:r>
              <w:rPr>
                <w:rFonts w:ascii="宋体" w:hAnsi="宋体" w:cs="宋体"/>
                <w:sz w:val="18"/>
                <w:szCs w:val="18"/>
              </w:rPr>
              <w:t>1、福建奥华集团有限公司、福建平潭奥泰科技投资中心（有限合伙）为李国平控制的企业，叶理青与李国平为配偶关系，李国栋与李国平为兄弟关系；</w:t>
            </w:r>
          </w:p>
          <w:p w14:paraId="229FCB34">
            <w:pPr>
              <w:spacing w:line="240" w:lineRule="exact"/>
              <w:jc w:val="left"/>
              <w:rPr>
                <w:rFonts w:hint="eastAsia" w:ascii="宋体" w:hAnsi="宋体" w:cs="宋体"/>
                <w:sz w:val="18"/>
                <w:szCs w:val="18"/>
              </w:rPr>
            </w:pPr>
            <w:r>
              <w:rPr>
                <w:rFonts w:ascii="宋体" w:hAnsi="宋体" w:cs="宋体"/>
                <w:sz w:val="18"/>
                <w:szCs w:val="18"/>
              </w:rPr>
              <w:t>2、本公司未知除上述外其他股东之间是否存在关联关系，也未知是否属于一致行动人。</w:t>
            </w:r>
          </w:p>
        </w:tc>
      </w:tr>
    </w:tbl>
    <w:p w14:paraId="1C509166">
      <w:pPr>
        <w:spacing w:before="100" w:after="100" w:line="240" w:lineRule="exact"/>
        <w:jc w:val="left"/>
        <w:rPr>
          <w:rFonts w:hint="eastAsia" w:ascii="宋体" w:hAnsi="宋体" w:cs="宋体"/>
          <w:sz w:val="18"/>
          <w:szCs w:val="18"/>
        </w:rPr>
      </w:pPr>
      <w:r>
        <w:rPr>
          <w:rFonts w:ascii="宋体" w:hAnsi="宋体" w:cs="宋体"/>
          <w:sz w:val="18"/>
          <w:szCs w:val="18"/>
        </w:rPr>
        <w:t>持股5%以上股东、前10名股东及前10名无限售流通股股东参与转融通业务出借股份情况</w:t>
      </w:r>
    </w:p>
    <w:p w14:paraId="59E6A51C">
      <w:pPr>
        <w:spacing w:line="240" w:lineRule="exact"/>
        <w:jc w:val="left"/>
        <w:rPr>
          <w:rFonts w:hint="eastAsia" w:ascii="宋体" w:hAnsi="宋体" w:cs="宋体"/>
          <w:sz w:val="18"/>
          <w:szCs w:val="18"/>
        </w:rPr>
      </w:pPr>
      <w:r>
        <w:rPr>
          <w:rFonts w:ascii="宋体" w:hAnsi="宋体" w:cs="宋体"/>
          <w:sz w:val="18"/>
          <w:szCs w:val="18"/>
        </w:rPr>
        <w:t xml:space="preserve">□适用 </w:t>
      </w:r>
      <w:r>
        <w:rPr>
          <w:rFonts w:ascii="宋体" w:hAnsi="宋体" w:cs="宋体"/>
          <w:sz w:val="18"/>
          <w:szCs w:val="18"/>
        </w:rPr>
        <w:sym w:font="Wingdings 2" w:char="F052"/>
      </w:r>
      <w:r>
        <w:rPr>
          <w:rFonts w:ascii="宋体" w:hAnsi="宋体" w:cs="宋体"/>
          <w:sz w:val="18"/>
          <w:szCs w:val="18"/>
        </w:rPr>
        <w:t>不适用</w:t>
      </w:r>
    </w:p>
    <w:p w14:paraId="0058FFB6">
      <w:pPr>
        <w:spacing w:before="100" w:after="100" w:line="240" w:lineRule="exact"/>
        <w:jc w:val="left"/>
        <w:rPr>
          <w:rFonts w:hint="eastAsia" w:ascii="宋体" w:hAnsi="宋体" w:cs="宋体"/>
          <w:sz w:val="18"/>
          <w:szCs w:val="18"/>
        </w:rPr>
      </w:pPr>
      <w:r>
        <w:rPr>
          <w:rFonts w:ascii="宋体" w:hAnsi="宋体" w:cs="宋体"/>
          <w:sz w:val="18"/>
          <w:szCs w:val="18"/>
        </w:rPr>
        <w:t>前10名股东及前10名无限售流通股股东因转融通出借/归还原因导致较上期发生变化</w:t>
      </w:r>
    </w:p>
    <w:p w14:paraId="7156A91A">
      <w:pPr>
        <w:spacing w:line="240" w:lineRule="exact"/>
        <w:jc w:val="left"/>
        <w:rPr>
          <w:rFonts w:hint="eastAsia" w:ascii="宋体" w:hAnsi="宋体" w:cs="宋体"/>
          <w:sz w:val="18"/>
          <w:szCs w:val="18"/>
        </w:rPr>
      </w:pPr>
      <w:r>
        <w:rPr>
          <w:rFonts w:ascii="宋体" w:hAnsi="宋体" w:cs="宋体"/>
          <w:sz w:val="18"/>
          <w:szCs w:val="18"/>
        </w:rPr>
        <w:t xml:space="preserve">□适用 </w:t>
      </w:r>
      <w:r>
        <w:rPr>
          <w:rFonts w:ascii="宋体" w:hAnsi="宋体" w:cs="宋体"/>
          <w:sz w:val="18"/>
          <w:szCs w:val="18"/>
        </w:rPr>
        <w:sym w:font="Wingdings 2" w:char="F052"/>
      </w:r>
      <w:r>
        <w:rPr>
          <w:rFonts w:ascii="宋体" w:hAnsi="宋体" w:cs="宋体"/>
          <w:sz w:val="18"/>
          <w:szCs w:val="18"/>
        </w:rPr>
        <w:t>不适用</w:t>
      </w:r>
    </w:p>
    <w:p w14:paraId="24A24F4C">
      <w:pPr>
        <w:spacing w:before="100" w:after="100" w:line="240" w:lineRule="exact"/>
        <w:jc w:val="left"/>
        <w:rPr>
          <w:rFonts w:hint="eastAsia" w:ascii="宋体" w:hAnsi="宋体" w:cs="宋体"/>
          <w:sz w:val="18"/>
          <w:szCs w:val="18"/>
        </w:rPr>
      </w:pPr>
      <w:r>
        <w:rPr>
          <w:rFonts w:ascii="宋体" w:hAnsi="宋体" w:cs="宋体"/>
          <w:sz w:val="18"/>
          <w:szCs w:val="18"/>
        </w:rPr>
        <w:t>公司是否具有表决权差异安排</w:t>
      </w:r>
    </w:p>
    <w:p w14:paraId="01C8DA6C">
      <w:pPr>
        <w:spacing w:before="40" w:after="40" w:line="240" w:lineRule="exact"/>
        <w:jc w:val="left"/>
        <w:rPr>
          <w:rFonts w:hint="eastAsia" w:ascii="宋体" w:hAnsi="宋体" w:cs="宋体"/>
          <w:sz w:val="18"/>
          <w:szCs w:val="18"/>
        </w:rPr>
      </w:pPr>
      <w:r>
        <w:rPr>
          <w:rFonts w:ascii="宋体" w:hAnsi="宋体" w:cs="宋体"/>
          <w:sz w:val="18"/>
          <w:szCs w:val="18"/>
        </w:rPr>
        <w:t xml:space="preserve">□适用 </w:t>
      </w:r>
      <w:r>
        <w:rPr>
          <w:rFonts w:ascii="宋体" w:hAnsi="宋体" w:cs="宋体"/>
          <w:sz w:val="18"/>
          <w:szCs w:val="18"/>
        </w:rPr>
        <w:sym w:font="Wingdings 2" w:char="F052"/>
      </w:r>
      <w:r>
        <w:rPr>
          <w:rFonts w:ascii="宋体" w:hAnsi="宋体" w:cs="宋体"/>
          <w:sz w:val="18"/>
          <w:szCs w:val="18"/>
        </w:rPr>
        <w:t>不适用</w:t>
      </w:r>
    </w:p>
    <w:p w14:paraId="11702379">
      <w:pPr>
        <w:keepNext/>
        <w:keepLines/>
        <w:spacing w:before="300" w:after="300" w:line="280" w:lineRule="exact"/>
        <w:jc w:val="left"/>
        <w:outlineLvl w:val="3"/>
        <w:rPr>
          <w:rFonts w:hint="eastAsia" w:ascii="宋体" w:hAnsi="宋体" w:cs="宋体"/>
          <w:b/>
          <w:bCs/>
          <w:sz w:val="18"/>
          <w:szCs w:val="18"/>
        </w:rPr>
      </w:pPr>
      <w:bookmarkStart w:id="10" w:name="_Toc988898"/>
      <w:r>
        <w:rPr>
          <w:rFonts w:ascii="宋体" w:hAnsi="宋体" w:cs="宋体"/>
          <w:b/>
          <w:bCs/>
          <w:sz w:val="18"/>
          <w:szCs w:val="18"/>
        </w:rPr>
        <w:t>（2） 公司优先股股东总数及前10名优先股股东持股情况表</w:t>
      </w:r>
      <w:bookmarkEnd w:id="10"/>
    </w:p>
    <w:p w14:paraId="160DA251">
      <w:pPr>
        <w:spacing w:before="40" w:after="40" w:line="0" w:lineRule="atLeast"/>
        <w:jc w:val="left"/>
      </w:pPr>
    </w:p>
    <w:p w14:paraId="2418C13D">
      <w:pPr>
        <w:spacing w:line="240" w:lineRule="exact"/>
        <w:jc w:val="left"/>
        <w:rPr>
          <w:rFonts w:hint="eastAsia" w:ascii="宋体" w:hAnsi="宋体" w:cs="宋体"/>
          <w:sz w:val="18"/>
          <w:szCs w:val="18"/>
        </w:rPr>
      </w:pPr>
      <w:r>
        <w:rPr>
          <w:rFonts w:ascii="宋体" w:hAnsi="宋体" w:cs="宋体"/>
          <w:sz w:val="18"/>
          <w:szCs w:val="18"/>
        </w:rPr>
        <w:t>公司报告期无优先股股东持股情况。</w:t>
      </w:r>
    </w:p>
    <w:p w14:paraId="64BA0365">
      <w:pPr>
        <w:keepNext/>
        <w:keepLines/>
        <w:spacing w:before="300" w:after="300" w:line="280" w:lineRule="exact"/>
        <w:jc w:val="left"/>
        <w:outlineLvl w:val="3"/>
        <w:rPr>
          <w:rFonts w:hint="eastAsia" w:ascii="宋体" w:hAnsi="宋体" w:cs="宋体"/>
          <w:b/>
          <w:bCs/>
          <w:sz w:val="18"/>
          <w:szCs w:val="18"/>
        </w:rPr>
      </w:pPr>
      <w:bookmarkStart w:id="11" w:name="_Toc988899"/>
      <w:r>
        <w:rPr>
          <w:rFonts w:ascii="宋体" w:hAnsi="宋体" w:cs="宋体"/>
          <w:b/>
          <w:bCs/>
          <w:sz w:val="18"/>
          <w:szCs w:val="18"/>
        </w:rPr>
        <w:t>（3） 以方框图形式披露公司与实际控制人之间的产权及控制关系</w:t>
      </w:r>
      <w:bookmarkEnd w:id="11"/>
    </w:p>
    <w:p w14:paraId="4F212969">
      <w:pPr>
        <w:spacing w:before="40" w:after="40" w:line="0" w:lineRule="atLeast"/>
      </w:pPr>
      <w:r>
        <w:drawing>
          <wp:inline distT="0" distB="0" distL="0" distR="0">
            <wp:extent cx="4343400" cy="2371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cstate="print"/>
                    <a:stretch>
                      <a:fillRect/>
                    </a:stretch>
                  </pic:blipFill>
                  <pic:spPr>
                    <a:xfrm>
                      <a:off x="0" y="0"/>
                      <a:ext cx="4343400" cy="2371725"/>
                    </a:xfrm>
                    <a:prstGeom prst="rect">
                      <a:avLst/>
                    </a:prstGeom>
                  </pic:spPr>
                </pic:pic>
              </a:graphicData>
            </a:graphic>
          </wp:inline>
        </w:drawing>
      </w:r>
    </w:p>
    <w:p w14:paraId="73256002">
      <w:pPr>
        <w:spacing w:line="240" w:lineRule="exact"/>
        <w:jc w:val="left"/>
        <w:rPr>
          <w:rFonts w:ascii="宋体" w:hAnsi="宋体" w:cs="宋体"/>
          <w:sz w:val="18"/>
          <w:szCs w:val="18"/>
        </w:rPr>
      </w:pPr>
      <w:bookmarkStart w:id="12" w:name="_Toc988900"/>
      <w:r>
        <w:rPr>
          <w:rFonts w:hint="eastAsia" w:ascii="宋体" w:hAnsi="宋体" w:cs="宋体"/>
          <w:sz w:val="18"/>
          <w:szCs w:val="18"/>
        </w:rPr>
        <w:t>2024 年 11 月 14 日，公司控股股东奥华集团与圆山基金签署了《股份转让协议》，以协议转让的方式向圆山基金转让其持有的公司无限售条件流通股合计8,000,000 股，占公司总股本5.02%。2025年1月，前述协议转让股份办理完成过户登记手续。本次协议转让股份过户完成后，控股股东奥华集团持有公司股份27,068,651股，占公司总股本的17.00%；控股股东及其一致行动人合计持股65,131,292股，占公司总股本的40.89%；圆山基金持有公司股份8,000,000股，占公司总股本的5.02%。</w:t>
      </w:r>
    </w:p>
    <w:p w14:paraId="463E7451">
      <w:pPr>
        <w:keepNext/>
        <w:keepLines/>
        <w:spacing w:before="300" w:after="300" w:line="280" w:lineRule="exact"/>
        <w:jc w:val="left"/>
        <w:outlineLvl w:val="2"/>
        <w:rPr>
          <w:rFonts w:hint="eastAsia" w:ascii="宋体" w:hAnsi="宋体" w:cs="宋体"/>
          <w:b/>
          <w:bCs/>
          <w:szCs w:val="21"/>
        </w:rPr>
      </w:pPr>
      <w:r>
        <w:rPr>
          <w:rFonts w:ascii="宋体" w:hAnsi="宋体" w:cs="宋体"/>
          <w:b/>
          <w:bCs/>
          <w:szCs w:val="21"/>
        </w:rPr>
        <w:t>5、在年度报告批准报出日存续的债券情况</w:t>
      </w:r>
      <w:bookmarkEnd w:id="12"/>
    </w:p>
    <w:p w14:paraId="650112BA">
      <w:pPr>
        <w:spacing w:before="40" w:after="40" w:line="240" w:lineRule="exact"/>
        <w:jc w:val="left"/>
        <w:rPr>
          <w:rFonts w:hint="eastAsia" w:ascii="宋体" w:hAnsi="宋体" w:cs="宋体"/>
          <w:sz w:val="18"/>
          <w:szCs w:val="18"/>
        </w:rPr>
      </w:pPr>
      <w:r>
        <w:rPr>
          <w:rFonts w:ascii="宋体" w:hAnsi="宋体" w:cs="宋体"/>
          <w:sz w:val="18"/>
          <w:szCs w:val="18"/>
        </w:rPr>
        <w:t xml:space="preserve">□适用 </w:t>
      </w:r>
      <w:r>
        <w:rPr>
          <w:rFonts w:ascii="宋体" w:hAnsi="宋体" w:cs="宋体"/>
          <w:sz w:val="18"/>
          <w:szCs w:val="18"/>
        </w:rPr>
        <w:sym w:font="Wingdings 2" w:char="F052"/>
      </w:r>
      <w:r>
        <w:rPr>
          <w:rFonts w:ascii="宋体" w:hAnsi="宋体" w:cs="宋体"/>
          <w:sz w:val="18"/>
          <w:szCs w:val="18"/>
        </w:rPr>
        <w:t>不适用</w:t>
      </w:r>
    </w:p>
    <w:p w14:paraId="75385876">
      <w:pPr>
        <w:keepNext/>
        <w:keepLines/>
        <w:spacing w:before="300" w:after="300" w:line="320" w:lineRule="exact"/>
        <w:jc w:val="left"/>
        <w:outlineLvl w:val="1"/>
        <w:rPr>
          <w:rFonts w:hint="eastAsia" w:ascii="宋体" w:hAnsi="宋体" w:cs="宋体"/>
          <w:b/>
          <w:bCs/>
          <w:sz w:val="24"/>
          <w:szCs w:val="24"/>
        </w:rPr>
      </w:pPr>
      <w:bookmarkStart w:id="13" w:name="_Toc988901"/>
      <w:r>
        <w:rPr>
          <w:rFonts w:ascii="宋体" w:hAnsi="宋体" w:cs="宋体"/>
          <w:b/>
          <w:bCs/>
          <w:sz w:val="24"/>
          <w:szCs w:val="24"/>
        </w:rPr>
        <w:t>三、重要事项</w:t>
      </w:r>
      <w:bookmarkEnd w:id="13"/>
    </w:p>
    <w:p w14:paraId="0DA6A07B">
      <w:pPr>
        <w:pStyle w:val="2"/>
        <w:widowControl/>
        <w:spacing w:beforeAutospacing="0" w:afterAutospacing="0"/>
        <w:ind w:firstLine="360"/>
        <w:rPr>
          <w:rFonts w:hint="eastAsia" w:ascii="宋体" w:hAnsi="宋体" w:cs="宋体"/>
          <w:szCs w:val="24"/>
        </w:rPr>
      </w:pPr>
      <w:r>
        <w:rPr>
          <w:rFonts w:hint="eastAsia" w:ascii="宋体" w:hAnsi="宋体" w:cs="宋体"/>
          <w:b/>
          <w:bCs/>
          <w:sz w:val="18"/>
          <w:szCs w:val="18"/>
        </w:rPr>
        <w:t>1、完成董事会、监事会换届选举和高级管理人员聘任</w:t>
      </w:r>
    </w:p>
    <w:p w14:paraId="4C673AAB">
      <w:pPr>
        <w:pStyle w:val="2"/>
        <w:widowControl/>
        <w:spacing w:beforeAutospacing="0" w:afterAutospacing="0"/>
        <w:ind w:firstLine="360"/>
        <w:rPr>
          <w:rFonts w:hint="eastAsia" w:ascii="宋体" w:hAnsi="宋体" w:cs="宋体"/>
          <w:sz w:val="18"/>
          <w:szCs w:val="18"/>
        </w:rPr>
      </w:pPr>
      <w:r>
        <w:rPr>
          <w:rFonts w:hint="eastAsia" w:ascii="宋体" w:hAnsi="宋体" w:cs="宋体"/>
          <w:sz w:val="18"/>
          <w:szCs w:val="18"/>
        </w:rPr>
        <w:t>公司于2024年6月21日召开职工代表大会，2024年6月24日召开2024年第二次临时股东大会、第五届董事会第一次会议、第五届监事会第一次会议，完成董事会、监事会换届选举，及高级管理人员、证券事务代表和内部审计部门负责人的聘任。</w:t>
      </w:r>
    </w:p>
    <w:p w14:paraId="2F427D80">
      <w:pPr>
        <w:widowControl/>
        <w:ind w:firstLine="360" w:firstLineChars="200"/>
        <w:jc w:val="left"/>
        <w:rPr>
          <w:rFonts w:hint="eastAsia" w:ascii="宋体" w:hAnsi="宋体" w:cs="宋体"/>
          <w:b/>
          <w:bCs/>
          <w:kern w:val="2"/>
          <w:sz w:val="18"/>
          <w:szCs w:val="18"/>
        </w:rPr>
      </w:pPr>
      <w:r>
        <w:rPr>
          <w:rFonts w:hint="eastAsia" w:ascii="宋体" w:hAnsi="宋体" w:cs="宋体"/>
          <w:b/>
          <w:bCs/>
          <w:kern w:val="2"/>
          <w:sz w:val="18"/>
          <w:szCs w:val="18"/>
          <w:lang w:val="en-US" w:eastAsia="zh-CN"/>
        </w:rPr>
        <w:t>2</w:t>
      </w:r>
      <w:r>
        <w:rPr>
          <w:rFonts w:hint="eastAsia" w:ascii="宋体" w:hAnsi="宋体" w:cs="宋体"/>
          <w:b/>
          <w:bCs/>
          <w:kern w:val="2"/>
          <w:sz w:val="18"/>
          <w:szCs w:val="18"/>
        </w:rPr>
        <w:t>、乙肝治疗创新药表面抗原抑制剂GST-HG131获得IIa期临床试验研究阶段性结果</w:t>
      </w:r>
    </w:p>
    <w:p w14:paraId="24D56700">
      <w:pPr>
        <w:widowControl/>
        <w:ind w:firstLine="360" w:firstLineChars="200"/>
        <w:jc w:val="left"/>
        <w:rPr>
          <w:rFonts w:hint="eastAsia" w:ascii="宋体" w:hAnsi="宋体" w:cs="宋体"/>
          <w:kern w:val="2"/>
          <w:sz w:val="18"/>
          <w:szCs w:val="18"/>
        </w:rPr>
      </w:pPr>
      <w:r>
        <w:rPr>
          <w:rFonts w:hint="eastAsia" w:ascii="宋体" w:hAnsi="宋体" w:cs="宋体"/>
          <w:kern w:val="2"/>
          <w:sz w:val="18"/>
          <w:szCs w:val="18"/>
        </w:rPr>
        <w:t>乙肝治疗创新药口服表面抗原抑制剂GST-HG131已完成慢性乙型肝炎（CHB）IIa期临床试验第一组研究，取得显著优于安慰剂对照的正面疗效，符合研究预期。本次GST-HG131获得IIa期临床试验研究（第一组）阶段性研究结果，不代表IIa期临床试验已全部成功完成并达到研究终点。公司将按照药物临床试验相关指导原则，结合国内外临床治疗实践，组织实施好后续临床试验，并及时履行信息披露义务。</w:t>
      </w:r>
    </w:p>
    <w:p w14:paraId="29DD3A20">
      <w:pPr>
        <w:widowControl/>
        <w:ind w:firstLine="360" w:firstLineChars="200"/>
        <w:jc w:val="left"/>
        <w:rPr>
          <w:rFonts w:hint="eastAsia" w:ascii="宋体" w:hAnsi="宋体" w:cs="宋体"/>
          <w:kern w:val="2"/>
          <w:sz w:val="18"/>
          <w:szCs w:val="18"/>
        </w:rPr>
      </w:pPr>
      <w:r>
        <w:rPr>
          <w:rFonts w:hint="eastAsia" w:ascii="宋体" w:hAnsi="宋体" w:cs="宋体"/>
          <w:sz w:val="18"/>
          <w:szCs w:val="18"/>
          <w:lang w:bidi="ar"/>
        </w:rPr>
        <w:t>具体内容详见公司披露在巨潮资讯网（www.cninfo.com.cn）的《关于乙肝治疗创新药表面抗原抑制剂GST-HG131获得IIa期临床试验研究阶段性结果公告》（公告编号：2024066）。</w:t>
      </w:r>
    </w:p>
    <w:p w14:paraId="270BB046">
      <w:pPr>
        <w:widowControl/>
        <w:ind w:firstLine="360" w:firstLineChars="200"/>
        <w:jc w:val="left"/>
        <w:rPr>
          <w:rFonts w:hint="eastAsia" w:ascii="宋体" w:hAnsi="宋体" w:cs="宋体"/>
          <w:kern w:val="2"/>
          <w:sz w:val="18"/>
          <w:szCs w:val="18"/>
        </w:rPr>
      </w:pPr>
      <w:r>
        <w:rPr>
          <w:rFonts w:hint="eastAsia" w:ascii="宋体" w:hAnsi="宋体" w:cs="宋体"/>
          <w:b/>
          <w:bCs/>
          <w:kern w:val="2"/>
          <w:sz w:val="18"/>
          <w:szCs w:val="18"/>
          <w:lang w:val="en-US" w:eastAsia="zh-CN"/>
        </w:rPr>
        <w:t>3</w:t>
      </w:r>
      <w:r>
        <w:rPr>
          <w:rFonts w:hint="eastAsia" w:ascii="宋体" w:hAnsi="宋体" w:cs="宋体"/>
          <w:b/>
          <w:bCs/>
          <w:kern w:val="2"/>
          <w:sz w:val="18"/>
          <w:szCs w:val="18"/>
        </w:rPr>
        <w:t>、乙肝治疗创新药奈瑞可韦GST-HG141纳入突破性治疗品种名单</w:t>
      </w:r>
    </w:p>
    <w:p w14:paraId="06762E52">
      <w:pPr>
        <w:widowControl/>
        <w:ind w:firstLine="360" w:firstLineChars="200"/>
        <w:jc w:val="left"/>
        <w:rPr>
          <w:rFonts w:hint="eastAsia" w:ascii="宋体" w:hAnsi="宋体" w:cs="宋体"/>
          <w:kern w:val="2"/>
          <w:sz w:val="18"/>
          <w:szCs w:val="18"/>
        </w:rPr>
      </w:pPr>
      <w:r>
        <w:rPr>
          <w:rFonts w:hint="eastAsia" w:ascii="宋体" w:hAnsi="宋体" w:cs="宋体"/>
          <w:kern w:val="2"/>
          <w:sz w:val="18"/>
          <w:szCs w:val="18"/>
        </w:rPr>
        <w:t>公司创新药控股子公司广生中霖的乙肝治疗创新药GST-HG141（英文通用名“Neracorvir”，中文通用名“奈瑞可韦”）被国家药品监督管理局药品审评中心（以下简称“药审中心”）纳入突破性治疗品种名单，是对其明显临床优势数据的认可，有望加快药物研发进程。</w:t>
      </w:r>
    </w:p>
    <w:p w14:paraId="7EDBBECD">
      <w:pPr>
        <w:widowControl/>
        <w:ind w:firstLine="360" w:firstLineChars="200"/>
        <w:jc w:val="left"/>
        <w:rPr>
          <w:rFonts w:hint="eastAsia" w:ascii="宋体" w:hAnsi="宋体" w:cs="宋体"/>
          <w:kern w:val="2"/>
          <w:sz w:val="18"/>
          <w:szCs w:val="18"/>
        </w:rPr>
      </w:pPr>
      <w:r>
        <w:rPr>
          <w:rFonts w:hint="eastAsia" w:ascii="宋体" w:hAnsi="宋体" w:cs="宋体"/>
          <w:sz w:val="18"/>
          <w:szCs w:val="18"/>
          <w:lang w:bidi="ar"/>
        </w:rPr>
        <w:t>具体内容详见公司披露在巨潮资讯网（www.cninfo.com.cn）的《关于乙肝治疗创新药奈瑞可韦GST-HG141纳入突破性治疗品种名单的公告》（公告编号：2024083）。</w:t>
      </w:r>
    </w:p>
    <w:p w14:paraId="4F33B575">
      <w:pPr>
        <w:widowControl/>
        <w:ind w:firstLine="360" w:firstLineChars="200"/>
        <w:jc w:val="left"/>
        <w:rPr>
          <w:rFonts w:hint="eastAsia" w:ascii="宋体" w:hAnsi="宋体" w:cs="宋体"/>
          <w:b/>
          <w:bCs/>
          <w:kern w:val="2"/>
          <w:sz w:val="18"/>
          <w:szCs w:val="18"/>
        </w:rPr>
      </w:pPr>
      <w:r>
        <w:rPr>
          <w:rFonts w:hint="eastAsia" w:ascii="宋体" w:hAnsi="宋体" w:cs="宋体"/>
          <w:b/>
          <w:bCs/>
          <w:kern w:val="2"/>
          <w:sz w:val="18"/>
          <w:szCs w:val="18"/>
          <w:lang w:val="en-US" w:eastAsia="zh-CN"/>
        </w:rPr>
        <w:t>4</w:t>
      </w:r>
      <w:bookmarkStart w:id="14" w:name="_GoBack"/>
      <w:bookmarkEnd w:id="14"/>
      <w:r>
        <w:rPr>
          <w:rFonts w:hint="eastAsia" w:ascii="宋体" w:hAnsi="宋体" w:cs="宋体"/>
          <w:b/>
          <w:bCs/>
          <w:kern w:val="2"/>
          <w:sz w:val="18"/>
          <w:szCs w:val="18"/>
        </w:rPr>
        <w:t>、控股股东协议转让股份引入战略投资者</w:t>
      </w:r>
    </w:p>
    <w:p w14:paraId="0DC5346E">
      <w:pPr>
        <w:widowControl/>
        <w:ind w:firstLine="360" w:firstLineChars="200"/>
        <w:jc w:val="left"/>
        <w:rPr>
          <w:rFonts w:hint="eastAsia" w:ascii="宋体" w:hAnsi="宋体" w:cs="宋体"/>
          <w:kern w:val="2"/>
          <w:sz w:val="18"/>
          <w:szCs w:val="18"/>
        </w:rPr>
      </w:pPr>
      <w:r>
        <w:rPr>
          <w:rFonts w:hint="eastAsia" w:ascii="宋体" w:hAnsi="宋体" w:cs="宋体"/>
          <w:kern w:val="2"/>
          <w:sz w:val="18"/>
          <w:szCs w:val="18"/>
        </w:rPr>
        <w:t>为了进一步优化公司股东结构，引进长期看好公司发展的战略投资者，持有福建广生堂药业股份有限公司（简称“公司”）股份35,068,651股（占本公司总股本比例22.02%，比例数值为四舍五入所得，下同）的控股股东福建奥华集团有限公司（简称“奥华集团”）将其持有公司的无限售流通股8,000,000股（占公司总股本的5.02%）以协议转让的方式转让给漳州圆山大健康产业投资基金合伙企业(有限合伙)（简称“圆山基金”）。</w:t>
      </w:r>
    </w:p>
    <w:p w14:paraId="61791B27">
      <w:pPr>
        <w:widowControl/>
        <w:ind w:firstLine="360" w:firstLineChars="200"/>
        <w:jc w:val="left"/>
        <w:rPr>
          <w:rFonts w:hint="eastAsia" w:ascii="宋体" w:hAnsi="宋体" w:cs="宋体"/>
          <w:kern w:val="2"/>
          <w:sz w:val="18"/>
          <w:szCs w:val="18"/>
        </w:rPr>
      </w:pPr>
      <w:r>
        <w:rPr>
          <w:rFonts w:hint="eastAsia" w:ascii="宋体" w:hAnsi="宋体" w:cs="宋体"/>
          <w:kern w:val="2"/>
          <w:sz w:val="18"/>
          <w:szCs w:val="18"/>
        </w:rPr>
        <w:t>2025年1月15日，上述协议转让股份办理完成过户登记手续，奥华集团持有的公司合计数量8,000,000股已转让给圆山基金（证券账户名称：漳州战新创业投资基金管理有限公司－漳州圆山大健康产业投资基金合伙企业（有限合伙）），占公司总股本的5.02%，股份性质为无限售流通股。</w:t>
      </w:r>
    </w:p>
    <w:p w14:paraId="7E139409">
      <w:pPr>
        <w:widowControl/>
        <w:ind w:firstLine="360" w:firstLineChars="200"/>
        <w:jc w:val="left"/>
        <w:rPr>
          <w:rFonts w:hint="eastAsia" w:ascii="宋体" w:hAnsi="宋体" w:cs="宋体"/>
          <w:kern w:val="2"/>
          <w:sz w:val="18"/>
          <w:szCs w:val="18"/>
        </w:rPr>
      </w:pPr>
      <w:r>
        <w:rPr>
          <w:rFonts w:hint="eastAsia" w:ascii="宋体" w:hAnsi="宋体" w:cs="宋体"/>
          <w:sz w:val="18"/>
          <w:szCs w:val="18"/>
          <w:lang w:bidi="ar"/>
        </w:rPr>
        <w:t>具体内容详见公司披露在巨潮资讯网（www.cninfo.com.cn）的《关于控股股东协议转让股份引入战略投资者暨权益变动的提示性公告》（公告编号：2024073）和《关于控股股东协议转让公司部分股份引入战略投资者过户登记完成的公告》（公告编号：2025007）。</w:t>
      </w:r>
    </w:p>
    <w:p w14:paraId="50231A8D">
      <w:pPr>
        <w:pStyle w:val="2"/>
        <w:widowControl/>
        <w:spacing w:beforeAutospacing="0" w:afterAutospacing="0"/>
        <w:ind w:firstLine="360"/>
        <w:rPr>
          <w:szCs w:val="24"/>
        </w:rPr>
      </w:pPr>
    </w:p>
    <w:sectPr>
      <w:headerReference r:id="rId3" w:type="default"/>
      <w:footerReference r:id="rId4" w:type="default"/>
      <w:pgSz w:w="11905" w:h="16840"/>
      <w:pgMar w:top="850" w:right="1134" w:bottom="850" w:left="1134" w:header="850"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1DDCF">
    <w:pPr>
      <w:jc w:val="right"/>
    </w:pPr>
    <w:r>
      <w:rPr>
        <w:rFonts w:ascii="仿宋" w:eastAsia="仿宋"/>
        <w:szCs w:val="21"/>
      </w:rPr>
      <w:fldChar w:fldCharType="begin"/>
    </w:r>
    <w:r>
      <w:rPr>
        <w:rFonts w:ascii="仿宋" w:eastAsia="仿宋"/>
        <w:szCs w:val="21"/>
      </w:rPr>
      <w:instrText xml:space="preserve">PAGE   \* MERGEFORMAT</w:instrText>
    </w:r>
    <w:r>
      <w:rPr>
        <w:rFonts w:ascii="仿宋" w:eastAsia="仿宋"/>
        <w:szCs w:val="21"/>
      </w:rPr>
      <w:fldChar w:fldCharType="separate"/>
    </w:r>
    <w:r>
      <w:rPr>
        <w:rFonts w:ascii="仿宋" w:eastAsia="仿宋"/>
        <w:szCs w:val="21"/>
      </w:rPr>
      <w:t>1</w:t>
    </w:r>
    <w:r>
      <w:rPr>
        <w:rFonts w:ascii="仿宋" w:eastAsia="仿宋"/>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50FB1">
    <w:pPr>
      <w:pBdr>
        <w:bottom w:val="single" w:color="auto" w:sz="6" w:space="1"/>
      </w:pBdr>
      <w:jc w:val="right"/>
    </w:pPr>
    <w:r>
      <w:rPr>
        <w:rFonts w:ascii="宋体"/>
        <w:sz w:val="18"/>
        <w:szCs w:val="18"/>
      </w:rPr>
      <w:t>福建广生堂药业股份有限公司2024年年度报告摘要</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compat>
    <w:doNotExpandShiftReturn/>
    <w:useFELayout/>
    <w:compatSetting w:name="compatibilityMode" w:uri="http://schemas.microsoft.com/office/word" w:val="14"/>
  </w:compat>
  <w:rsids>
    <w:rsidRoot w:val="00670398"/>
    <w:rsid w:val="000A4F9D"/>
    <w:rsid w:val="001E0464"/>
    <w:rsid w:val="00670398"/>
    <w:rsid w:val="05215ED1"/>
    <w:rsid w:val="0AC557C1"/>
    <w:rsid w:val="42765AD6"/>
    <w:rsid w:val="54A3728E"/>
    <w:rsid w:val="61230191"/>
    <w:rsid w:val="6E0E5A8A"/>
    <w:rsid w:val="7AC03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7409</Words>
  <Characters>9295</Characters>
  <Lines>69</Lines>
  <Paragraphs>19</Paragraphs>
  <TotalTime>2</TotalTime>
  <ScaleCrop>false</ScaleCrop>
  <LinksUpToDate>false</LinksUpToDate>
  <CharactersWithSpaces>9446</CharactersWithSpaces>
  <Application>WPS Office_12.1.0.20783_F1E327BC-269C-435d-A152-05C5408002CA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2025-04-17T07:28:00Z</dcterms:created>
  <dc:creator>cosun</dc:creator>
  <cp:lastModifiedBy>cdq</cp:lastModifiedBy>
  <dcterms:modified xsi:type="dcterms:W3CDTF">2025-04-17T12:09:38Z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eyJoZGlkIjoiY2Q4MDAzNjNiM2EwYjNjY2VkN2I2ZWY4OTg5YTA1ZWYiLCJ1c2VySWQiOiIxMzk5OTUwMzQxIn0=</vt:lpwstr>
  </property>
  <property fmtid="{D5CDD505-2E9C-101B-9397-08002B2CF9AE}" pid="3" name="KSOProductBuildVer">
    <vt:lpwstr>2052-12.1.0.20783</vt:lpwstr>
  </property>
  <property fmtid="{D5CDD505-2E9C-101B-9397-08002B2CF9AE}" pid="4" name="ICV">
    <vt:lpwstr>1A8332144C614C98ACEAF5086F85BD02_12</vt:lpwstr>
  </property>
</Properties>
</file>