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D41F6">
      <w:pPr>
        <w:spacing w:line="360" w:lineRule="auto"/>
        <w:rPr>
          <w:rFonts w:hint="eastAsia" w:ascii="宋体" w:hAnsi="宋体" w:cs="宋体"/>
          <w:kern w:val="0"/>
          <w:szCs w:val="21"/>
        </w:rPr>
      </w:pPr>
      <w:bookmarkStart w:id="3" w:name="_GoBack"/>
      <w:bookmarkEnd w:id="3"/>
      <w:r>
        <w:rPr>
          <w:rFonts w:hint="eastAsia" w:ascii="宋体" w:hAnsi="宋体" w:cs="宋体"/>
          <w:kern w:val="0"/>
          <w:sz w:val="24"/>
          <w:szCs w:val="24"/>
        </w:rPr>
        <w:t>证券代码：300436         证券简称：广生堂      公告编号：2025027</w:t>
      </w:r>
    </w:p>
    <w:p w14:paraId="58A83782">
      <w:pPr>
        <w:spacing w:before="156" w:beforeLines="50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福建广生堂药业股份有限公司</w:t>
      </w:r>
    </w:p>
    <w:p w14:paraId="48665875">
      <w:pPr>
        <w:spacing w:after="156" w:afterLines="50"/>
        <w:jc w:val="center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32"/>
          <w:szCs w:val="32"/>
        </w:rPr>
        <w:t>关于2024年度利润分配方案的专项说明公告</w:t>
      </w:r>
    </w:p>
    <w:tbl>
      <w:tblPr>
        <w:tblStyle w:val="7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7C34A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8522" w:type="dxa"/>
            <w:vAlign w:val="center"/>
          </w:tcPr>
          <w:p w14:paraId="195C5F5E">
            <w:pPr>
              <w:widowControl/>
              <w:ind w:firstLine="600" w:firstLineChars="200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本公司及董事会全体成员保证信息披露的内容真实、准确、完整，没有虚假记载、误导性陈述或重大遗漏。</w:t>
            </w:r>
          </w:p>
        </w:tc>
      </w:tr>
    </w:tbl>
    <w:p w14:paraId="6A202AA4">
      <w:pPr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</w:p>
    <w:p w14:paraId="1F404BA4">
      <w:pPr>
        <w:pStyle w:val="6"/>
        <w:spacing w:before="0" w:beforeAutospacing="0" w:after="0" w:afterAutospacing="0" w:line="360" w:lineRule="auto"/>
        <w:ind w:firstLine="480" w:firstLineChars="200"/>
        <w:jc w:val="both"/>
        <w:rPr>
          <w:rFonts w:hint="eastAsia"/>
          <w:kern w:val="2"/>
          <w:szCs w:val="21"/>
        </w:rPr>
      </w:pPr>
      <w:r>
        <w:rPr>
          <w:rFonts w:hint="eastAsia"/>
        </w:rPr>
        <w:t>福建广生堂药业股份有限公司（以下简称“公司”）于</w:t>
      </w:r>
      <w:bookmarkStart w:id="0" w:name="OLE_LINK19"/>
      <w:r>
        <w:rPr>
          <w:rFonts w:hint="eastAsia"/>
        </w:rPr>
        <w:t>2025年4月16日分别召开了公司第五届董事会第八次会议、第五届监事会第七次会议，审议通过了《关于2024年度利润分配预案的议案》，同意公司2024年度拟不派发现金红利、不送红股、不以资本公积金转增股本。</w:t>
      </w:r>
      <w:bookmarkEnd w:id="0"/>
      <w:r>
        <w:rPr>
          <w:rFonts w:hint="eastAsia"/>
        </w:rPr>
        <w:t>本议案尚需提交公司股东大会审议。</w:t>
      </w:r>
    </w:p>
    <w:p w14:paraId="21E7CBAB">
      <w:pPr>
        <w:pStyle w:val="2"/>
        <w:spacing w:before="156" w:after="156"/>
      </w:pPr>
      <w:r>
        <w:rPr>
          <w:rFonts w:hint="eastAsia"/>
        </w:rPr>
        <w:t>一</w:t>
      </w:r>
      <w:r>
        <w:t>、利润分配和资本公积金转增股本方案的基本情况</w:t>
      </w:r>
    </w:p>
    <w:p w14:paraId="5A1CEE7B">
      <w:pPr>
        <w:pStyle w:val="6"/>
        <w:spacing w:before="0" w:beforeAutospacing="0" w:after="0" w:afterAutospacing="0" w:line="360" w:lineRule="auto"/>
        <w:ind w:firstLine="480" w:firstLineChars="200"/>
        <w:jc w:val="both"/>
        <w:rPr>
          <w:rFonts w:hint="eastAsia"/>
          <w:kern w:val="2"/>
          <w:szCs w:val="21"/>
        </w:rPr>
      </w:pPr>
      <w:r>
        <w:rPr>
          <w:rFonts w:hint="eastAsia"/>
          <w:kern w:val="2"/>
          <w:szCs w:val="21"/>
        </w:rPr>
        <w:t>根据北京德皓国际会计师事务所（特殊普通合伙）出具的福建广生堂药业股份有限公司（以下简称“公司”）《2024年度审计报告》：2024年度公司合并报表实现归属于上市公司股东的净利润-156,304,356.74元，2024年度母公司实现净利润-65,630,078.51元。截至2024年12月31日，公司合并报表可供分配利润为-451,407,904.07元，资本公积为607,925,894.48元，盈余公积为44,393,833.31元；母公司报表可供分配利润为182,440,457.06元，资本公积为675,753,512.82元，盈余公积44,393,833.31元。</w:t>
      </w:r>
    </w:p>
    <w:p w14:paraId="0BED3180">
      <w:pPr>
        <w:pStyle w:val="6"/>
        <w:spacing w:before="0" w:beforeAutospacing="0" w:after="0" w:afterAutospacing="0" w:line="360" w:lineRule="auto"/>
        <w:ind w:firstLine="480" w:firstLineChars="200"/>
        <w:jc w:val="both"/>
        <w:rPr>
          <w:rFonts w:hint="eastAsia"/>
          <w:kern w:val="2"/>
          <w:szCs w:val="21"/>
        </w:rPr>
      </w:pPr>
      <w:r>
        <w:rPr>
          <w:rFonts w:hint="eastAsia"/>
          <w:kern w:val="2"/>
          <w:szCs w:val="21"/>
        </w:rPr>
        <w:t>鉴于公司2024年度发生亏损，为保障公司的可持续发展以及战略布局的顺利实施，从公司实际情况考虑，公司拟定2024年度利润分配方案如下：</w:t>
      </w:r>
    </w:p>
    <w:p w14:paraId="3BD3EFFD">
      <w:pPr>
        <w:pStyle w:val="6"/>
        <w:spacing w:before="0" w:beforeAutospacing="0" w:after="0" w:afterAutospacing="0" w:line="360" w:lineRule="auto"/>
        <w:ind w:firstLine="480" w:firstLineChars="200"/>
        <w:jc w:val="both"/>
        <w:rPr>
          <w:rFonts w:hint="eastAsia"/>
          <w:kern w:val="2"/>
          <w:szCs w:val="21"/>
        </w:rPr>
      </w:pPr>
      <w:r>
        <w:rPr>
          <w:rFonts w:hint="eastAsia"/>
          <w:kern w:val="2"/>
          <w:szCs w:val="21"/>
        </w:rPr>
        <w:t>根据《公司章程》规定，并结合公司未来发展需求、经营情况和现金流量情况，经董事会研究决定，公司拟定2024年度不派发现金红利、不送红股、不以资本公积金转增股本，未分配利润将留存公司用于支持公司经营发展。</w:t>
      </w:r>
    </w:p>
    <w:p w14:paraId="0AAA978B">
      <w:pPr>
        <w:pStyle w:val="2"/>
        <w:spacing w:before="156" w:after="156"/>
      </w:pPr>
      <w:r>
        <w:rPr>
          <w:rFonts w:hint="eastAsia"/>
        </w:rPr>
        <w:t>二、现金分红方案的具体情况</w:t>
      </w:r>
    </w:p>
    <w:p w14:paraId="50D5DE32">
      <w:pPr>
        <w:pStyle w:val="6"/>
        <w:spacing w:before="0" w:beforeAutospacing="0" w:after="0" w:afterAutospacing="0" w:line="360" w:lineRule="auto"/>
        <w:ind w:firstLine="480" w:firstLineChars="200"/>
        <w:jc w:val="both"/>
        <w:rPr>
          <w:rFonts w:hint="eastAsia"/>
          <w:kern w:val="2"/>
          <w:szCs w:val="21"/>
        </w:rPr>
      </w:pPr>
      <w:r>
        <w:rPr>
          <w:rFonts w:hint="eastAsia"/>
          <w:kern w:val="2"/>
          <w:szCs w:val="21"/>
        </w:rPr>
        <w:t>（一）公司2024年度分红方案不触及其他风险警示情形</w:t>
      </w:r>
    </w:p>
    <w:tbl>
      <w:tblPr>
        <w:tblStyle w:val="7"/>
        <w:tblW w:w="882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2190"/>
        <w:gridCol w:w="2030"/>
        <w:gridCol w:w="2160"/>
      </w:tblGrid>
      <w:tr w14:paraId="3F068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782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项目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982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本年度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A69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上年度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71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上上年度</w:t>
            </w:r>
          </w:p>
        </w:tc>
      </w:tr>
      <w:tr w14:paraId="267B4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9DA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现金分红总额（元）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AC2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C41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A5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</w:tr>
      <w:tr w14:paraId="033D3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1F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回购注销总额（元）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77B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D7C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FA4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</w:tr>
      <w:tr w14:paraId="1DC1B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146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归属于上市公司股东的净利润（元）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6CE0D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-156,304,356.74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0ECB5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-348,589,843.18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9CE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-127,403,884.79</w:t>
            </w:r>
          </w:p>
        </w:tc>
      </w:tr>
      <w:tr w14:paraId="59470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6AD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研发投入（元）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C763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44,886,060.53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FA94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314,223,016.83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7B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186,977,168.74</w:t>
            </w:r>
          </w:p>
        </w:tc>
      </w:tr>
      <w:tr w14:paraId="0CEE4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84B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营业收入（元）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68A5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441,457,673.77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9E06A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422,714,889.10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092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385,765,184.73</w:t>
            </w:r>
          </w:p>
        </w:tc>
      </w:tr>
      <w:tr w14:paraId="1588C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B6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合并报表本年度末累计未分配利润（元）</w:t>
            </w:r>
          </w:p>
        </w:tc>
        <w:tc>
          <w:tcPr>
            <w:tcW w:w="6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3559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-451,407,904.07</w:t>
            </w:r>
          </w:p>
        </w:tc>
      </w:tr>
      <w:tr w14:paraId="15B84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73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母公司报表本年度末累计未分配利润（元）</w:t>
            </w:r>
          </w:p>
        </w:tc>
        <w:tc>
          <w:tcPr>
            <w:tcW w:w="6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3CE2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182,440,457.06</w:t>
            </w:r>
          </w:p>
        </w:tc>
      </w:tr>
      <w:tr w14:paraId="7450F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09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上市是否满三个完整会计年度</w:t>
            </w:r>
          </w:p>
        </w:tc>
        <w:tc>
          <w:tcPr>
            <w:tcW w:w="6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2E76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是</w:t>
            </w:r>
          </w:p>
        </w:tc>
      </w:tr>
      <w:tr w14:paraId="5A85D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68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最近三个会计年度累计现金分红总额（元）</w:t>
            </w:r>
          </w:p>
        </w:tc>
        <w:tc>
          <w:tcPr>
            <w:tcW w:w="6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A4BB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</w:tr>
      <w:tr w14:paraId="6914C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FEC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最近三个会计年度累计回购注销总额（元）</w:t>
            </w:r>
          </w:p>
        </w:tc>
        <w:tc>
          <w:tcPr>
            <w:tcW w:w="6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F5FCD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</w:tr>
      <w:tr w14:paraId="0DE33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277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最近三个会计年度平均净利润（元）</w:t>
            </w:r>
          </w:p>
        </w:tc>
        <w:tc>
          <w:tcPr>
            <w:tcW w:w="6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EC80E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-210,766,028.24</w:t>
            </w:r>
          </w:p>
        </w:tc>
      </w:tr>
      <w:tr w14:paraId="66C23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1B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最近三个会计年度累计现金分红及回购注销总额（元）</w:t>
            </w:r>
          </w:p>
        </w:tc>
        <w:tc>
          <w:tcPr>
            <w:tcW w:w="6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F2E7C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</w:tr>
      <w:tr w14:paraId="2E887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32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最近三个会计年度累计研发投入总额（元）</w:t>
            </w:r>
          </w:p>
        </w:tc>
        <w:tc>
          <w:tcPr>
            <w:tcW w:w="6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C745D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546,086,246.10</w:t>
            </w:r>
          </w:p>
        </w:tc>
      </w:tr>
      <w:tr w14:paraId="5020E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6A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最近三个会计年度累计研发投入总额占累计营业收入的比例（%）</w:t>
            </w:r>
          </w:p>
        </w:tc>
        <w:tc>
          <w:tcPr>
            <w:tcW w:w="6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91F67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43.69%</w:t>
            </w:r>
          </w:p>
        </w:tc>
      </w:tr>
      <w:tr w14:paraId="2D2FA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9F3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是否</w:t>
            </w:r>
            <w:bookmarkStart w:id="1" w:name="OLE_LINK18"/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触及《创业板股票上市规则》第9.4条第（八）项规定的可能被实施其他风险警示情形</w:t>
            </w:r>
            <w:bookmarkEnd w:id="1"/>
          </w:p>
        </w:tc>
        <w:tc>
          <w:tcPr>
            <w:tcW w:w="6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15C1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否</w:t>
            </w:r>
          </w:p>
        </w:tc>
      </w:tr>
    </w:tbl>
    <w:p w14:paraId="5415A26B">
      <w:pPr>
        <w:pStyle w:val="6"/>
        <w:spacing w:before="0" w:beforeAutospacing="0" w:after="0" w:afterAutospacing="0" w:line="360" w:lineRule="auto"/>
        <w:ind w:firstLine="480" w:firstLineChars="200"/>
        <w:jc w:val="both"/>
        <w:rPr>
          <w:rFonts w:hint="eastAsia"/>
          <w:kern w:val="2"/>
          <w:szCs w:val="21"/>
        </w:rPr>
      </w:pPr>
      <w:r>
        <w:rPr>
          <w:rFonts w:hint="eastAsia"/>
          <w:kern w:val="2"/>
          <w:szCs w:val="21"/>
        </w:rPr>
        <w:t>公司业绩亏损，且公司持续进行创新战略研发投入，2022年度、2023年度、2024年度累计研发投入约5.46亿元，不会因未分红触及《创业板股票上市规则》第9.4条第（八）项规定的可能被实施其他风险警示情形。</w:t>
      </w:r>
    </w:p>
    <w:p w14:paraId="5C949C42">
      <w:pPr>
        <w:pStyle w:val="6"/>
        <w:spacing w:before="0" w:beforeAutospacing="0" w:after="0" w:afterAutospacing="0" w:line="360" w:lineRule="auto"/>
        <w:ind w:firstLine="480" w:firstLineChars="200"/>
        <w:jc w:val="both"/>
        <w:rPr>
          <w:rFonts w:hint="eastAsia"/>
          <w:kern w:val="2"/>
          <w:szCs w:val="21"/>
        </w:rPr>
      </w:pPr>
      <w:r>
        <w:rPr>
          <w:rFonts w:hint="eastAsia"/>
          <w:kern w:val="2"/>
          <w:szCs w:val="21"/>
        </w:rPr>
        <w:t>（二）现金分红方案合理性说明</w:t>
      </w:r>
    </w:p>
    <w:p w14:paraId="1D563260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2024年以来，公司继续创新投入，乙肝创新药物研究取得突破进展。乙肝治疗创新药GST-HG141的II期临床展现出明显优势数据，被纳入突破性治疗品种名单。GST-HG131临床II期快速推进，于2025年1月完成全部临床患者入组，其与GST-HG141联合治疗项目于2025年3月入选优化创新药临床试验审评审批试点项目。</w:t>
      </w:r>
    </w:p>
    <w:p w14:paraId="5136DA7F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鉴于公司2024年度可供分配利润为负，且当前营运资金需优先保障核心研发项目推进及战略转型需求，为平衡短期财务压力与长期发展目标，确保公司可持续经营能力并最大化股东中长期价值，经审慎研究，公司拟定2024年度不派发现金红利、不送红股、不以资本公积金转增股本。</w:t>
      </w:r>
    </w:p>
    <w:p w14:paraId="4D9C6F41">
      <w:pPr>
        <w:spacing w:line="360" w:lineRule="auto"/>
        <w:ind w:firstLine="480" w:firstLineChars="200"/>
        <w:rPr>
          <w:rFonts w:ascii="宋体" w:hAnsi="宋体" w:cs="宋体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留存未分配利润将用于公司继续开拓业务和深入实施创新战略，包括GST-HG141临床III期研究及GST-HG131联合GST-HG141临床II期研究等。</w:t>
      </w:r>
    </w:p>
    <w:p w14:paraId="177411D4">
      <w:pPr>
        <w:pStyle w:val="2"/>
        <w:spacing w:before="156" w:after="156"/>
        <w:rPr>
          <w:rFonts w:ascii="宋体" w:hAnsi="宋体" w:cs="宋体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三、审议程序</w:t>
      </w:r>
    </w:p>
    <w:p w14:paraId="5B1CF6BE">
      <w:pPr>
        <w:spacing w:line="360" w:lineRule="auto"/>
        <w:ind w:firstLine="480" w:firstLineChars="200"/>
        <w:rPr>
          <w:rFonts w:ascii="宋体" w:hAnsi="宋体" w:cs="宋体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（一）董事会、监事会审议情况</w:t>
      </w:r>
    </w:p>
    <w:p w14:paraId="7EE0FC66">
      <w:pPr>
        <w:spacing w:line="360" w:lineRule="auto"/>
        <w:ind w:firstLine="480" w:firstLineChars="200"/>
        <w:rPr>
          <w:rFonts w:ascii="宋体" w:hAnsi="宋体" w:cs="宋体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2025年4月16日，公司分别召开了公司第五届董事会第八次会议、第五届监事会第七次会议，审议</w:t>
      </w:r>
      <w:bookmarkStart w:id="2" w:name="OLE_LINK20"/>
      <w:r>
        <w:rPr>
          <w:rFonts w:hint="eastAsia" w:ascii="宋体" w:hAnsi="宋体" w:cs="宋体"/>
          <w:sz w:val="24"/>
          <w:szCs w:val="21"/>
        </w:rPr>
        <w:t>通过了《关于2024年度利润分配预案的议案》</w:t>
      </w:r>
      <w:bookmarkEnd w:id="2"/>
      <w:r>
        <w:rPr>
          <w:rFonts w:hint="eastAsia" w:ascii="宋体" w:hAnsi="宋体" w:cs="宋体"/>
          <w:sz w:val="24"/>
          <w:szCs w:val="21"/>
        </w:rPr>
        <w:t>，同意公司2024年度拟不派发现金红利、不送红股、不以资本公积金转增股本。</w:t>
      </w:r>
    </w:p>
    <w:p w14:paraId="5BD49F1D">
      <w:pPr>
        <w:spacing w:line="360" w:lineRule="auto"/>
        <w:ind w:firstLine="480" w:firstLineChars="200"/>
        <w:rPr>
          <w:rFonts w:ascii="宋体" w:hAnsi="宋体" w:cs="宋体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（二）董事会审计委员会审议情况</w:t>
      </w:r>
    </w:p>
    <w:p w14:paraId="49AFF079">
      <w:pPr>
        <w:spacing w:line="360" w:lineRule="auto"/>
        <w:ind w:firstLine="480" w:firstLineChars="200"/>
        <w:rPr>
          <w:rFonts w:ascii="宋体" w:hAnsi="宋体" w:cs="宋体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经公司第五届董事会审计委员会第五次会议审议，通过了《关于2024年度利润分配预案的议案》。</w:t>
      </w:r>
    </w:p>
    <w:p w14:paraId="52CB3D2D">
      <w:pPr>
        <w:spacing w:line="360" w:lineRule="auto"/>
        <w:ind w:firstLine="480" w:firstLineChars="200"/>
        <w:rPr>
          <w:rFonts w:ascii="宋体" w:hAnsi="宋体" w:cs="宋体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（三）其他</w:t>
      </w:r>
    </w:p>
    <w:p w14:paraId="1728CA84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本次利润分配预案尚需提交公司2024年年度股东大会审议，敬请广大投资者注意投资风险。</w:t>
      </w:r>
    </w:p>
    <w:p w14:paraId="7B609AFA">
      <w:pPr>
        <w:pStyle w:val="2"/>
        <w:spacing w:before="156" w:after="156"/>
      </w:pPr>
      <w:r>
        <w:rPr>
          <w:rFonts w:hint="eastAsia"/>
        </w:rPr>
        <w:t>四、备查文件</w:t>
      </w:r>
    </w:p>
    <w:p w14:paraId="34551AD7">
      <w:pPr>
        <w:adjustRightInd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1、经与会董事签字的第五届董事会第八次会议决议；</w:t>
      </w:r>
    </w:p>
    <w:p w14:paraId="3FF3860B">
      <w:pPr>
        <w:adjustRightInd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2、经与会监事签字的第五届监事会第七次会议决议；</w:t>
      </w:r>
    </w:p>
    <w:p w14:paraId="6E6BD9CE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4"/>
        </w:rPr>
        <w:t>3、第五届董事会审计委员会第五次会议决议。</w:t>
      </w:r>
    </w:p>
    <w:p w14:paraId="32B0FA6B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1"/>
        </w:rPr>
      </w:pPr>
    </w:p>
    <w:p w14:paraId="44267217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 xml:space="preserve">特此公告。 </w:t>
      </w:r>
    </w:p>
    <w:p w14:paraId="11F3C449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1"/>
        </w:rPr>
      </w:pPr>
    </w:p>
    <w:p w14:paraId="37FD0B67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1"/>
        </w:rPr>
      </w:pPr>
    </w:p>
    <w:p w14:paraId="4FBDD586"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福建广生堂药业股份有限公司董事会</w:t>
      </w:r>
    </w:p>
    <w:p w14:paraId="40B54794">
      <w:pPr>
        <w:widowControl/>
        <w:adjustRightInd w:val="0"/>
        <w:snapToGrid w:val="0"/>
        <w:spacing w:line="360" w:lineRule="auto"/>
        <w:ind w:right="1120" w:firstLine="480" w:firstLineChars="200"/>
        <w:jc w:val="righ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1"/>
        </w:rPr>
        <w:t>2025年4月17日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C2AB6">
    <w:pPr>
      <w:pStyle w:val="3"/>
      <w:jc w:val="center"/>
      <w:rPr>
        <w:rFonts w:hint="eastAsia"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PAGE   \* MERGEFORMAT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1E17D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CC3E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F939E">
    <w:pPr>
      <w:pStyle w:val="4"/>
      <w:tabs>
        <w:tab w:val="right" w:pos="9214"/>
        <w:tab w:val="clear" w:pos="8306"/>
      </w:tabs>
      <w:ind w:left="-1277" w:leftChars="-608" w:right="-1331" w:rightChars="-634" w:firstLine="1"/>
    </w:pPr>
    <w:r>
      <w:pict>
        <v:shape id="WordPictureWatermark3069298" o:spid="_x0000_s1026" o:spt="75" type="#_x0000_t75" style="position:absolute;left:0pt;height:841.9pt;width:595.2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通用信笺底板20140220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A3271">
    <w:pPr>
      <w:pStyle w:val="4"/>
    </w:pPr>
    <w:r>
      <w:pict>
        <v:shape id="WordPictureWatermark3069297" o:spid="_x0000_s1025" o:spt="75" type="#_x0000_t75" style="position:absolute;left:0pt;height:841.9pt;width:595.2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通用信笺底板20140220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2970F">
    <w:pPr>
      <w:pStyle w:val="4"/>
    </w:pPr>
    <w:r>
      <w:pict>
        <v:shape id="WordPictureWatermark3069296" o:spid="_x0000_s1027" o:spt="75" type="#_x0000_t75" style="position:absolute;left:0pt;height:841.9pt;width:595.2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通用信笺底板20140220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4MDAzNjNiM2EwYjNjY2VkN2I2ZWY4OTg5YTA1ZWYifQ=="/>
    <w:docVar w:name="metasota_documentID" w:val="8598184735924207616"/>
  </w:docVars>
  <w:rsids>
    <w:rsidRoot w:val="00172A27"/>
    <w:rsid w:val="0002797E"/>
    <w:rsid w:val="00062EF5"/>
    <w:rsid w:val="00082C74"/>
    <w:rsid w:val="000A4F9D"/>
    <w:rsid w:val="000F51AB"/>
    <w:rsid w:val="001163A9"/>
    <w:rsid w:val="00172A27"/>
    <w:rsid w:val="001C5A3D"/>
    <w:rsid w:val="0021331C"/>
    <w:rsid w:val="002C59C5"/>
    <w:rsid w:val="003129BD"/>
    <w:rsid w:val="003225AE"/>
    <w:rsid w:val="003529CF"/>
    <w:rsid w:val="003568EB"/>
    <w:rsid w:val="00376191"/>
    <w:rsid w:val="00384DD0"/>
    <w:rsid w:val="003975DD"/>
    <w:rsid w:val="003C796A"/>
    <w:rsid w:val="003D517B"/>
    <w:rsid w:val="00443855"/>
    <w:rsid w:val="00447BB5"/>
    <w:rsid w:val="00452BE5"/>
    <w:rsid w:val="004A1A34"/>
    <w:rsid w:val="004C65EB"/>
    <w:rsid w:val="004C7FBE"/>
    <w:rsid w:val="00532AA5"/>
    <w:rsid w:val="00547EA4"/>
    <w:rsid w:val="00584715"/>
    <w:rsid w:val="00591827"/>
    <w:rsid w:val="005B473D"/>
    <w:rsid w:val="00642950"/>
    <w:rsid w:val="007247B9"/>
    <w:rsid w:val="007D07FC"/>
    <w:rsid w:val="00800785"/>
    <w:rsid w:val="00811A0B"/>
    <w:rsid w:val="00850AF8"/>
    <w:rsid w:val="008D4935"/>
    <w:rsid w:val="008D666C"/>
    <w:rsid w:val="008F43BD"/>
    <w:rsid w:val="00906B34"/>
    <w:rsid w:val="00A344A1"/>
    <w:rsid w:val="00AF1AA1"/>
    <w:rsid w:val="00B119AD"/>
    <w:rsid w:val="00B30A68"/>
    <w:rsid w:val="00B405AD"/>
    <w:rsid w:val="00B81597"/>
    <w:rsid w:val="00BB7C2A"/>
    <w:rsid w:val="00C03794"/>
    <w:rsid w:val="00C31CD9"/>
    <w:rsid w:val="00C3475F"/>
    <w:rsid w:val="00C37A30"/>
    <w:rsid w:val="00CD4982"/>
    <w:rsid w:val="00CD6D00"/>
    <w:rsid w:val="00D001AA"/>
    <w:rsid w:val="00DE2EEF"/>
    <w:rsid w:val="00E069A7"/>
    <w:rsid w:val="00EC67F4"/>
    <w:rsid w:val="00F96B58"/>
    <w:rsid w:val="040B08C7"/>
    <w:rsid w:val="05A86AF8"/>
    <w:rsid w:val="0A180472"/>
    <w:rsid w:val="0A98231A"/>
    <w:rsid w:val="0B5A04C7"/>
    <w:rsid w:val="0E16156F"/>
    <w:rsid w:val="0E99639F"/>
    <w:rsid w:val="0F2155DC"/>
    <w:rsid w:val="0F766156"/>
    <w:rsid w:val="10D258F8"/>
    <w:rsid w:val="115A5DAA"/>
    <w:rsid w:val="116A0662"/>
    <w:rsid w:val="12224D50"/>
    <w:rsid w:val="12434F9C"/>
    <w:rsid w:val="169A4E81"/>
    <w:rsid w:val="18361447"/>
    <w:rsid w:val="1C861840"/>
    <w:rsid w:val="1CD232E8"/>
    <w:rsid w:val="1DA03128"/>
    <w:rsid w:val="1E7120EB"/>
    <w:rsid w:val="1EF271B7"/>
    <w:rsid w:val="201A2537"/>
    <w:rsid w:val="205F775E"/>
    <w:rsid w:val="20882B7C"/>
    <w:rsid w:val="217D5E0C"/>
    <w:rsid w:val="22E6394F"/>
    <w:rsid w:val="2B0C214E"/>
    <w:rsid w:val="2B384D2A"/>
    <w:rsid w:val="2BA8339C"/>
    <w:rsid w:val="2C276000"/>
    <w:rsid w:val="2D23215D"/>
    <w:rsid w:val="2D2B6406"/>
    <w:rsid w:val="2E7B2FD1"/>
    <w:rsid w:val="2F0F6C90"/>
    <w:rsid w:val="301A0239"/>
    <w:rsid w:val="30D24D56"/>
    <w:rsid w:val="31777136"/>
    <w:rsid w:val="33161085"/>
    <w:rsid w:val="342603AE"/>
    <w:rsid w:val="34657CEE"/>
    <w:rsid w:val="34F05489"/>
    <w:rsid w:val="34F17800"/>
    <w:rsid w:val="37822F1F"/>
    <w:rsid w:val="37D921E5"/>
    <w:rsid w:val="38904120"/>
    <w:rsid w:val="39041D96"/>
    <w:rsid w:val="3A374711"/>
    <w:rsid w:val="3B5F4265"/>
    <w:rsid w:val="3BE617FF"/>
    <w:rsid w:val="3C29654F"/>
    <w:rsid w:val="3DCC5572"/>
    <w:rsid w:val="407B2049"/>
    <w:rsid w:val="4267598A"/>
    <w:rsid w:val="42864EB0"/>
    <w:rsid w:val="452669A6"/>
    <w:rsid w:val="45344584"/>
    <w:rsid w:val="453624E2"/>
    <w:rsid w:val="45C17DF9"/>
    <w:rsid w:val="481B6ADB"/>
    <w:rsid w:val="4CBC5798"/>
    <w:rsid w:val="4D9F12CB"/>
    <w:rsid w:val="4DB61CC2"/>
    <w:rsid w:val="4F334FFF"/>
    <w:rsid w:val="515B4604"/>
    <w:rsid w:val="541E116C"/>
    <w:rsid w:val="544051A3"/>
    <w:rsid w:val="54F25B03"/>
    <w:rsid w:val="55073AF4"/>
    <w:rsid w:val="57F72177"/>
    <w:rsid w:val="587363AB"/>
    <w:rsid w:val="5AF71178"/>
    <w:rsid w:val="5B013F5E"/>
    <w:rsid w:val="5D9E05A7"/>
    <w:rsid w:val="5F3A6682"/>
    <w:rsid w:val="5FD72B7F"/>
    <w:rsid w:val="5FFD2B8C"/>
    <w:rsid w:val="6172208A"/>
    <w:rsid w:val="62B94A87"/>
    <w:rsid w:val="65C65DE5"/>
    <w:rsid w:val="69DA1D9A"/>
    <w:rsid w:val="6D2B336D"/>
    <w:rsid w:val="6F44559B"/>
    <w:rsid w:val="70A02770"/>
    <w:rsid w:val="71426C4C"/>
    <w:rsid w:val="71940CA5"/>
    <w:rsid w:val="735C5088"/>
    <w:rsid w:val="756B6A5B"/>
    <w:rsid w:val="78085CF8"/>
    <w:rsid w:val="79291653"/>
    <w:rsid w:val="796B11C3"/>
    <w:rsid w:val="799F4B15"/>
    <w:rsid w:val="79F20220"/>
    <w:rsid w:val="7A686B12"/>
    <w:rsid w:val="7E684A6E"/>
    <w:rsid w:val="7FEA07DE"/>
    <w:rsid w:val="7FEA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50" w:beforeLines="50" w:after="50" w:afterLines="50" w:line="360" w:lineRule="auto"/>
      <w:outlineLvl w:val="0"/>
    </w:pPr>
    <w:rPr>
      <w:b/>
      <w:kern w:val="44"/>
      <w:sz w:val="2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unhideWhenUsed/>
    <w:qFormat/>
    <w:uiPriority w:val="99"/>
  </w:style>
  <w:style w:type="character" w:customStyle="1" w:styleId="11">
    <w:name w:val="页脚 字符"/>
    <w:link w:val="3"/>
    <w:qFormat/>
    <w:uiPriority w:val="99"/>
    <w:rPr>
      <w:sz w:val="18"/>
      <w:szCs w:val="18"/>
    </w:rPr>
  </w:style>
  <w:style w:type="character" w:customStyle="1" w:styleId="12">
    <w:name w:val="页眉 字符"/>
    <w:link w:val="4"/>
    <w:semiHidden/>
    <w:qFormat/>
    <w:uiPriority w:val="99"/>
    <w:rPr>
      <w:sz w:val="18"/>
      <w:szCs w:val="18"/>
    </w:rPr>
  </w:style>
  <w:style w:type="character" w:customStyle="1" w:styleId="13">
    <w:name w:val="HTML 预设格式 字符"/>
    <w:link w:val="5"/>
    <w:qFormat/>
    <w:uiPriority w:val="99"/>
    <w:rPr>
      <w:rFonts w:ascii="宋体" w:hAnsi="宋体" w:cs="宋体"/>
      <w:sz w:val="24"/>
      <w:szCs w:val="24"/>
    </w:r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table" w:customStyle="1" w:styleId="16">
    <w:name w:val="网格型1"/>
    <w:basedOn w:val="7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7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5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3</Pages>
  <Words>1673</Words>
  <Characters>2110</Characters>
  <Lines>15</Lines>
  <Paragraphs>4</Paragraphs>
  <TotalTime>17</TotalTime>
  <ScaleCrop>false</ScaleCrop>
  <LinksUpToDate>false</LinksUpToDate>
  <CharactersWithSpaces>2126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2024-04-12T05:36:00Z</dcterms:created>
  <dc:creator>王琴</dc:creator>
  <cp:lastModifiedBy>cdq</cp:lastModifiedBy>
  <cp:lastPrinted>2021-03-31T06:05:00Z</cp:lastPrinted>
  <dcterms:modified xsi:type="dcterms:W3CDTF">2025-04-17T12:03:57Z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FC714878F90A489DB1D261A62D8F5ABB</vt:lpwstr>
  </property>
  <property fmtid="{D5CDD505-2E9C-101B-9397-08002B2CF9AE}" pid="4" name="KSOTemplateDocerSaveRecord">
    <vt:lpwstr>eyJoZGlkIjoiY2Q4MDAzNjNiM2EwYjNjY2VkN2I2ZWY4OTg5YTA1ZWYiLCJ1c2VySWQiOiIxMzk5OTUwMzQxIn0=</vt:lpwstr>
  </property>
</Properties>
</file>