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2CD27">
      <w:pPr>
        <w:adjustRightInd w:val="0"/>
        <w:snapToGrid w:val="0"/>
        <w:spacing w:after="0" w:line="360" w:lineRule="auto"/>
        <w:jc w:val="center"/>
        <w:rPr>
          <w:rFonts w:hint="eastAsia" w:ascii="宋体" w:hAnsi="宋体" w:eastAsia="宋体" w:cs="宋体"/>
          <w:b/>
          <w:color w:val="auto"/>
          <w:sz w:val="32"/>
          <w:szCs w:val="32"/>
          <w14:ligatures w14:val="none"/>
        </w:rPr>
      </w:pPr>
      <w:r>
        <w:rPr>
          <w:rFonts w:hint="eastAsia" w:ascii="宋体" w:hAnsi="宋体" w:eastAsia="宋体" w:cs="宋体"/>
          <w:b/>
          <w:color w:val="auto"/>
          <w:sz w:val="32"/>
          <w:szCs w:val="32"/>
          <w14:ligatures w14:val="none"/>
        </w:rPr>
        <w:t>福建广生堂药业股份有限公司</w:t>
      </w:r>
    </w:p>
    <w:p w14:paraId="7ACB611A">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rPr>
          <w:rFonts w:hint="eastAsia" w:ascii="宋体" w:hAnsi="宋体" w:eastAsia="宋体" w:cs="宋体"/>
          <w:kern w:val="0"/>
          <w:sz w:val="24"/>
          <w:lang w:val="zh-CN"/>
        </w:rPr>
      </w:pPr>
      <w:bookmarkStart w:id="0" w:name="_Hlk162539467"/>
      <w:r>
        <w:rPr>
          <w:rFonts w:hint="eastAsia" w:ascii="宋体" w:hAnsi="宋体" w:eastAsia="宋体" w:cs="宋体"/>
          <w:b/>
          <w:color w:val="auto"/>
          <w:sz w:val="32"/>
          <w:szCs w:val="32"/>
          <w14:ligatures w14:val="none"/>
        </w:rPr>
        <w:t>会计师事务所履职情况评估报告</w:t>
      </w:r>
      <w:bookmarkEnd w:id="0"/>
    </w:p>
    <w:p w14:paraId="189FDC67">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福建广生堂药业股份有限公司（以下简称“公司”）聘请北京德皓国际会计师事务所（特殊普通合伙）（以下简称“北京德皓国际”）作为公司202</w:t>
      </w:r>
      <w:r>
        <w:rPr>
          <w:rFonts w:hint="eastAsia" w:ascii="宋体" w:hAnsi="宋体" w:eastAsia="宋体" w:cs="宋体"/>
          <w:kern w:val="0"/>
          <w:sz w:val="24"/>
          <w:lang w:val="en-US" w:eastAsia="zh-CN"/>
        </w:rPr>
        <w:t>4</w:t>
      </w:r>
      <w:r>
        <w:rPr>
          <w:rFonts w:hint="eastAsia" w:ascii="宋体" w:hAnsi="宋体" w:eastAsia="宋体" w:cs="宋体"/>
          <w:kern w:val="0"/>
          <w:sz w:val="24"/>
          <w:lang w:val="zh-CN"/>
        </w:rPr>
        <w:t>年度财务及内部控制审计机构。根据财政部、国资委及证监会颁布的《国有企业、上市公司选聘会计师事务所管理办法》，公司对北京德皓国际202</w:t>
      </w:r>
      <w:r>
        <w:rPr>
          <w:rFonts w:hint="eastAsia" w:ascii="宋体" w:hAnsi="宋体" w:eastAsia="宋体" w:cs="宋体"/>
          <w:kern w:val="0"/>
          <w:sz w:val="24"/>
          <w:lang w:val="en-US" w:eastAsia="zh-CN"/>
        </w:rPr>
        <w:t>4</w:t>
      </w:r>
      <w:r>
        <w:rPr>
          <w:rFonts w:hint="eastAsia" w:ascii="宋体" w:hAnsi="宋体" w:eastAsia="宋体" w:cs="宋体"/>
          <w:kern w:val="0"/>
          <w:sz w:val="24"/>
          <w:lang w:val="zh-CN"/>
        </w:rPr>
        <w:t>年审计过程中的履职情况进行评估。经评估，公司认为北京德皓国际资质等方面合规有效，履职保持独立性，勤勉尽责，公允表达意见。具体情况如下：</w:t>
      </w:r>
    </w:p>
    <w:p w14:paraId="2F887689">
      <w:pPr>
        <w:pStyle w:val="2"/>
        <w:spacing w:before="156" w:after="156"/>
        <w:rPr>
          <w:rFonts w:cs="宋体"/>
          <w:kern w:val="0"/>
          <w:lang w:val="zh-CN"/>
        </w:rPr>
      </w:pPr>
      <w:r>
        <w:rPr>
          <w:shd w:val="clear" w:color="auto" w:fill="FFFFFF"/>
        </w:rPr>
        <w:t>一、</w:t>
      </w:r>
      <w:r>
        <w:rPr>
          <w:rFonts w:hint="eastAsia" w:cs="Courier New"/>
          <w:shd w:val="clear" w:color="auto" w:fill="FFFFFF"/>
        </w:rPr>
        <w:t>资质条件</w:t>
      </w:r>
    </w:p>
    <w:p w14:paraId="6C5468DE">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1、机构信息</w:t>
      </w:r>
    </w:p>
    <w:p w14:paraId="2AA6A255">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名称：北京德皓国际会计师事务所（特殊普通合伙）</w:t>
      </w:r>
    </w:p>
    <w:p w14:paraId="491CD4C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成立日期：2008年12月8日</w:t>
      </w:r>
    </w:p>
    <w:p w14:paraId="192E76B0">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组织形式：特殊普通合伙</w:t>
      </w:r>
    </w:p>
    <w:p w14:paraId="0D7AC7F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注册地址：北京市西城区阜成门外大街31号5层519A</w:t>
      </w:r>
    </w:p>
    <w:p w14:paraId="7CEF127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首席合伙人：杨雄</w:t>
      </w:r>
    </w:p>
    <w:p w14:paraId="6E60FE2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截止2024年12月31日，北京德皓国际合伙人66人，注册会计师300人，签署过证券服务业务审计报告的注册会计师人数140人。</w:t>
      </w:r>
    </w:p>
    <w:p w14:paraId="35BBB111">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2024年度收入总额为43,506.21万元（含合并数，经审计，下同），审计业务收入为29,244.86万元，证券业务收入为22,572.37万元。审计2024年上市公司年报客户家数125家，主要行业：制造业，信息传输、软件和信息服务业，水利、环境和公共设施管理业，批发和零售业。本公司同行业上市公司审计客户家数为86家。</w:t>
      </w:r>
    </w:p>
    <w:p w14:paraId="170F56B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2、投资者保护能力</w:t>
      </w:r>
    </w:p>
    <w:p w14:paraId="143C689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职业风险基金上年度年末数：105.35万元；已购买的职业保险累计赔偿限额3亿元。职业风险基金计提和职业保险购买符合相关规定；近三年无在执业行为相关民事诉讼中承担民事责任的情况。</w:t>
      </w:r>
    </w:p>
    <w:p w14:paraId="50223A60">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3、诚信记录</w:t>
      </w:r>
    </w:p>
    <w:p w14:paraId="1E18104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北京德皓国际近三年因执业行为受到刑事处罚0次、行政处罚0次、行政监管措施1次、自律监管措施0次和纪律处分0次。期间有30名从业人员近三年因执业行为受到行政监管措施22次（其中21次不在北京德皓国际执业期间）、自律监管措施6次（均不在北京德皓国际执业期间）。</w:t>
      </w:r>
    </w:p>
    <w:p w14:paraId="45C764DD">
      <w:pPr>
        <w:pStyle w:val="2"/>
        <w:spacing w:before="156" w:after="156"/>
        <w:rPr>
          <w:rFonts w:cs="宋体"/>
          <w:kern w:val="0"/>
          <w:lang w:val="zh-CN"/>
        </w:rPr>
      </w:pPr>
      <w:r>
        <w:rPr>
          <w:shd w:val="clear" w:color="auto" w:fill="FFFFFF"/>
        </w:rPr>
        <w:t>二、执</w:t>
      </w:r>
      <w:bookmarkStart w:id="1" w:name="_GoBack"/>
      <w:bookmarkEnd w:id="1"/>
      <w:r>
        <w:rPr>
          <w:shd w:val="clear" w:color="auto" w:fill="FFFFFF"/>
        </w:rPr>
        <w:t>业记录</w:t>
      </w:r>
    </w:p>
    <w:p w14:paraId="632F0E2C">
      <w:pPr>
        <w:spacing w:line="360" w:lineRule="auto"/>
        <w:ind w:firstLine="480" w:firstLineChars="200"/>
        <w:outlineLvl w:val="2"/>
        <w:rPr>
          <w:rFonts w:hint="eastAsia" w:ascii="宋体" w:hAnsi="宋体" w:eastAsia="宋体" w:cs="Times New Roman"/>
          <w:bCs/>
          <w:sz w:val="24"/>
          <w:szCs w:val="32"/>
          <w:highlight w:val="none"/>
        </w:rPr>
      </w:pPr>
      <w:r>
        <w:rPr>
          <w:rFonts w:hint="eastAsia" w:ascii="宋体" w:hAnsi="宋体" w:eastAsia="宋体" w:cs="Times New Roman"/>
          <w:bCs/>
          <w:color w:val="000000"/>
          <w:sz w:val="24"/>
          <w:szCs w:val="32"/>
          <w:highlight w:val="none"/>
          <w:shd w:val="clear" w:fill="FFFFFF"/>
        </w:rPr>
        <w:t>1、</w:t>
      </w:r>
      <w:r>
        <w:rPr>
          <w:rFonts w:hint="eastAsia" w:ascii="宋体" w:hAnsi="宋体" w:eastAsia="宋体" w:cs="Times New Roman"/>
          <w:bCs/>
          <w:sz w:val="24"/>
          <w:szCs w:val="32"/>
          <w:highlight w:val="none"/>
        </w:rPr>
        <w:t>基本信息</w:t>
      </w:r>
    </w:p>
    <w:p w14:paraId="52DF5D6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签字项目合伙人：郑基，1997年1月成为注册会计师，1998年1月开始从事上市公司审计，2024年9月开始在北京德皓国际执业，2024年开始为本公司提供审计服务；近三年为8家上市公司签署审计报告。</w:t>
      </w:r>
    </w:p>
    <w:p w14:paraId="1959A07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签字注册会计师：赖镇业，2010年6月成为注册会计师，2012年1月开始从事上市公司审计，2024年8月开始在北京德皓国际执业，2021年开始为公司提供审计服务。近三年为1家上市公司签署审计报告。</w:t>
      </w:r>
    </w:p>
    <w:p w14:paraId="14CBE59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安排的项目质量复核人员：盛青，于2000年2月成为注册会计师，1998年1月开始从事上市公司审计、2023年9月开始在北京德皓国际执业。近三年签署或复核上市公司和挂牌公司审计报告12家。</w:t>
      </w:r>
    </w:p>
    <w:p w14:paraId="29D18E78">
      <w:pPr>
        <w:spacing w:line="360" w:lineRule="auto"/>
        <w:ind w:firstLine="480" w:firstLineChars="200"/>
        <w:outlineLvl w:val="2"/>
        <w:rPr>
          <w:rFonts w:hint="eastAsia" w:ascii="宋体" w:hAnsi="宋体" w:eastAsia="宋体" w:cs="Times New Roman"/>
          <w:bCs/>
          <w:sz w:val="24"/>
          <w:szCs w:val="32"/>
          <w:highlight w:val="none"/>
        </w:rPr>
      </w:pPr>
      <w:r>
        <w:rPr>
          <w:rFonts w:hint="eastAsia" w:ascii="宋体" w:hAnsi="宋体" w:eastAsia="宋体" w:cs="Times New Roman"/>
          <w:bCs/>
          <w:color w:val="000000"/>
          <w:sz w:val="24"/>
          <w:szCs w:val="32"/>
          <w:highlight w:val="none"/>
          <w:shd w:val="clear" w:fill="FFFFFF"/>
        </w:rPr>
        <w:t>2、</w:t>
      </w:r>
      <w:r>
        <w:rPr>
          <w:rFonts w:hint="eastAsia" w:ascii="宋体" w:hAnsi="宋体" w:eastAsia="宋体" w:cs="Times New Roman"/>
          <w:bCs/>
          <w:sz w:val="24"/>
          <w:szCs w:val="32"/>
          <w:highlight w:val="none"/>
        </w:rPr>
        <w:t>诚信记录</w:t>
      </w:r>
    </w:p>
    <w:p w14:paraId="701553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项目合伙人、签字注册会计师、项目质量控制复核人近三年未因执业行为受到刑事处罚，未因执业行为受到证监会及其派出机构、行业主管部门的行政处罚，因执业行为受到证监会及派出机构的行政监管措施的具体情况，详见下表：</w:t>
      </w:r>
    </w:p>
    <w:tbl>
      <w:tblPr>
        <w:tblStyle w:val="12"/>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843"/>
        <w:gridCol w:w="1701"/>
        <w:gridCol w:w="1701"/>
        <w:gridCol w:w="2864"/>
      </w:tblGrid>
      <w:tr w14:paraId="2D1E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38" w:type="dxa"/>
            <w:shd w:val="pct15" w:color="auto" w:fill="auto"/>
            <w:vAlign w:val="center"/>
          </w:tcPr>
          <w:p w14:paraId="2325118F">
            <w:pPr>
              <w:widowControl/>
              <w:jc w:val="center"/>
              <w:rPr>
                <w:rFonts w:ascii="宋体" w:hAnsi="宋体" w:cs="宋体"/>
                <w:b/>
                <w:bCs/>
                <w:kern w:val="0"/>
                <w:szCs w:val="21"/>
              </w:rPr>
            </w:pPr>
            <w:r>
              <w:rPr>
                <w:rFonts w:hint="eastAsia" w:ascii="宋体" w:hAnsi="宋体" w:cs="宋体"/>
                <w:b/>
                <w:bCs/>
                <w:kern w:val="0"/>
                <w:szCs w:val="21"/>
              </w:rPr>
              <w:t>姓名</w:t>
            </w:r>
          </w:p>
        </w:tc>
        <w:tc>
          <w:tcPr>
            <w:tcW w:w="1843" w:type="dxa"/>
            <w:shd w:val="pct15" w:color="auto" w:fill="auto"/>
            <w:vAlign w:val="center"/>
          </w:tcPr>
          <w:p w14:paraId="4DA1DC6F">
            <w:pPr>
              <w:widowControl/>
              <w:jc w:val="center"/>
              <w:rPr>
                <w:rFonts w:ascii="宋体" w:hAnsi="宋体" w:cs="宋体"/>
                <w:b/>
                <w:bCs/>
                <w:kern w:val="0"/>
                <w:szCs w:val="21"/>
              </w:rPr>
            </w:pPr>
            <w:r>
              <w:rPr>
                <w:rFonts w:hint="eastAsia" w:ascii="宋体" w:hAnsi="宋体" w:cs="宋体"/>
                <w:b/>
                <w:bCs/>
                <w:kern w:val="0"/>
                <w:szCs w:val="21"/>
              </w:rPr>
              <w:t>处理处罚日期</w:t>
            </w:r>
          </w:p>
        </w:tc>
        <w:tc>
          <w:tcPr>
            <w:tcW w:w="1701" w:type="dxa"/>
            <w:shd w:val="pct15" w:color="auto" w:fill="auto"/>
            <w:vAlign w:val="center"/>
          </w:tcPr>
          <w:p w14:paraId="73D9B10C">
            <w:pPr>
              <w:widowControl/>
              <w:jc w:val="center"/>
              <w:rPr>
                <w:rFonts w:ascii="宋体" w:hAnsi="宋体" w:cs="宋体"/>
                <w:b/>
                <w:bCs/>
                <w:kern w:val="0"/>
                <w:szCs w:val="21"/>
              </w:rPr>
            </w:pPr>
            <w:r>
              <w:rPr>
                <w:rFonts w:hint="eastAsia" w:ascii="宋体" w:hAnsi="宋体" w:cs="宋体"/>
                <w:b/>
                <w:bCs/>
                <w:kern w:val="0"/>
                <w:szCs w:val="21"/>
              </w:rPr>
              <w:t>处理处罚类型</w:t>
            </w:r>
          </w:p>
        </w:tc>
        <w:tc>
          <w:tcPr>
            <w:tcW w:w="1701" w:type="dxa"/>
            <w:shd w:val="pct15" w:color="auto" w:fill="auto"/>
            <w:vAlign w:val="center"/>
          </w:tcPr>
          <w:p w14:paraId="3598D790">
            <w:pPr>
              <w:widowControl/>
              <w:jc w:val="center"/>
              <w:rPr>
                <w:rFonts w:ascii="宋体" w:hAnsi="宋体" w:cs="宋体"/>
                <w:b/>
                <w:bCs/>
                <w:kern w:val="0"/>
                <w:szCs w:val="21"/>
              </w:rPr>
            </w:pPr>
            <w:r>
              <w:rPr>
                <w:rFonts w:hint="eastAsia" w:ascii="宋体" w:hAnsi="宋体" w:cs="宋体"/>
                <w:b/>
                <w:bCs/>
                <w:kern w:val="0"/>
                <w:szCs w:val="21"/>
              </w:rPr>
              <w:t>实施单位</w:t>
            </w:r>
          </w:p>
        </w:tc>
        <w:tc>
          <w:tcPr>
            <w:tcW w:w="2864" w:type="dxa"/>
            <w:shd w:val="pct15" w:color="auto" w:fill="auto"/>
            <w:vAlign w:val="center"/>
          </w:tcPr>
          <w:p w14:paraId="3D679963">
            <w:pPr>
              <w:widowControl/>
              <w:jc w:val="center"/>
              <w:rPr>
                <w:rFonts w:ascii="宋体" w:hAnsi="宋体" w:cs="宋体"/>
                <w:b/>
                <w:bCs/>
                <w:kern w:val="0"/>
                <w:szCs w:val="21"/>
              </w:rPr>
            </w:pPr>
            <w:r>
              <w:rPr>
                <w:rFonts w:hint="eastAsia" w:ascii="宋体" w:hAnsi="宋体" w:cs="宋体"/>
                <w:b/>
                <w:bCs/>
                <w:kern w:val="0"/>
                <w:szCs w:val="21"/>
              </w:rPr>
              <w:t>事由及处理处罚情况</w:t>
            </w:r>
          </w:p>
        </w:tc>
      </w:tr>
      <w:tr w14:paraId="2597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938" w:type="dxa"/>
            <w:vAlign w:val="center"/>
          </w:tcPr>
          <w:p w14:paraId="60FA9AB6">
            <w:pPr>
              <w:widowControl/>
              <w:wordWrap w:val="0"/>
              <w:jc w:val="center"/>
              <w:rPr>
                <w:rFonts w:ascii="宋体" w:hAnsi="宋体" w:cs="宋体"/>
                <w:kern w:val="0"/>
                <w:szCs w:val="21"/>
              </w:rPr>
            </w:pPr>
            <w:r>
              <w:rPr>
                <w:rFonts w:hint="eastAsia" w:ascii="宋体" w:hAnsi="宋体" w:cs="宋体"/>
                <w:kern w:val="0"/>
                <w:szCs w:val="21"/>
              </w:rPr>
              <w:t>郑基</w:t>
            </w:r>
          </w:p>
        </w:tc>
        <w:tc>
          <w:tcPr>
            <w:tcW w:w="1843" w:type="dxa"/>
            <w:vAlign w:val="center"/>
          </w:tcPr>
          <w:p w14:paraId="7F794ABD">
            <w:pPr>
              <w:widowControl/>
              <w:wordWrap w:val="0"/>
              <w:jc w:val="center"/>
              <w:rPr>
                <w:rFonts w:ascii="宋体" w:hAnsi="宋体" w:cs="宋体"/>
                <w:kern w:val="0"/>
                <w:szCs w:val="21"/>
              </w:rPr>
            </w:pPr>
            <w:r>
              <w:rPr>
                <w:rFonts w:hint="eastAsia" w:ascii="宋体" w:hAnsi="宋体" w:cs="宋体"/>
                <w:kern w:val="0"/>
                <w:szCs w:val="21"/>
              </w:rPr>
              <w:t>2022年9月28日</w:t>
            </w:r>
          </w:p>
        </w:tc>
        <w:tc>
          <w:tcPr>
            <w:tcW w:w="1701" w:type="dxa"/>
            <w:vAlign w:val="center"/>
          </w:tcPr>
          <w:p w14:paraId="29180C31">
            <w:pPr>
              <w:widowControl/>
              <w:wordWrap w:val="0"/>
              <w:jc w:val="center"/>
              <w:rPr>
                <w:rFonts w:ascii="宋体" w:hAnsi="宋体" w:cs="宋体"/>
                <w:kern w:val="0"/>
                <w:szCs w:val="21"/>
              </w:rPr>
            </w:pPr>
            <w:r>
              <w:rPr>
                <w:rFonts w:hint="eastAsia" w:ascii="宋体" w:hAnsi="宋体" w:cs="宋体"/>
                <w:kern w:val="0"/>
                <w:szCs w:val="21"/>
              </w:rPr>
              <w:t>行政监管措施</w:t>
            </w:r>
          </w:p>
        </w:tc>
        <w:tc>
          <w:tcPr>
            <w:tcW w:w="1701" w:type="dxa"/>
            <w:vAlign w:val="center"/>
          </w:tcPr>
          <w:p w14:paraId="295D3FF5">
            <w:pPr>
              <w:widowControl/>
              <w:wordWrap w:val="0"/>
              <w:jc w:val="center"/>
              <w:rPr>
                <w:rFonts w:ascii="宋体" w:hAnsi="宋体" w:cs="宋体"/>
                <w:kern w:val="0"/>
                <w:szCs w:val="21"/>
              </w:rPr>
            </w:pPr>
            <w:r>
              <w:rPr>
                <w:rFonts w:hint="eastAsia" w:ascii="宋体" w:hAnsi="宋体" w:cs="宋体"/>
                <w:kern w:val="0"/>
                <w:szCs w:val="21"/>
              </w:rPr>
              <w:t>中国证监会福建监管局</w:t>
            </w:r>
          </w:p>
        </w:tc>
        <w:tc>
          <w:tcPr>
            <w:tcW w:w="2864" w:type="dxa"/>
            <w:vAlign w:val="center"/>
          </w:tcPr>
          <w:p w14:paraId="573873AF">
            <w:pPr>
              <w:widowControl/>
              <w:jc w:val="center"/>
              <w:rPr>
                <w:rFonts w:ascii="宋体" w:hAnsi="宋体" w:cs="宋体"/>
                <w:kern w:val="0"/>
                <w:szCs w:val="21"/>
              </w:rPr>
            </w:pPr>
            <w:r>
              <w:rPr>
                <w:rFonts w:hint="eastAsia" w:ascii="宋体" w:hAnsi="宋体" w:cs="宋体"/>
                <w:kern w:val="0"/>
                <w:szCs w:val="21"/>
              </w:rPr>
              <w:t>因</w:t>
            </w:r>
            <w:r>
              <w:fldChar w:fldCharType="begin"/>
            </w:r>
            <w:r>
              <w:instrText xml:space="preserve"> HYPERLINK "https://aiqicha.baidu.com/company_detail_71928349641820" \t "_blank" </w:instrText>
            </w:r>
            <w:r>
              <w:fldChar w:fldCharType="separate"/>
            </w:r>
            <w:r>
              <w:rPr>
                <w:rFonts w:hint="eastAsia" w:ascii="宋体" w:hAnsi="宋体" w:cs="宋体"/>
                <w:kern w:val="0"/>
                <w:szCs w:val="21"/>
              </w:rPr>
              <w:t>茶花现代家居用品股份有限公司</w:t>
            </w:r>
            <w:r>
              <w:rPr>
                <w:rFonts w:hint="eastAsia" w:ascii="宋体" w:hAnsi="宋体" w:cs="宋体"/>
                <w:kern w:val="0"/>
                <w:szCs w:val="21"/>
              </w:rPr>
              <w:fldChar w:fldCharType="end"/>
            </w:r>
            <w:r>
              <w:rPr>
                <w:rFonts w:hint="eastAsia" w:ascii="宋体" w:hAnsi="宋体" w:cs="宋体"/>
                <w:kern w:val="0"/>
                <w:szCs w:val="21"/>
              </w:rPr>
              <w:t>2020年年报审计项目，被采取出具警示函的监督管理措施</w:t>
            </w:r>
          </w:p>
        </w:tc>
      </w:tr>
    </w:tbl>
    <w:p w14:paraId="41A1DBD3">
      <w:pPr>
        <w:spacing w:line="360" w:lineRule="auto"/>
        <w:ind w:firstLine="480" w:firstLineChars="200"/>
        <w:outlineLvl w:val="2"/>
        <w:rPr>
          <w:rFonts w:hint="eastAsia" w:ascii="宋体" w:hAnsi="宋体" w:eastAsia="宋体" w:cs="Times New Roman"/>
          <w:bCs/>
          <w:sz w:val="24"/>
          <w:szCs w:val="32"/>
          <w:highlight w:val="none"/>
        </w:rPr>
      </w:pPr>
      <w:r>
        <w:rPr>
          <w:rFonts w:hint="eastAsia" w:ascii="宋体" w:hAnsi="宋体" w:eastAsia="宋体" w:cs="Times New Roman"/>
          <w:bCs/>
          <w:color w:val="000000"/>
          <w:sz w:val="24"/>
          <w:szCs w:val="32"/>
          <w:highlight w:val="none"/>
          <w:shd w:val="clear" w:fill="FFFFFF"/>
        </w:rPr>
        <w:t>3、</w:t>
      </w:r>
      <w:r>
        <w:rPr>
          <w:rFonts w:hint="eastAsia" w:ascii="宋体" w:hAnsi="宋体" w:eastAsia="宋体" w:cs="Times New Roman"/>
          <w:bCs/>
          <w:sz w:val="24"/>
          <w:szCs w:val="32"/>
          <w:highlight w:val="none"/>
        </w:rPr>
        <w:t>独立性</w:t>
      </w:r>
    </w:p>
    <w:p w14:paraId="4EF91A8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北京德皓国际及项目合伙人、签字注册会计师、项目质量控制复核人等从业人员不存在违反《中国注册会计师职业道德守则》对独立性要求的情形。</w:t>
      </w:r>
    </w:p>
    <w:p w14:paraId="2A69D2EF">
      <w:pPr>
        <w:pStyle w:val="2"/>
        <w:spacing w:before="156" w:after="156"/>
        <w:rPr>
          <w:rFonts w:cs="Times New Roman"/>
        </w:rPr>
      </w:pPr>
      <w:r>
        <w:rPr>
          <w:shd w:val="clear" w:color="auto" w:fill="FFFFFF"/>
        </w:rPr>
        <w:t>三、质量管理水平</w:t>
      </w:r>
    </w:p>
    <w:p w14:paraId="435C812D">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1、项目咨询</w:t>
      </w:r>
    </w:p>
    <w:p w14:paraId="450E41BA">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2024年年度审计过程中，北京德皓国际就公司重大会计审计事项与公司财务部及相关业务部门及时进行咨询，按时解决公司重点难点审计问题。</w:t>
      </w:r>
    </w:p>
    <w:p w14:paraId="3F2D471B">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2、意见分歧解决</w:t>
      </w:r>
    </w:p>
    <w:p w14:paraId="7230AE59">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北京德皓国际制定了明确的专业意见分歧解决机制。当项目组成员、项目质量复核人或公司财务部之间存在未解决的专业意见分歧时，需要咨询公司财务部及相关业务部门负责人</w:t>
      </w:r>
      <w:r>
        <w:rPr>
          <w:rFonts w:hint="eastAsia" w:ascii="宋体" w:hAnsi="宋体" w:eastAsia="宋体" w:cs="Times New Roman"/>
          <w:sz w:val="24"/>
          <w:lang w:eastAsia="zh-CN"/>
        </w:rPr>
        <w:t>，</w:t>
      </w:r>
      <w:r>
        <w:rPr>
          <w:rFonts w:hint="eastAsia" w:ascii="宋体" w:hAnsi="宋体" w:eastAsia="宋体" w:cs="Times New Roman"/>
          <w:sz w:val="24"/>
        </w:rPr>
        <w:t>在专业意见分歧解决之前不得出具报告。202</w:t>
      </w:r>
      <w:r>
        <w:rPr>
          <w:rFonts w:hint="eastAsia" w:ascii="宋体" w:hAnsi="宋体" w:eastAsia="宋体" w:cs="Times New Roman"/>
          <w:sz w:val="24"/>
          <w:lang w:val="en-US" w:eastAsia="zh-CN"/>
        </w:rPr>
        <w:t>4</w:t>
      </w:r>
      <w:r>
        <w:rPr>
          <w:rFonts w:hint="eastAsia" w:ascii="宋体" w:hAnsi="宋体" w:eastAsia="宋体" w:cs="Times New Roman"/>
          <w:sz w:val="24"/>
        </w:rPr>
        <w:t>年年度审计过程中，北京德皓国际就公司的所有重大会计审计事项达成一致意见，无不能解决的意见分歧。</w:t>
      </w:r>
    </w:p>
    <w:p w14:paraId="7141D8DD">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3、项目质量复核</w:t>
      </w:r>
    </w:p>
    <w:p w14:paraId="0481EAF5">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审计过程中，北京德皓国际实施完善的项目质量复核程序，主要包括审计项目组内部复核、独立项目质量复核。</w:t>
      </w:r>
    </w:p>
    <w:p w14:paraId="5AE2243E">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4、项目质量检查</w:t>
      </w:r>
    </w:p>
    <w:p w14:paraId="6ABC55A2">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宋体"/>
          <w:kern w:val="0"/>
          <w:sz w:val="24"/>
          <w:lang w:val="zh-CN"/>
        </w:rPr>
        <w:t>北京德皓国际</w:t>
      </w:r>
      <w:r>
        <w:rPr>
          <w:rFonts w:hint="eastAsia" w:ascii="宋体" w:hAnsi="宋体" w:eastAsia="宋体" w:cs="Times New Roman"/>
          <w:sz w:val="24"/>
        </w:rPr>
        <w:t>质控部门负责对质量管理体系的监督和整改的运行承担责任。</w:t>
      </w:r>
      <w:r>
        <w:rPr>
          <w:rFonts w:hint="eastAsia" w:ascii="宋体" w:hAnsi="宋体" w:eastAsia="宋体" w:cs="宋体"/>
          <w:kern w:val="0"/>
          <w:sz w:val="24"/>
          <w:lang w:val="zh-CN"/>
        </w:rPr>
        <w:t>北京德皓国际</w:t>
      </w:r>
      <w:r>
        <w:rPr>
          <w:rFonts w:hint="eastAsia" w:ascii="宋体" w:hAnsi="宋体" w:eastAsia="宋体" w:cs="Times New Roman"/>
          <w:sz w:val="24"/>
        </w:rPr>
        <w:t>质量管理体系的监控活动包括：质量管理关键控制点的测试；对质量管理体系范围内已完成项目的检查；根据职业道德准则要求对事务所和个人进行独立性测试；其他监控活动。确保项目组在报告签署之前已经按照项目质量管理要求充分、恰当地执行审计程序。</w:t>
      </w:r>
    </w:p>
    <w:p w14:paraId="3F59C595">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5、质量管理缺陷识别与整改</w:t>
      </w:r>
    </w:p>
    <w:p w14:paraId="4DB4AC03">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宋体"/>
          <w:kern w:val="0"/>
          <w:sz w:val="24"/>
          <w:lang w:val="zh-CN"/>
        </w:rPr>
        <w:t>北京德皓国际</w:t>
      </w:r>
      <w:r>
        <w:rPr>
          <w:rFonts w:hint="eastAsia" w:ascii="宋体" w:hAnsi="宋体" w:eastAsia="宋体" w:cs="Times New Roman"/>
          <w:sz w:val="24"/>
        </w:rPr>
        <w:t>根据注册会计师职业道德规范和审计准则的有关规定，制定相应的内部管理制度和政策，这些制度和政策构成</w:t>
      </w:r>
      <w:r>
        <w:rPr>
          <w:rFonts w:hint="eastAsia" w:ascii="宋体" w:hAnsi="宋体" w:eastAsia="宋体" w:cs="宋体"/>
          <w:kern w:val="0"/>
          <w:sz w:val="24"/>
          <w:lang w:val="zh-CN"/>
        </w:rPr>
        <w:t>北京德皓国际</w:t>
      </w:r>
      <w:r>
        <w:rPr>
          <w:rFonts w:hint="eastAsia" w:ascii="宋体" w:hAnsi="宋体" w:eastAsia="宋体" w:cs="Times New Roman"/>
          <w:sz w:val="24"/>
        </w:rPr>
        <w:t>完整、全面的质量管理体系。202</w:t>
      </w:r>
      <w:r>
        <w:rPr>
          <w:rFonts w:hint="eastAsia" w:ascii="宋体" w:hAnsi="宋体" w:eastAsia="宋体" w:cs="Times New Roman"/>
          <w:sz w:val="24"/>
          <w:lang w:val="en-US" w:eastAsia="zh-CN"/>
        </w:rPr>
        <w:t>4</w:t>
      </w:r>
      <w:r>
        <w:rPr>
          <w:rFonts w:hint="eastAsia" w:ascii="宋体" w:hAnsi="宋体" w:eastAsia="宋体" w:cs="Times New Roman"/>
          <w:sz w:val="24"/>
        </w:rPr>
        <w:t>年年度审计过程中，</w:t>
      </w:r>
      <w:r>
        <w:rPr>
          <w:rFonts w:hint="eastAsia" w:ascii="宋体" w:hAnsi="宋体" w:eastAsia="宋体" w:cs="宋体"/>
          <w:kern w:val="0"/>
          <w:sz w:val="24"/>
          <w:lang w:val="zh-CN"/>
        </w:rPr>
        <w:t>北京德皓国际</w:t>
      </w:r>
      <w:r>
        <w:rPr>
          <w:rFonts w:hint="eastAsia" w:ascii="宋体" w:hAnsi="宋体" w:eastAsia="宋体" w:cs="Times New Roman"/>
          <w:sz w:val="24"/>
        </w:rPr>
        <w:t>勤勉尽责，质量管理的各项措施得到了有效执行。</w:t>
      </w:r>
    </w:p>
    <w:p w14:paraId="2FC1D430">
      <w:pPr>
        <w:pStyle w:val="2"/>
        <w:spacing w:before="156" w:after="156"/>
        <w:rPr>
          <w:rFonts w:cs="Times New Roman"/>
        </w:rPr>
      </w:pPr>
      <w:r>
        <w:rPr>
          <w:shd w:val="clear" w:color="auto" w:fill="FFFFFF"/>
        </w:rPr>
        <w:t>四、工作方案</w:t>
      </w:r>
    </w:p>
    <w:p w14:paraId="2E0B7B9B">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202</w:t>
      </w:r>
      <w:r>
        <w:rPr>
          <w:rFonts w:hint="eastAsia" w:ascii="宋体" w:hAnsi="宋体" w:eastAsia="宋体" w:cs="Times New Roman"/>
          <w:sz w:val="24"/>
          <w:lang w:val="en-US" w:eastAsia="zh-CN"/>
        </w:rPr>
        <w:t>4</w:t>
      </w:r>
      <w:r>
        <w:rPr>
          <w:rFonts w:hint="eastAsia" w:ascii="宋体" w:hAnsi="宋体" w:eastAsia="宋体" w:cs="Times New Roman"/>
          <w:sz w:val="24"/>
        </w:rPr>
        <w:t>年年度审计过程中，</w:t>
      </w:r>
      <w:r>
        <w:rPr>
          <w:rFonts w:hint="eastAsia" w:ascii="宋体" w:hAnsi="宋体" w:eastAsia="宋体" w:cs="宋体"/>
          <w:kern w:val="0"/>
          <w:sz w:val="24"/>
          <w:lang w:val="zh-CN"/>
        </w:rPr>
        <w:t>北京德皓国际</w:t>
      </w:r>
      <w:r>
        <w:rPr>
          <w:rFonts w:hint="eastAsia" w:ascii="宋体" w:hAnsi="宋体" w:eastAsia="宋体" w:cs="Times New Roman"/>
          <w:sz w:val="24"/>
        </w:rPr>
        <w:t>针对公司的审计需求及实际情况，制定全面、合理、可操作性强的审计工作方案。审计工作围绕被审计单位的审计重点展开，其中包括收入确认、成本核算、资产减值、递延所得税确认、金融工具、合并报表、关联方交易等。</w:t>
      </w:r>
      <w:r>
        <w:rPr>
          <w:rFonts w:hint="eastAsia" w:ascii="宋体" w:hAnsi="宋体" w:eastAsia="宋体" w:cs="宋体"/>
          <w:kern w:val="0"/>
          <w:sz w:val="24"/>
          <w:lang w:val="zh-CN"/>
        </w:rPr>
        <w:t>北京德皓国际</w:t>
      </w:r>
      <w:r>
        <w:rPr>
          <w:rFonts w:hint="eastAsia" w:ascii="宋体" w:hAnsi="宋体" w:eastAsia="宋体" w:cs="Times New Roman"/>
          <w:sz w:val="24"/>
        </w:rPr>
        <w:t>全面配合公司审计工作，充分满足了上市公司报告披露时间要求。</w:t>
      </w:r>
      <w:r>
        <w:rPr>
          <w:rFonts w:hint="eastAsia" w:ascii="宋体" w:hAnsi="宋体" w:eastAsia="宋体" w:cs="宋体"/>
          <w:kern w:val="0"/>
          <w:sz w:val="24"/>
          <w:lang w:val="zh-CN"/>
        </w:rPr>
        <w:t>北京德皓国际</w:t>
      </w:r>
      <w:r>
        <w:rPr>
          <w:rFonts w:hint="eastAsia" w:ascii="宋体" w:hAnsi="宋体" w:eastAsia="宋体" w:cs="Times New Roman"/>
          <w:sz w:val="24"/>
        </w:rPr>
        <w:t>制定了详细的审计计划与时间安排，并且能够根据计划安排按时提交各项工作。</w:t>
      </w:r>
    </w:p>
    <w:p w14:paraId="3751A1FA">
      <w:pPr>
        <w:pStyle w:val="2"/>
        <w:spacing w:before="156" w:after="156"/>
        <w:rPr>
          <w:rFonts w:cs="Times New Roman"/>
        </w:rPr>
      </w:pPr>
      <w:r>
        <w:rPr>
          <w:shd w:val="clear" w:color="auto" w:fill="FFFFFF"/>
        </w:rPr>
        <w:t>五、人力及其他资源配备</w:t>
      </w:r>
    </w:p>
    <w:p w14:paraId="037EE1DC">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宋体"/>
          <w:kern w:val="0"/>
          <w:sz w:val="24"/>
          <w:lang w:val="zh-CN"/>
        </w:rPr>
        <w:t>北京德皓国际</w:t>
      </w:r>
      <w:r>
        <w:rPr>
          <w:rFonts w:hint="eastAsia" w:ascii="宋体" w:hAnsi="宋体" w:eastAsia="宋体" w:cs="Times New Roman"/>
          <w:sz w:val="24"/>
        </w:rPr>
        <w:t>配备了专属审计工作团队，核心团队成员均具备多年上市公司审计经验，并拥有中国注册会计师专业资质。项目负责合伙人均由管理合伙人担任，项目现场负责人也由资深审计人员担任。</w:t>
      </w:r>
    </w:p>
    <w:p w14:paraId="0C6EFB9E">
      <w:pPr>
        <w:pStyle w:val="2"/>
        <w:spacing w:before="156" w:after="156"/>
        <w:rPr>
          <w:rFonts w:cs="Times New Roman"/>
        </w:rPr>
      </w:pPr>
      <w:r>
        <w:rPr>
          <w:shd w:val="clear" w:color="auto" w:fill="FFFFFF"/>
        </w:rPr>
        <w:t>六、信息安全管理</w:t>
      </w:r>
    </w:p>
    <w:p w14:paraId="558D30BE">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宋体"/>
          <w:kern w:val="0"/>
          <w:sz w:val="24"/>
          <w:lang w:val="zh-CN"/>
        </w:rPr>
        <w:t>北京德皓国际</w:t>
      </w:r>
      <w:r>
        <w:rPr>
          <w:rFonts w:hint="eastAsia" w:ascii="宋体" w:hAnsi="宋体" w:eastAsia="宋体" w:cs="Times New Roman"/>
          <w:sz w:val="24"/>
        </w:rPr>
        <w:t>制定了涵盖档案管理、保密制度、突发事件处理等系统性的信息安全控制制度，在制定审计方案和实施审计工作的过程中，也考虑了对敏感信息、保密信息的检查、处理、脱敏和归档管理，并能够有效执行。</w:t>
      </w:r>
    </w:p>
    <w:p w14:paraId="5702E34A">
      <w:pPr>
        <w:pStyle w:val="2"/>
        <w:spacing w:before="156" w:after="156"/>
        <w:rPr>
          <w:rFonts w:cs="Times New Roman"/>
        </w:rPr>
      </w:pPr>
      <w:r>
        <w:rPr>
          <w:shd w:val="clear" w:color="auto" w:fill="FFFFFF"/>
        </w:rPr>
        <w:t>七、风险承担能力水平</w:t>
      </w:r>
    </w:p>
    <w:p w14:paraId="68DD75CB">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截至2024年末，北京德皓国际已计提的职业风险基金和已购买的职业保险累计赔偿限额之和超过人民币3亿元。职业风险基金计提及职业保险购买符合财政部关于《会计师事务所职业风险基金管理办法》等文件的相关规定。</w:t>
      </w:r>
    </w:p>
    <w:p w14:paraId="5D8D6508">
      <w:pPr>
        <w:autoSpaceDE w:val="0"/>
        <w:autoSpaceDN w:val="0"/>
        <w:adjustRightInd w:val="0"/>
        <w:spacing w:line="360" w:lineRule="auto"/>
        <w:ind w:firstLine="480" w:firstLineChars="200"/>
        <w:jc w:val="left"/>
        <w:rPr>
          <w:rFonts w:ascii="宋体" w:hAnsi="宋体" w:eastAsia="宋体" w:cs="Times New Roman"/>
          <w:sz w:val="24"/>
        </w:rPr>
      </w:pPr>
    </w:p>
    <w:p w14:paraId="5337EC59">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特此报告。</w:t>
      </w:r>
    </w:p>
    <w:p w14:paraId="6B239E8A">
      <w:pPr>
        <w:autoSpaceDE w:val="0"/>
        <w:autoSpaceDN w:val="0"/>
        <w:adjustRightInd w:val="0"/>
        <w:spacing w:line="360" w:lineRule="auto"/>
        <w:ind w:firstLine="480" w:firstLineChars="200"/>
        <w:jc w:val="left"/>
        <w:rPr>
          <w:rFonts w:ascii="宋体" w:hAnsi="宋体" w:eastAsia="宋体" w:cs="Times New Roman"/>
          <w:sz w:val="24"/>
        </w:rPr>
      </w:pPr>
    </w:p>
    <w:p w14:paraId="7F81F1B4">
      <w:pPr>
        <w:autoSpaceDE w:val="0"/>
        <w:autoSpaceDN w:val="0"/>
        <w:adjustRightInd w:val="0"/>
        <w:spacing w:line="360" w:lineRule="auto"/>
        <w:ind w:firstLine="480" w:firstLineChars="200"/>
        <w:jc w:val="left"/>
        <w:rPr>
          <w:rFonts w:ascii="宋体" w:hAnsi="宋体" w:eastAsia="宋体" w:cs="Times New Roman"/>
          <w:sz w:val="24"/>
        </w:rPr>
      </w:pPr>
    </w:p>
    <w:p w14:paraId="3722703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right"/>
        <w:textAlignment w:val="auto"/>
        <w:rPr>
          <w:rFonts w:ascii="宋体" w:hAnsi="宋体" w:eastAsia="宋体" w:cs="Times New Roman"/>
          <w:sz w:val="24"/>
        </w:rPr>
      </w:pPr>
      <w:r>
        <w:rPr>
          <w:rFonts w:hint="eastAsia" w:ascii="宋体" w:hAnsi="宋体" w:eastAsia="宋体" w:cs="Times New Roman"/>
          <w:sz w:val="24"/>
          <w:lang w:val="en-US" w:eastAsia="zh-CN"/>
        </w:rPr>
        <w:t>福建广生堂药业</w:t>
      </w:r>
      <w:r>
        <w:rPr>
          <w:rFonts w:hint="eastAsia" w:ascii="宋体" w:hAnsi="宋体" w:eastAsia="宋体" w:cs="Times New Roman"/>
          <w:sz w:val="24"/>
        </w:rPr>
        <w:t>股份有限公司董事会</w:t>
      </w:r>
    </w:p>
    <w:p w14:paraId="6E7A53AD">
      <w:pPr>
        <w:spacing w:line="360" w:lineRule="auto"/>
        <w:ind w:right="480" w:firstLine="480" w:firstLineChars="200"/>
        <w:jc w:val="center"/>
        <w:rPr>
          <w:rFonts w:hint="eastAsia" w:ascii="宋体" w:hAnsi="宋体" w:eastAsia="宋体" w:cs="Times New Roman"/>
          <w:sz w:val="24"/>
        </w:rPr>
      </w:pPr>
      <w:r>
        <w:rPr>
          <w:rFonts w:hint="eastAsia" w:ascii="宋体" w:hAnsi="宋体" w:eastAsia="宋体" w:cs="Times New Roman"/>
          <w:sz w:val="24"/>
          <w:lang w:val="en-US" w:eastAsia="zh-CN"/>
        </w:rPr>
        <w:t xml:space="preserve">                                       </w:t>
      </w:r>
      <w:r>
        <w:rPr>
          <w:rFonts w:hint="eastAsia" w:ascii="宋体" w:hAnsi="宋体" w:eastAsia="宋体" w:cs="Times New Roman"/>
          <w:sz w:val="24"/>
        </w:rPr>
        <w:t>202</w:t>
      </w:r>
      <w:r>
        <w:rPr>
          <w:rFonts w:hint="eastAsia" w:ascii="宋体" w:hAnsi="宋体" w:eastAsia="宋体" w:cs="Times New Roman"/>
          <w:sz w:val="24"/>
          <w:lang w:val="en-US" w:eastAsia="zh-CN"/>
        </w:rPr>
        <w:t>5</w:t>
      </w:r>
      <w:r>
        <w:rPr>
          <w:rFonts w:hint="eastAsia" w:ascii="宋体" w:hAnsi="宋体" w:eastAsia="宋体" w:cs="Times New Roman"/>
          <w:sz w:val="24"/>
        </w:rPr>
        <w:t>年4月</w:t>
      </w:r>
      <w:r>
        <w:rPr>
          <w:rFonts w:hint="eastAsia" w:ascii="宋体" w:hAnsi="宋体" w:eastAsia="宋体" w:cs="Times New Roman"/>
          <w:sz w:val="24"/>
          <w:lang w:val="en-US" w:eastAsia="zh-CN"/>
        </w:rPr>
        <w:t>17</w:t>
      </w:r>
      <w:r>
        <w:rPr>
          <w:rFonts w:hint="eastAsia" w:ascii="宋体" w:hAnsi="宋体" w:eastAsia="宋体" w:cs="Times New Roman"/>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etasota_documentID" w:val="8329676563950141440"/>
  </w:docVars>
  <w:rsids>
    <w:rsidRoot w:val="0F063D35"/>
    <w:rsid w:val="000002C6"/>
    <w:rsid w:val="00004653"/>
    <w:rsid w:val="00010BA2"/>
    <w:rsid w:val="00012161"/>
    <w:rsid w:val="00046153"/>
    <w:rsid w:val="000525FF"/>
    <w:rsid w:val="00054920"/>
    <w:rsid w:val="00056C5B"/>
    <w:rsid w:val="00057AB8"/>
    <w:rsid w:val="00085732"/>
    <w:rsid w:val="00094E98"/>
    <w:rsid w:val="000C13DD"/>
    <w:rsid w:val="000C1C9F"/>
    <w:rsid w:val="000C1D2D"/>
    <w:rsid w:val="000C522D"/>
    <w:rsid w:val="000D272C"/>
    <w:rsid w:val="000D7E19"/>
    <w:rsid w:val="000E2382"/>
    <w:rsid w:val="000E4EB8"/>
    <w:rsid w:val="000F134A"/>
    <w:rsid w:val="00141966"/>
    <w:rsid w:val="00147C4A"/>
    <w:rsid w:val="00167176"/>
    <w:rsid w:val="00194CFC"/>
    <w:rsid w:val="001B7154"/>
    <w:rsid w:val="001C0968"/>
    <w:rsid w:val="001C2A10"/>
    <w:rsid w:val="001E07A8"/>
    <w:rsid w:val="001E385B"/>
    <w:rsid w:val="001F41CB"/>
    <w:rsid w:val="001F7179"/>
    <w:rsid w:val="00210616"/>
    <w:rsid w:val="0021377E"/>
    <w:rsid w:val="00213A96"/>
    <w:rsid w:val="00230E7D"/>
    <w:rsid w:val="00266FD7"/>
    <w:rsid w:val="00292FC4"/>
    <w:rsid w:val="00296E15"/>
    <w:rsid w:val="002A364E"/>
    <w:rsid w:val="002C4EAD"/>
    <w:rsid w:val="002C5595"/>
    <w:rsid w:val="002C7CE3"/>
    <w:rsid w:val="002D5448"/>
    <w:rsid w:val="002D6B39"/>
    <w:rsid w:val="00306FD7"/>
    <w:rsid w:val="003149B9"/>
    <w:rsid w:val="00326E47"/>
    <w:rsid w:val="0033660D"/>
    <w:rsid w:val="00336FA9"/>
    <w:rsid w:val="0033791B"/>
    <w:rsid w:val="00344EDF"/>
    <w:rsid w:val="00367186"/>
    <w:rsid w:val="0037019E"/>
    <w:rsid w:val="003708C0"/>
    <w:rsid w:val="003745B1"/>
    <w:rsid w:val="00390D0C"/>
    <w:rsid w:val="00392BA5"/>
    <w:rsid w:val="00396DC3"/>
    <w:rsid w:val="003C53C6"/>
    <w:rsid w:val="003E2FE4"/>
    <w:rsid w:val="00401B19"/>
    <w:rsid w:val="00430496"/>
    <w:rsid w:val="004373A0"/>
    <w:rsid w:val="00443CE6"/>
    <w:rsid w:val="00447CB6"/>
    <w:rsid w:val="00462BB6"/>
    <w:rsid w:val="004643BE"/>
    <w:rsid w:val="00483DD3"/>
    <w:rsid w:val="00487383"/>
    <w:rsid w:val="00491E08"/>
    <w:rsid w:val="00496B41"/>
    <w:rsid w:val="004B34F2"/>
    <w:rsid w:val="004B495C"/>
    <w:rsid w:val="004B7BE1"/>
    <w:rsid w:val="004C371C"/>
    <w:rsid w:val="004D07B5"/>
    <w:rsid w:val="004F777D"/>
    <w:rsid w:val="0050318B"/>
    <w:rsid w:val="005038C5"/>
    <w:rsid w:val="00551CD4"/>
    <w:rsid w:val="005734C0"/>
    <w:rsid w:val="005747FB"/>
    <w:rsid w:val="00576F43"/>
    <w:rsid w:val="00593FD0"/>
    <w:rsid w:val="005B1696"/>
    <w:rsid w:val="005C065A"/>
    <w:rsid w:val="005D3BE5"/>
    <w:rsid w:val="005E11C0"/>
    <w:rsid w:val="005E78CB"/>
    <w:rsid w:val="005F3A80"/>
    <w:rsid w:val="00613519"/>
    <w:rsid w:val="0062249E"/>
    <w:rsid w:val="00623803"/>
    <w:rsid w:val="00626162"/>
    <w:rsid w:val="006417CA"/>
    <w:rsid w:val="00643AB8"/>
    <w:rsid w:val="006666BA"/>
    <w:rsid w:val="00667423"/>
    <w:rsid w:val="006679E7"/>
    <w:rsid w:val="0068378C"/>
    <w:rsid w:val="006B2561"/>
    <w:rsid w:val="006D356D"/>
    <w:rsid w:val="007008DC"/>
    <w:rsid w:val="0070761A"/>
    <w:rsid w:val="00713324"/>
    <w:rsid w:val="00737888"/>
    <w:rsid w:val="0074045B"/>
    <w:rsid w:val="0075674F"/>
    <w:rsid w:val="00757BE7"/>
    <w:rsid w:val="00762065"/>
    <w:rsid w:val="00765CCB"/>
    <w:rsid w:val="00773265"/>
    <w:rsid w:val="00786B0D"/>
    <w:rsid w:val="007A3147"/>
    <w:rsid w:val="007B65A7"/>
    <w:rsid w:val="007B7C41"/>
    <w:rsid w:val="007C1F49"/>
    <w:rsid w:val="007C2B7D"/>
    <w:rsid w:val="007D4821"/>
    <w:rsid w:val="007E631C"/>
    <w:rsid w:val="007F450B"/>
    <w:rsid w:val="007F79A1"/>
    <w:rsid w:val="00802EF8"/>
    <w:rsid w:val="00811122"/>
    <w:rsid w:val="00820D14"/>
    <w:rsid w:val="00823049"/>
    <w:rsid w:val="00843CE2"/>
    <w:rsid w:val="008444F4"/>
    <w:rsid w:val="00850034"/>
    <w:rsid w:val="00856607"/>
    <w:rsid w:val="008634F5"/>
    <w:rsid w:val="00867C43"/>
    <w:rsid w:val="008754D7"/>
    <w:rsid w:val="008877CC"/>
    <w:rsid w:val="008918C2"/>
    <w:rsid w:val="008B056E"/>
    <w:rsid w:val="008C1943"/>
    <w:rsid w:val="008E782C"/>
    <w:rsid w:val="008F70FC"/>
    <w:rsid w:val="00910C9B"/>
    <w:rsid w:val="0092181A"/>
    <w:rsid w:val="0093747C"/>
    <w:rsid w:val="00941A15"/>
    <w:rsid w:val="00946779"/>
    <w:rsid w:val="0095488A"/>
    <w:rsid w:val="00956FF8"/>
    <w:rsid w:val="00962ACB"/>
    <w:rsid w:val="0096402C"/>
    <w:rsid w:val="009669CF"/>
    <w:rsid w:val="0099438F"/>
    <w:rsid w:val="009A1293"/>
    <w:rsid w:val="009A2EEA"/>
    <w:rsid w:val="009A3F3D"/>
    <w:rsid w:val="009B5E1C"/>
    <w:rsid w:val="009C3B98"/>
    <w:rsid w:val="009D2184"/>
    <w:rsid w:val="009D3ED4"/>
    <w:rsid w:val="009E1040"/>
    <w:rsid w:val="00A05EA5"/>
    <w:rsid w:val="00A1044A"/>
    <w:rsid w:val="00A123E8"/>
    <w:rsid w:val="00A2475F"/>
    <w:rsid w:val="00A31666"/>
    <w:rsid w:val="00A3615D"/>
    <w:rsid w:val="00A44608"/>
    <w:rsid w:val="00A5706B"/>
    <w:rsid w:val="00A72F71"/>
    <w:rsid w:val="00A8169C"/>
    <w:rsid w:val="00AD381B"/>
    <w:rsid w:val="00AF5761"/>
    <w:rsid w:val="00AF668D"/>
    <w:rsid w:val="00B01722"/>
    <w:rsid w:val="00B05B43"/>
    <w:rsid w:val="00B11016"/>
    <w:rsid w:val="00B14DD6"/>
    <w:rsid w:val="00B215D3"/>
    <w:rsid w:val="00B27BE6"/>
    <w:rsid w:val="00B30C73"/>
    <w:rsid w:val="00B616F3"/>
    <w:rsid w:val="00B6647E"/>
    <w:rsid w:val="00B671BD"/>
    <w:rsid w:val="00B71467"/>
    <w:rsid w:val="00B73094"/>
    <w:rsid w:val="00B73DAA"/>
    <w:rsid w:val="00B83289"/>
    <w:rsid w:val="00BA1353"/>
    <w:rsid w:val="00C14AFB"/>
    <w:rsid w:val="00C215A2"/>
    <w:rsid w:val="00C25262"/>
    <w:rsid w:val="00C32D19"/>
    <w:rsid w:val="00C37B09"/>
    <w:rsid w:val="00C42676"/>
    <w:rsid w:val="00C4429D"/>
    <w:rsid w:val="00C507CA"/>
    <w:rsid w:val="00C74ABD"/>
    <w:rsid w:val="00C76C41"/>
    <w:rsid w:val="00C87217"/>
    <w:rsid w:val="00CB32C9"/>
    <w:rsid w:val="00CB5EC3"/>
    <w:rsid w:val="00CC095A"/>
    <w:rsid w:val="00CD5BAB"/>
    <w:rsid w:val="00CD6166"/>
    <w:rsid w:val="00CE52F1"/>
    <w:rsid w:val="00CF7A12"/>
    <w:rsid w:val="00D1686F"/>
    <w:rsid w:val="00D20285"/>
    <w:rsid w:val="00D314D0"/>
    <w:rsid w:val="00D357B5"/>
    <w:rsid w:val="00D435AB"/>
    <w:rsid w:val="00D71A7F"/>
    <w:rsid w:val="00D7607F"/>
    <w:rsid w:val="00D86A0F"/>
    <w:rsid w:val="00D91C0D"/>
    <w:rsid w:val="00DB639B"/>
    <w:rsid w:val="00DB7C7F"/>
    <w:rsid w:val="00DC2763"/>
    <w:rsid w:val="00DC4BFF"/>
    <w:rsid w:val="00DE0D60"/>
    <w:rsid w:val="00DE1171"/>
    <w:rsid w:val="00DF17A7"/>
    <w:rsid w:val="00E06EE7"/>
    <w:rsid w:val="00E17EEA"/>
    <w:rsid w:val="00E23F53"/>
    <w:rsid w:val="00E2618F"/>
    <w:rsid w:val="00E51198"/>
    <w:rsid w:val="00E807A2"/>
    <w:rsid w:val="00E95BEF"/>
    <w:rsid w:val="00E965A6"/>
    <w:rsid w:val="00EA2707"/>
    <w:rsid w:val="00EC1C46"/>
    <w:rsid w:val="00EC1FB9"/>
    <w:rsid w:val="00EC4B93"/>
    <w:rsid w:val="00ED6630"/>
    <w:rsid w:val="00EE039A"/>
    <w:rsid w:val="00EE5CD2"/>
    <w:rsid w:val="00EF0CFE"/>
    <w:rsid w:val="00EF2DBE"/>
    <w:rsid w:val="00EF6EE0"/>
    <w:rsid w:val="00F02612"/>
    <w:rsid w:val="00F0533B"/>
    <w:rsid w:val="00F22767"/>
    <w:rsid w:val="00F4376D"/>
    <w:rsid w:val="00F543AE"/>
    <w:rsid w:val="00F75103"/>
    <w:rsid w:val="00FC14CC"/>
    <w:rsid w:val="00FD2939"/>
    <w:rsid w:val="00FD6FF5"/>
    <w:rsid w:val="00FE050B"/>
    <w:rsid w:val="00FE2A29"/>
    <w:rsid w:val="00FE6BAC"/>
    <w:rsid w:val="00FF17B2"/>
    <w:rsid w:val="00FF6A06"/>
    <w:rsid w:val="02BC6038"/>
    <w:rsid w:val="0F063D35"/>
    <w:rsid w:val="1AC42345"/>
    <w:rsid w:val="1BC922AA"/>
    <w:rsid w:val="22E87340"/>
    <w:rsid w:val="26D85108"/>
    <w:rsid w:val="310D3EA3"/>
    <w:rsid w:val="34672F58"/>
    <w:rsid w:val="39B764A6"/>
    <w:rsid w:val="3E164197"/>
    <w:rsid w:val="466D21AE"/>
    <w:rsid w:val="481B7522"/>
    <w:rsid w:val="5FA87DE4"/>
    <w:rsid w:val="6A4E4E8B"/>
    <w:rsid w:val="77D834C0"/>
    <w:rsid w:val="788A7A5C"/>
    <w:rsid w:val="792B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spacing w:before="50" w:beforeLines="50" w:after="50" w:afterLines="50" w:line="360" w:lineRule="auto"/>
      <w:outlineLvl w:val="0"/>
    </w:pPr>
    <w:rPr>
      <w:rFonts w:ascii="宋体" w:hAnsi="宋体" w:eastAsia="宋体"/>
      <w:b/>
      <w:bCs/>
      <w:kern w:val="44"/>
      <w:sz w:val="24"/>
      <w:szCs w:val="44"/>
    </w:rPr>
  </w:style>
  <w:style w:type="paragraph" w:styleId="3">
    <w:name w:val="heading 2"/>
    <w:basedOn w:val="1"/>
    <w:next w:val="1"/>
    <w:link w:val="23"/>
    <w:unhideWhenUsed/>
    <w:qFormat/>
    <w:uiPriority w:val="0"/>
    <w:pPr>
      <w:spacing w:line="360" w:lineRule="auto"/>
      <w:ind w:firstLine="200" w:firstLineChars="200"/>
      <w:outlineLvl w:val="1"/>
    </w:pPr>
    <w:rPr>
      <w:rFonts w:ascii="宋体" w:hAnsi="宋体" w:eastAsia="宋体" w:cstheme="majorBidi"/>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0"/>
    <w:pPr>
      <w:ind w:firstLine="420" w:firstLineChars="200"/>
    </w:pPr>
  </w:style>
  <w:style w:type="paragraph" w:styleId="5">
    <w:name w:val="annotation text"/>
    <w:basedOn w:val="1"/>
    <w:link w:val="19"/>
    <w:qFormat/>
    <w:uiPriority w:val="0"/>
    <w:pPr>
      <w:jc w:val="left"/>
    </w:pPr>
  </w:style>
  <w:style w:type="paragraph" w:styleId="6">
    <w:name w:val="Balloon Text"/>
    <w:basedOn w:val="1"/>
    <w:link w:val="17"/>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2"/>
    <w:qFormat/>
    <w:uiPriority w:val="0"/>
    <w:pPr>
      <w:spacing w:line="360" w:lineRule="auto"/>
      <w:jc w:val="left"/>
      <w:outlineLvl w:val="0"/>
    </w:pPr>
    <w:rPr>
      <w:rFonts w:eastAsia="宋体" w:asciiTheme="majorHAnsi" w:hAnsiTheme="majorHAnsi" w:cstheme="majorBidi"/>
      <w:b/>
      <w:bCs/>
      <w:sz w:val="36"/>
      <w:szCs w:val="32"/>
    </w:rPr>
  </w:style>
  <w:style w:type="paragraph" w:styleId="10">
    <w:name w:val="annotation subject"/>
    <w:basedOn w:val="5"/>
    <w:next w:val="5"/>
    <w:link w:val="20"/>
    <w:qFormat/>
    <w:uiPriority w:val="0"/>
    <w:rPr>
      <w:b/>
      <w:bCs/>
    </w:rPr>
  </w:style>
  <w:style w:type="table" w:styleId="12">
    <w:name w:val="Table Grid"/>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页眉 字符"/>
    <w:basedOn w:val="13"/>
    <w:link w:val="8"/>
    <w:qFormat/>
    <w:uiPriority w:val="0"/>
    <w:rPr>
      <w:kern w:val="2"/>
      <w:sz w:val="18"/>
      <w:szCs w:val="18"/>
    </w:rPr>
  </w:style>
  <w:style w:type="character" w:customStyle="1" w:styleId="16">
    <w:name w:val="页脚 字符"/>
    <w:basedOn w:val="13"/>
    <w:link w:val="7"/>
    <w:qFormat/>
    <w:uiPriority w:val="0"/>
    <w:rPr>
      <w:kern w:val="2"/>
      <w:sz w:val="18"/>
      <w:szCs w:val="18"/>
    </w:rPr>
  </w:style>
  <w:style w:type="character" w:customStyle="1" w:styleId="17">
    <w:name w:val="批注框文本 字符"/>
    <w:basedOn w:val="13"/>
    <w:link w:val="6"/>
    <w:qFormat/>
    <w:uiPriority w:val="0"/>
    <w:rPr>
      <w:kern w:val="2"/>
      <w:sz w:val="18"/>
      <w:szCs w:val="18"/>
    </w:rPr>
  </w:style>
  <w:style w:type="paragraph" w:styleId="18">
    <w:name w:val="List Paragraph"/>
    <w:basedOn w:val="1"/>
    <w:unhideWhenUsed/>
    <w:qFormat/>
    <w:uiPriority w:val="99"/>
    <w:pPr>
      <w:ind w:firstLine="420" w:firstLineChars="200"/>
    </w:pPr>
  </w:style>
  <w:style w:type="character" w:customStyle="1" w:styleId="19">
    <w:name w:val="批注文字 字符"/>
    <w:basedOn w:val="13"/>
    <w:link w:val="5"/>
    <w:qFormat/>
    <w:uiPriority w:val="0"/>
    <w:rPr>
      <w:kern w:val="2"/>
      <w:sz w:val="21"/>
      <w:szCs w:val="24"/>
    </w:rPr>
  </w:style>
  <w:style w:type="character" w:customStyle="1" w:styleId="20">
    <w:name w:val="批注主题 字符"/>
    <w:basedOn w:val="19"/>
    <w:link w:val="10"/>
    <w:qFormat/>
    <w:uiPriority w:val="0"/>
    <w:rPr>
      <w:b/>
      <w:bCs/>
      <w:kern w:val="2"/>
      <w:sz w:val="21"/>
      <w:szCs w:val="24"/>
    </w:rPr>
  </w:style>
  <w:style w:type="character" w:customStyle="1" w:styleId="21">
    <w:name w:val="标题 1 字符"/>
    <w:basedOn w:val="13"/>
    <w:link w:val="2"/>
    <w:qFormat/>
    <w:uiPriority w:val="0"/>
    <w:rPr>
      <w:rFonts w:ascii="宋体" w:hAnsi="宋体" w:eastAsia="宋体"/>
      <w:b/>
      <w:bCs/>
      <w:kern w:val="44"/>
      <w:sz w:val="24"/>
      <w:szCs w:val="44"/>
    </w:rPr>
  </w:style>
  <w:style w:type="character" w:customStyle="1" w:styleId="22">
    <w:name w:val="标题 字符"/>
    <w:basedOn w:val="13"/>
    <w:link w:val="9"/>
    <w:qFormat/>
    <w:uiPriority w:val="0"/>
    <w:rPr>
      <w:rFonts w:eastAsia="宋体" w:asciiTheme="majorHAnsi" w:hAnsiTheme="majorHAnsi" w:cstheme="majorBidi"/>
      <w:b/>
      <w:bCs/>
      <w:kern w:val="2"/>
      <w:sz w:val="36"/>
      <w:szCs w:val="32"/>
    </w:rPr>
  </w:style>
  <w:style w:type="character" w:customStyle="1" w:styleId="23">
    <w:name w:val="标题 2 字符"/>
    <w:basedOn w:val="13"/>
    <w:link w:val="3"/>
    <w:qFormat/>
    <w:uiPriority w:val="0"/>
    <w:rPr>
      <w:rFonts w:ascii="宋体" w:hAnsi="宋体" w:eastAsia="宋体" w:cstheme="majorBidi"/>
      <w:b/>
      <w:bCs/>
      <w:kern w:val="2"/>
      <w:sz w:val="24"/>
      <w:szCs w:val="32"/>
    </w:rPr>
  </w:style>
  <w:style w:type="paragraph" w:customStyle="1" w:styleId="24">
    <w:name w:val="表格后说明"/>
    <w:next w:val="4"/>
    <w:autoRedefine/>
    <w:qFormat/>
    <w:uiPriority w:val="3"/>
    <w:pPr>
      <w:jc w:val="both"/>
    </w:pPr>
    <w:rPr>
      <w:rFonts w:ascii="Times New Roman" w:hAnsi="Times New Roman" w:eastAsia="宋体" w:cs="Times New Roman"/>
      <w:kern w:val="2"/>
      <w:sz w:val="21"/>
      <w:szCs w:val="24"/>
      <w:lang w:val="en-US" w:eastAsia="zh-CN" w:bidi="ar-SA"/>
    </w:rPr>
  </w:style>
  <w:style w:type="character" w:customStyle="1" w:styleId="25">
    <w:name w:val="fontstyle01"/>
    <w:basedOn w:val="13"/>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SDJK.CC</Company>
  <Pages>4</Pages>
  <Words>2383</Words>
  <Characters>2508</Characters>
  <Lines>22</Lines>
  <Paragraphs>6</Paragraphs>
  <TotalTime>0</TotalTime>
  <ScaleCrop>false</ScaleCrop>
  <LinksUpToDate>false</LinksUpToDate>
  <CharactersWithSpaces>2547</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2022-04-16T07:03:00Z</dcterms:created>
  <dc:creator>Administrator</dc:creator>
  <cp:lastModifiedBy>cdq</cp:lastModifiedBy>
  <dcterms:modified xsi:type="dcterms:W3CDTF">2025-04-17T03:28:25Z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KSOTemplateDocerSaveRecord">
    <vt:lpwstr>eyJoZGlkIjoiY2Q4MDAzNjNiM2EwYjNjY2VkN2I2ZWY4OTg5YTA1ZWYiLCJ1c2VySWQiOiIxMzk5OTUwMzQxIn0=</vt:lpwstr>
  </property>
  <property fmtid="{D5CDD505-2E9C-101B-9397-08002B2CF9AE}" pid="4" name="ICV">
    <vt:lpwstr>2AAB5D9608BD4D9687B232DD578522B7_12</vt:lpwstr>
  </property>
</Properties>
</file>