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5930" w14:textId="77777777" w:rsidR="000668CD" w:rsidRPr="000668CD" w:rsidRDefault="000668CD" w:rsidP="000668CD">
      <w:pPr>
        <w:spacing w:line="360" w:lineRule="auto"/>
        <w:ind w:firstLineChars="200" w:firstLine="602"/>
        <w:jc w:val="center"/>
        <w:rPr>
          <w:rFonts w:ascii="宋体" w:hAnsi="宋体" w:cs="Arial" w:hint="eastAsia"/>
          <w:b/>
          <w:kern w:val="0"/>
          <w:sz w:val="30"/>
          <w:szCs w:val="30"/>
        </w:rPr>
      </w:pPr>
      <w:r w:rsidRPr="000668CD">
        <w:rPr>
          <w:rFonts w:ascii="宋体" w:hAnsi="宋体" w:cs="Arial" w:hint="eastAsia"/>
          <w:b/>
          <w:kern w:val="0"/>
          <w:sz w:val="30"/>
          <w:szCs w:val="30"/>
        </w:rPr>
        <w:t>福建广生堂药业股份有限公司</w:t>
      </w:r>
    </w:p>
    <w:p w14:paraId="67AD65E5" w14:textId="1B490BA3" w:rsidR="000668CD" w:rsidRPr="000668CD" w:rsidRDefault="000668CD" w:rsidP="002818B1">
      <w:pPr>
        <w:spacing w:line="360" w:lineRule="auto"/>
        <w:ind w:firstLineChars="200" w:firstLine="602"/>
        <w:jc w:val="center"/>
        <w:outlineLvl w:val="0"/>
        <w:rPr>
          <w:rFonts w:ascii="宋体" w:hAnsi="宋体" w:cs="Arial" w:hint="eastAsia"/>
          <w:b/>
          <w:kern w:val="0"/>
          <w:sz w:val="30"/>
          <w:szCs w:val="28"/>
        </w:rPr>
      </w:pPr>
      <w:r w:rsidRPr="000668CD">
        <w:rPr>
          <w:rFonts w:ascii="宋体" w:hAnsi="宋体" w:cs="Arial" w:hint="eastAsia"/>
          <w:b/>
          <w:kern w:val="0"/>
          <w:sz w:val="30"/>
          <w:szCs w:val="28"/>
        </w:rPr>
        <w:t>2</w:t>
      </w:r>
      <w:r w:rsidRPr="000668CD">
        <w:rPr>
          <w:rFonts w:ascii="宋体" w:hAnsi="宋体" w:cs="Arial"/>
          <w:b/>
          <w:kern w:val="0"/>
          <w:sz w:val="30"/>
          <w:szCs w:val="28"/>
        </w:rPr>
        <w:t>02</w:t>
      </w:r>
      <w:r w:rsidR="00D03F86">
        <w:rPr>
          <w:rFonts w:ascii="宋体" w:hAnsi="宋体" w:cs="Arial" w:hint="eastAsia"/>
          <w:b/>
          <w:kern w:val="0"/>
          <w:sz w:val="30"/>
          <w:szCs w:val="28"/>
        </w:rPr>
        <w:t>4</w:t>
      </w:r>
      <w:r w:rsidRPr="000668CD">
        <w:rPr>
          <w:rFonts w:ascii="宋体" w:hAnsi="宋体" w:cs="Arial" w:hint="eastAsia"/>
          <w:b/>
          <w:kern w:val="0"/>
          <w:sz w:val="30"/>
          <w:szCs w:val="28"/>
        </w:rPr>
        <w:t>年度内部控制自我评价报告</w:t>
      </w:r>
    </w:p>
    <w:p w14:paraId="20BA7F1E" w14:textId="77777777" w:rsidR="00CD3CA5" w:rsidRPr="00CD3CA5" w:rsidRDefault="00CD3CA5" w:rsidP="00CD3CA5">
      <w:pPr>
        <w:widowControl/>
        <w:spacing w:beforeLines="100" w:before="312" w:line="360" w:lineRule="auto"/>
        <w:rPr>
          <w:rFonts w:ascii="宋体" w:hAnsi="宋体" w:hint="eastAsia"/>
          <w:b/>
          <w:bCs/>
          <w:kern w:val="0"/>
        </w:rPr>
      </w:pPr>
      <w:r w:rsidRPr="00CD3CA5">
        <w:rPr>
          <w:rFonts w:ascii="宋体" w:hAnsi="宋体" w:hint="eastAsia"/>
          <w:b/>
          <w:bCs/>
          <w:kern w:val="0"/>
        </w:rPr>
        <w:t>福建广生堂药业股份有限公司全体股东：</w:t>
      </w:r>
    </w:p>
    <w:p w14:paraId="2E04A3C2" w14:textId="69DFA901" w:rsidR="00CD3CA5" w:rsidRDefault="00CD3CA5" w:rsidP="00CD3CA5">
      <w:pPr>
        <w:widowControl/>
        <w:spacing w:beforeLines="100" w:before="312" w:line="360" w:lineRule="auto"/>
        <w:ind w:firstLineChars="200" w:firstLine="420"/>
        <w:rPr>
          <w:rFonts w:ascii="宋体" w:hAnsi="宋体" w:hint="eastAsia"/>
          <w:kern w:val="0"/>
        </w:rPr>
      </w:pPr>
      <w:r w:rsidRPr="00CD3CA5">
        <w:rPr>
          <w:rFonts w:ascii="宋体" w:hAnsi="宋体" w:hint="eastAsia"/>
          <w:kern w:val="0"/>
        </w:rPr>
        <w:t>根据《企业内部控制基本规范》及其配套指引的规定和其他内部控制监管要求（以下简称“企业内部控制规范体系”），结合福建广生堂药业股份有限公司（以下简称“公司”）内部控制制度和评价办法，在内部控制日常监督和专项监督的基础上，我们对公司202</w:t>
      </w:r>
      <w:r w:rsidR="00D03F86">
        <w:rPr>
          <w:rFonts w:ascii="宋体" w:hAnsi="宋体" w:hint="eastAsia"/>
          <w:kern w:val="0"/>
        </w:rPr>
        <w:t>4</w:t>
      </w:r>
      <w:r w:rsidRPr="00CD3CA5">
        <w:rPr>
          <w:rFonts w:ascii="宋体" w:hAnsi="宋体" w:hint="eastAsia"/>
          <w:kern w:val="0"/>
        </w:rPr>
        <w:t>年12月31日（内部控制评价报告基准日）的内部控制有效性进行了评价。</w:t>
      </w:r>
    </w:p>
    <w:p w14:paraId="75A81432" w14:textId="1B933373" w:rsidR="000668CD" w:rsidRPr="000668CD" w:rsidRDefault="000668CD" w:rsidP="000668CD">
      <w:pPr>
        <w:widowControl/>
        <w:spacing w:beforeLines="100" w:before="312" w:line="360" w:lineRule="auto"/>
        <w:ind w:firstLineChars="200" w:firstLine="422"/>
        <w:outlineLvl w:val="1"/>
        <w:rPr>
          <w:rFonts w:ascii="宋体" w:hAnsi="宋体" w:hint="eastAsia"/>
          <w:b/>
          <w:bCs/>
          <w:kern w:val="0"/>
        </w:rPr>
      </w:pPr>
      <w:r w:rsidRPr="000668CD">
        <w:rPr>
          <w:rFonts w:ascii="宋体" w:hAnsi="宋体" w:hint="eastAsia"/>
          <w:b/>
          <w:bCs/>
          <w:kern w:val="0"/>
        </w:rPr>
        <w:t>一、</w:t>
      </w:r>
      <w:r w:rsidR="00CD3CA5" w:rsidRPr="00CD3CA5">
        <w:rPr>
          <w:rFonts w:ascii="宋体" w:hAnsi="宋体" w:hint="eastAsia"/>
          <w:b/>
          <w:bCs/>
          <w:kern w:val="0"/>
        </w:rPr>
        <w:t>重要声明</w:t>
      </w:r>
    </w:p>
    <w:p w14:paraId="6F48F7E3" w14:textId="77777777" w:rsidR="00CD3CA5" w:rsidRPr="00CD3CA5" w:rsidRDefault="00CD3CA5" w:rsidP="00CD3CA5">
      <w:pPr>
        <w:widowControl/>
        <w:spacing w:line="360" w:lineRule="auto"/>
        <w:ind w:firstLineChars="200" w:firstLine="420"/>
        <w:rPr>
          <w:rFonts w:ascii="宋体" w:hAnsi="宋体" w:hint="eastAsia"/>
          <w:kern w:val="0"/>
        </w:rPr>
      </w:pPr>
      <w:r w:rsidRPr="00CD3CA5">
        <w:rPr>
          <w:rFonts w:ascii="宋体" w:hAnsi="宋体" w:hint="eastAsia"/>
          <w:kern w:val="0"/>
        </w:rPr>
        <w:t>按照企业内部控制规范体系的规定，建立健全和有效实施内部控制，评价其有效性，并如实披露内部控制评价报告是公司董事会的责任。监事会对董事会建立和实施内部控制进行监督。经理</w:t>
      </w:r>
      <w:proofErr w:type="gramStart"/>
      <w:r w:rsidRPr="00CD3CA5">
        <w:rPr>
          <w:rFonts w:ascii="宋体" w:hAnsi="宋体" w:hint="eastAsia"/>
          <w:kern w:val="0"/>
        </w:rPr>
        <w:t>层负责</w:t>
      </w:r>
      <w:proofErr w:type="gramEnd"/>
      <w:r w:rsidRPr="00CD3CA5">
        <w:rPr>
          <w:rFonts w:ascii="宋体" w:hAnsi="宋体" w:hint="eastAsia"/>
          <w:kern w:val="0"/>
        </w:rPr>
        <w:t>组织领导企业内部控制的日常运行。公司董事会、监事会及董事、监事、高级管理人员保证本报告内容不存在任何虚假记载、误导性陈述或重大遗漏，并对报告内容的真实性、准确性和完整性承担个别及连带法律责任。</w:t>
      </w:r>
    </w:p>
    <w:p w14:paraId="3CA130C4" w14:textId="77777777" w:rsidR="00CD3CA5" w:rsidRDefault="00CD3CA5" w:rsidP="00CD3CA5">
      <w:pPr>
        <w:widowControl/>
        <w:spacing w:line="360" w:lineRule="auto"/>
        <w:ind w:firstLineChars="200" w:firstLine="420"/>
        <w:rPr>
          <w:rFonts w:ascii="宋体" w:hAnsi="宋体" w:hint="eastAsia"/>
          <w:kern w:val="0"/>
        </w:rPr>
      </w:pPr>
      <w:r w:rsidRPr="00CD3CA5">
        <w:rPr>
          <w:rFonts w:ascii="宋体" w:hAnsi="宋体" w:hint="eastAsia"/>
          <w:kern w:val="0"/>
        </w:rPr>
        <w:t>公司内部控制的目标是合理保证经营管理合法合</w:t>
      </w:r>
      <w:proofErr w:type="gramStart"/>
      <w:r w:rsidRPr="00CD3CA5">
        <w:rPr>
          <w:rFonts w:ascii="宋体" w:hAnsi="宋体" w:hint="eastAsia"/>
          <w:kern w:val="0"/>
        </w:rPr>
        <w:t>规</w:t>
      </w:r>
      <w:proofErr w:type="gramEnd"/>
      <w:r w:rsidRPr="00CD3CA5">
        <w:rPr>
          <w:rFonts w:ascii="宋体" w:hAnsi="宋体" w:hint="eastAsia"/>
          <w:kern w:val="0"/>
        </w:rPr>
        <w:t>、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14:paraId="0638A98F" w14:textId="7E2EB446" w:rsidR="000668CD" w:rsidRPr="000668CD" w:rsidRDefault="000668CD" w:rsidP="000668CD">
      <w:pPr>
        <w:widowControl/>
        <w:spacing w:beforeLines="100" w:before="312" w:line="360" w:lineRule="auto"/>
        <w:ind w:firstLineChars="200" w:firstLine="422"/>
        <w:outlineLvl w:val="1"/>
        <w:rPr>
          <w:rFonts w:ascii="宋体" w:hAnsi="宋体" w:hint="eastAsia"/>
          <w:b/>
          <w:bCs/>
          <w:kern w:val="0"/>
        </w:rPr>
      </w:pPr>
      <w:r w:rsidRPr="000668CD">
        <w:rPr>
          <w:rFonts w:ascii="宋体" w:hAnsi="宋体" w:hint="eastAsia"/>
          <w:b/>
          <w:bCs/>
          <w:kern w:val="0"/>
        </w:rPr>
        <w:t>二、</w:t>
      </w:r>
      <w:r w:rsidR="00CD3CA5" w:rsidRPr="00CD3CA5">
        <w:rPr>
          <w:rFonts w:ascii="宋体" w:hAnsi="宋体" w:hint="eastAsia"/>
          <w:b/>
          <w:bCs/>
          <w:kern w:val="0"/>
        </w:rPr>
        <w:t>内部控制评价结论</w:t>
      </w:r>
    </w:p>
    <w:p w14:paraId="1C3F76B7" w14:textId="77777777" w:rsidR="00CD3CA5" w:rsidRPr="00CD3CA5" w:rsidRDefault="00CD3CA5" w:rsidP="00CD3CA5">
      <w:pPr>
        <w:widowControl/>
        <w:spacing w:line="360" w:lineRule="auto"/>
        <w:ind w:firstLineChars="200" w:firstLine="420"/>
        <w:rPr>
          <w:rFonts w:ascii="宋体" w:hAnsi="宋体" w:hint="eastAsia"/>
          <w:kern w:val="0"/>
        </w:rPr>
      </w:pPr>
      <w:r w:rsidRPr="00CD3CA5">
        <w:rPr>
          <w:rFonts w:ascii="宋体" w:hAnsi="宋体" w:hint="eastAsia"/>
          <w:kern w:val="0"/>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p w14:paraId="49BA09A5" w14:textId="77777777" w:rsidR="00CD3CA5" w:rsidRPr="00CD3CA5" w:rsidRDefault="00CD3CA5" w:rsidP="00CD3CA5">
      <w:pPr>
        <w:widowControl/>
        <w:spacing w:line="360" w:lineRule="auto"/>
        <w:ind w:firstLineChars="200" w:firstLine="420"/>
        <w:rPr>
          <w:rFonts w:ascii="宋体" w:hAnsi="宋体" w:hint="eastAsia"/>
          <w:kern w:val="0"/>
        </w:rPr>
      </w:pPr>
      <w:r w:rsidRPr="00CD3CA5">
        <w:rPr>
          <w:rFonts w:ascii="宋体" w:hAnsi="宋体" w:hint="eastAsia"/>
          <w:kern w:val="0"/>
        </w:rPr>
        <w:t>根据公司非财务报告内部控制重大缺陷认定情况，于内部控制评价报告基准日，公司未发现非财务报告内部控制重大缺陷。</w:t>
      </w:r>
    </w:p>
    <w:p w14:paraId="64A67904" w14:textId="77777777" w:rsidR="00CD3CA5" w:rsidRDefault="00CD3CA5" w:rsidP="00CD3CA5">
      <w:pPr>
        <w:widowControl/>
        <w:spacing w:line="360" w:lineRule="auto"/>
        <w:ind w:firstLineChars="200" w:firstLine="420"/>
        <w:rPr>
          <w:rFonts w:ascii="宋体" w:hAnsi="宋体" w:hint="eastAsia"/>
          <w:kern w:val="0"/>
        </w:rPr>
      </w:pPr>
      <w:proofErr w:type="gramStart"/>
      <w:r w:rsidRPr="00CD3CA5">
        <w:rPr>
          <w:rFonts w:ascii="宋体" w:hAnsi="宋体" w:hint="eastAsia"/>
          <w:kern w:val="0"/>
        </w:rPr>
        <w:lastRenderedPageBreak/>
        <w:t>自内部</w:t>
      </w:r>
      <w:proofErr w:type="gramEnd"/>
      <w:r w:rsidRPr="00CD3CA5">
        <w:rPr>
          <w:rFonts w:ascii="宋体" w:hAnsi="宋体" w:hint="eastAsia"/>
          <w:kern w:val="0"/>
        </w:rPr>
        <w:t>控制评价报告基准日至内部控制评价报告发出日之间未发生影响内部控制有效性评价结论的因素。</w:t>
      </w:r>
    </w:p>
    <w:p w14:paraId="269D6E50" w14:textId="60888AB5" w:rsidR="00CD3CA5" w:rsidRPr="00CD3CA5" w:rsidRDefault="00CD3CA5" w:rsidP="00CD3CA5">
      <w:pPr>
        <w:widowControl/>
        <w:spacing w:beforeLines="100" w:before="312" w:line="360" w:lineRule="auto"/>
        <w:ind w:firstLineChars="200" w:firstLine="422"/>
        <w:outlineLvl w:val="1"/>
        <w:rPr>
          <w:rFonts w:ascii="宋体" w:hAnsi="宋体" w:hint="eastAsia"/>
          <w:b/>
          <w:bCs/>
          <w:kern w:val="0"/>
        </w:rPr>
      </w:pPr>
      <w:r>
        <w:rPr>
          <w:rFonts w:ascii="宋体" w:hAnsi="宋体" w:hint="eastAsia"/>
          <w:b/>
          <w:bCs/>
          <w:kern w:val="0"/>
        </w:rPr>
        <w:t>三、</w:t>
      </w:r>
      <w:r w:rsidRPr="00CD3CA5">
        <w:rPr>
          <w:rFonts w:ascii="宋体" w:hAnsi="宋体" w:hint="eastAsia"/>
          <w:b/>
          <w:bCs/>
          <w:kern w:val="0"/>
        </w:rPr>
        <w:t>内部工作评价情况</w:t>
      </w:r>
    </w:p>
    <w:p w14:paraId="1EA240D4" w14:textId="77777777" w:rsidR="00CD3CA5" w:rsidRPr="00CE4678" w:rsidRDefault="00CD3CA5" w:rsidP="00AE6443">
      <w:pPr>
        <w:widowControl/>
        <w:spacing w:line="360" w:lineRule="auto"/>
        <w:ind w:firstLineChars="200" w:firstLine="422"/>
        <w:outlineLvl w:val="2"/>
        <w:rPr>
          <w:rFonts w:ascii="宋体" w:hAnsi="宋体" w:hint="eastAsia"/>
          <w:b/>
          <w:bCs/>
          <w:kern w:val="0"/>
        </w:rPr>
      </w:pPr>
      <w:r w:rsidRPr="00CE4678">
        <w:rPr>
          <w:rFonts w:ascii="宋体" w:hAnsi="宋体" w:hint="eastAsia"/>
          <w:b/>
          <w:bCs/>
          <w:kern w:val="0"/>
        </w:rPr>
        <w:t>（一）内部控制评价的范围</w:t>
      </w:r>
    </w:p>
    <w:p w14:paraId="519DD1BE"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公司按照风险导向原则确定纳入评价范围的主要单位、业务和事项以及高风险领域。</w:t>
      </w:r>
    </w:p>
    <w:p w14:paraId="2E843FDD"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1、纳入评价范围的单位包括母公司和控股子公司，主要子公司如下：</w:t>
      </w:r>
    </w:p>
    <w:p w14:paraId="2292D2F6"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（1）福建广生堂医药销售有限公司</w:t>
      </w:r>
    </w:p>
    <w:p w14:paraId="75B3DA64"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（2）福建广生堂电子商务有限责任公司</w:t>
      </w:r>
    </w:p>
    <w:p w14:paraId="0FCE22EB"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（3）福建广生堂金塘药业有限公司</w:t>
      </w:r>
    </w:p>
    <w:p w14:paraId="721E5D1F"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（4）福建广生医院有限公司</w:t>
      </w:r>
    </w:p>
    <w:p w14:paraId="11E7609B"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（5）福建华</w:t>
      </w:r>
      <w:proofErr w:type="gramStart"/>
      <w:r w:rsidRPr="00CD3CA5">
        <w:rPr>
          <w:rFonts w:ascii="宋体" w:hAnsi="宋体" w:hint="eastAsia"/>
          <w:kern w:val="0"/>
        </w:rPr>
        <w:t>医</w:t>
      </w:r>
      <w:proofErr w:type="gramEnd"/>
      <w:r w:rsidRPr="00CD3CA5">
        <w:rPr>
          <w:rFonts w:ascii="宋体" w:hAnsi="宋体" w:hint="eastAsia"/>
          <w:kern w:val="0"/>
        </w:rPr>
        <w:t>互联网医院有限公司（曾用名：福州</w:t>
      </w:r>
      <w:proofErr w:type="gramStart"/>
      <w:r w:rsidRPr="00CD3CA5">
        <w:rPr>
          <w:rFonts w:ascii="宋体" w:hAnsi="宋体" w:hint="eastAsia"/>
          <w:kern w:val="0"/>
        </w:rPr>
        <w:t>和睦家广</w:t>
      </w:r>
      <w:proofErr w:type="gramEnd"/>
      <w:r w:rsidRPr="00CD3CA5">
        <w:rPr>
          <w:rFonts w:ascii="宋体" w:hAnsi="宋体" w:hint="eastAsia"/>
          <w:kern w:val="0"/>
        </w:rPr>
        <w:t>生妇儿医院有限公司）</w:t>
      </w:r>
    </w:p>
    <w:p w14:paraId="4E045D47" w14:textId="1963E9C9"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w:t>
      </w:r>
      <w:r w:rsidR="00F51C96">
        <w:rPr>
          <w:rFonts w:ascii="宋体" w:hAnsi="宋体" w:hint="eastAsia"/>
          <w:kern w:val="0"/>
        </w:rPr>
        <w:t>6</w:t>
      </w:r>
      <w:r w:rsidRPr="00CD3CA5">
        <w:rPr>
          <w:rFonts w:ascii="宋体" w:hAnsi="宋体" w:hint="eastAsia"/>
          <w:kern w:val="0"/>
        </w:rPr>
        <w:t>）江苏中兴药业有限公司</w:t>
      </w:r>
    </w:p>
    <w:p w14:paraId="4A7A1BBC" w14:textId="628FA3EC"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w:t>
      </w:r>
      <w:r w:rsidR="00F51C96">
        <w:rPr>
          <w:rFonts w:ascii="宋体" w:hAnsi="宋体" w:hint="eastAsia"/>
          <w:kern w:val="0"/>
        </w:rPr>
        <w:t>7</w:t>
      </w:r>
      <w:r w:rsidRPr="00CD3CA5">
        <w:rPr>
          <w:rFonts w:ascii="宋体" w:hAnsi="宋体" w:hint="eastAsia"/>
          <w:kern w:val="0"/>
        </w:rPr>
        <w:t>）福建广生中</w:t>
      </w:r>
      <w:proofErr w:type="gramStart"/>
      <w:r w:rsidRPr="00CD3CA5">
        <w:rPr>
          <w:rFonts w:ascii="宋体" w:hAnsi="宋体" w:hint="eastAsia"/>
          <w:kern w:val="0"/>
        </w:rPr>
        <w:t>霖</w:t>
      </w:r>
      <w:proofErr w:type="gramEnd"/>
      <w:r w:rsidRPr="00CD3CA5">
        <w:rPr>
          <w:rFonts w:ascii="宋体" w:hAnsi="宋体" w:hint="eastAsia"/>
          <w:kern w:val="0"/>
        </w:rPr>
        <w:t>生物科技有限公司</w:t>
      </w:r>
    </w:p>
    <w:p w14:paraId="4986C600" w14:textId="312235BA"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w:t>
      </w:r>
      <w:r w:rsidR="00F51C96">
        <w:rPr>
          <w:rFonts w:ascii="宋体" w:hAnsi="宋体" w:hint="eastAsia"/>
          <w:kern w:val="0"/>
        </w:rPr>
        <w:t>8</w:t>
      </w:r>
      <w:r w:rsidRPr="00CD3CA5">
        <w:rPr>
          <w:rFonts w:ascii="宋体" w:hAnsi="宋体" w:hint="eastAsia"/>
          <w:kern w:val="0"/>
        </w:rPr>
        <w:t>）广生中</w:t>
      </w:r>
      <w:proofErr w:type="gramStart"/>
      <w:r w:rsidRPr="00CD3CA5">
        <w:rPr>
          <w:rFonts w:ascii="宋体" w:hAnsi="宋体" w:hint="eastAsia"/>
          <w:kern w:val="0"/>
        </w:rPr>
        <w:t>霖</w:t>
      </w:r>
      <w:proofErr w:type="gramEnd"/>
      <w:r w:rsidRPr="00CD3CA5">
        <w:rPr>
          <w:rFonts w:ascii="宋体" w:hAnsi="宋体" w:hint="eastAsia"/>
          <w:kern w:val="0"/>
        </w:rPr>
        <w:t>生物科技（上海）有限公司</w:t>
      </w:r>
    </w:p>
    <w:p w14:paraId="5266CB82" w14:textId="63F8A436" w:rsidR="00CD3CA5" w:rsidRDefault="00CD3CA5" w:rsidP="00CE4678">
      <w:pPr>
        <w:widowControl/>
        <w:spacing w:line="360" w:lineRule="auto"/>
        <w:ind w:firstLineChars="200" w:firstLine="420"/>
        <w:rPr>
          <w:rFonts w:ascii="宋体" w:hAnsi="宋体"/>
          <w:kern w:val="0"/>
        </w:rPr>
      </w:pPr>
      <w:r w:rsidRPr="00CD3CA5">
        <w:rPr>
          <w:rFonts w:ascii="宋体" w:hAnsi="宋体" w:hint="eastAsia"/>
          <w:kern w:val="0"/>
        </w:rPr>
        <w:t>（</w:t>
      </w:r>
      <w:r w:rsidR="00F51C96">
        <w:rPr>
          <w:rFonts w:ascii="宋体" w:hAnsi="宋体" w:hint="eastAsia"/>
          <w:kern w:val="0"/>
        </w:rPr>
        <w:t>9</w:t>
      </w:r>
      <w:r w:rsidRPr="00CD3CA5">
        <w:rPr>
          <w:rFonts w:ascii="宋体" w:hAnsi="宋体" w:hint="eastAsia"/>
          <w:kern w:val="0"/>
        </w:rPr>
        <w:t>）北京广生中</w:t>
      </w:r>
      <w:proofErr w:type="gramStart"/>
      <w:r w:rsidRPr="00CD3CA5">
        <w:rPr>
          <w:rFonts w:ascii="宋体" w:hAnsi="宋体" w:hint="eastAsia"/>
          <w:kern w:val="0"/>
        </w:rPr>
        <w:t>霖</w:t>
      </w:r>
      <w:proofErr w:type="gramEnd"/>
      <w:r w:rsidRPr="00CD3CA5">
        <w:rPr>
          <w:rFonts w:ascii="宋体" w:hAnsi="宋体" w:hint="eastAsia"/>
          <w:kern w:val="0"/>
        </w:rPr>
        <w:t>生物科技有限公司</w:t>
      </w:r>
    </w:p>
    <w:p w14:paraId="613F94FA" w14:textId="1C4C28CC" w:rsidR="003E639C" w:rsidRPr="00CD3CA5" w:rsidRDefault="003E639C" w:rsidP="00CE4678">
      <w:pPr>
        <w:widowControl/>
        <w:spacing w:line="360" w:lineRule="auto"/>
        <w:ind w:firstLineChars="200" w:firstLine="420"/>
        <w:rPr>
          <w:rFonts w:ascii="宋体" w:hAnsi="宋体" w:hint="eastAsia"/>
          <w:kern w:val="0"/>
        </w:rPr>
      </w:pPr>
      <w:r>
        <w:rPr>
          <w:rFonts w:ascii="宋体" w:hAnsi="宋体" w:hint="eastAsia"/>
          <w:kern w:val="0"/>
        </w:rPr>
        <w:t>（10）</w:t>
      </w:r>
      <w:r w:rsidRPr="003E639C">
        <w:rPr>
          <w:rFonts w:ascii="宋体" w:hAnsi="宋体" w:hint="eastAsia"/>
          <w:kern w:val="0"/>
        </w:rPr>
        <w:t>广</w:t>
      </w:r>
      <w:proofErr w:type="gramStart"/>
      <w:r w:rsidRPr="003E639C">
        <w:rPr>
          <w:rFonts w:ascii="宋体" w:hAnsi="宋体" w:hint="eastAsia"/>
          <w:kern w:val="0"/>
        </w:rPr>
        <w:t>喆</w:t>
      </w:r>
      <w:proofErr w:type="gramEnd"/>
      <w:r w:rsidRPr="003E639C">
        <w:rPr>
          <w:rFonts w:ascii="宋体" w:hAnsi="宋体" w:hint="eastAsia"/>
          <w:kern w:val="0"/>
        </w:rPr>
        <w:t>来药业（福建）有限公司</w:t>
      </w:r>
    </w:p>
    <w:p w14:paraId="4C9A2E71" w14:textId="3946305C" w:rsidR="00CD3CA5" w:rsidRDefault="00CD3CA5" w:rsidP="00CE4678">
      <w:pPr>
        <w:widowControl/>
        <w:spacing w:line="360" w:lineRule="auto"/>
        <w:ind w:firstLineChars="200" w:firstLine="420"/>
        <w:rPr>
          <w:rFonts w:ascii="宋体" w:hAnsi="宋体"/>
          <w:kern w:val="0"/>
        </w:rPr>
      </w:pPr>
      <w:r w:rsidRPr="00CD3CA5">
        <w:rPr>
          <w:rFonts w:ascii="宋体" w:hAnsi="宋体" w:hint="eastAsia"/>
          <w:kern w:val="0"/>
        </w:rPr>
        <w:t>（</w:t>
      </w:r>
      <w:r w:rsidR="00F51C96">
        <w:rPr>
          <w:rFonts w:ascii="宋体" w:hAnsi="宋体" w:hint="eastAsia"/>
          <w:kern w:val="0"/>
        </w:rPr>
        <w:t>1</w:t>
      </w:r>
      <w:r w:rsidR="003E639C">
        <w:rPr>
          <w:rFonts w:ascii="宋体" w:hAnsi="宋体" w:hint="eastAsia"/>
          <w:kern w:val="0"/>
        </w:rPr>
        <w:t>1</w:t>
      </w:r>
      <w:r w:rsidRPr="00CD3CA5">
        <w:rPr>
          <w:rFonts w:ascii="宋体" w:hAnsi="宋体" w:hint="eastAsia"/>
          <w:kern w:val="0"/>
        </w:rPr>
        <w:t>）福建多嘿嘿男性健康咨询有限公司</w:t>
      </w:r>
    </w:p>
    <w:p w14:paraId="357CB697" w14:textId="7FB017F5" w:rsidR="00F51C96" w:rsidRDefault="00F51C96" w:rsidP="00CE4678">
      <w:pPr>
        <w:widowControl/>
        <w:spacing w:line="360" w:lineRule="auto"/>
        <w:ind w:firstLineChars="200" w:firstLine="420"/>
        <w:rPr>
          <w:rFonts w:ascii="宋体" w:hAnsi="宋体" w:hint="eastAsia"/>
          <w:kern w:val="0"/>
        </w:rPr>
      </w:pPr>
      <w:r>
        <w:rPr>
          <w:rFonts w:ascii="宋体" w:hAnsi="宋体" w:hint="eastAsia"/>
          <w:kern w:val="0"/>
        </w:rPr>
        <w:t>（1</w:t>
      </w:r>
      <w:r w:rsidR="003E639C">
        <w:rPr>
          <w:rFonts w:ascii="宋体" w:hAnsi="宋体" w:hint="eastAsia"/>
          <w:kern w:val="0"/>
        </w:rPr>
        <w:t>2</w:t>
      </w:r>
      <w:r>
        <w:rPr>
          <w:rFonts w:ascii="宋体" w:hAnsi="宋体" w:hint="eastAsia"/>
          <w:kern w:val="0"/>
        </w:rPr>
        <w:t>）</w:t>
      </w:r>
      <w:r w:rsidRPr="00F51C96">
        <w:rPr>
          <w:rFonts w:ascii="宋体" w:hAnsi="宋体" w:hint="eastAsia"/>
          <w:kern w:val="0"/>
        </w:rPr>
        <w:t>广福来（北京）国际生物技术有限公司</w:t>
      </w:r>
    </w:p>
    <w:p w14:paraId="6DE01F87" w14:textId="4ACA3323" w:rsidR="00F51C96" w:rsidRPr="00CD3CA5" w:rsidRDefault="00F51C96" w:rsidP="00CE4678">
      <w:pPr>
        <w:widowControl/>
        <w:spacing w:line="360" w:lineRule="auto"/>
        <w:ind w:firstLineChars="200" w:firstLine="420"/>
        <w:rPr>
          <w:rFonts w:ascii="宋体" w:hAnsi="宋体" w:hint="eastAsia"/>
          <w:kern w:val="0"/>
        </w:rPr>
      </w:pPr>
      <w:r>
        <w:rPr>
          <w:rFonts w:ascii="宋体" w:hAnsi="宋体" w:hint="eastAsia"/>
          <w:kern w:val="0"/>
        </w:rPr>
        <w:t>（1</w:t>
      </w:r>
      <w:r w:rsidR="003E639C">
        <w:rPr>
          <w:rFonts w:ascii="宋体" w:hAnsi="宋体" w:hint="eastAsia"/>
          <w:kern w:val="0"/>
        </w:rPr>
        <w:t>3</w:t>
      </w:r>
      <w:r>
        <w:rPr>
          <w:rFonts w:ascii="宋体" w:hAnsi="宋体" w:hint="eastAsia"/>
          <w:kern w:val="0"/>
        </w:rPr>
        <w:t>）</w:t>
      </w:r>
      <w:r w:rsidRPr="00F51C96">
        <w:rPr>
          <w:rFonts w:ascii="宋体" w:hAnsi="宋体" w:hint="eastAsia"/>
          <w:kern w:val="0"/>
        </w:rPr>
        <w:t>广生堂药业（漳州）有限公司</w:t>
      </w:r>
    </w:p>
    <w:p w14:paraId="51F47453"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纳入评价范围单位资产总额占公司合并财务报表资产总额的100.00%，营业收入合计占公司合并财务报表营业收入总额的100.00%。</w:t>
      </w:r>
    </w:p>
    <w:p w14:paraId="2A1F74BD"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2、纳入评价范围的主要业务和事项包括：公司治理与组织架构、内部审计机构设置、人力资源管理、采购与付款活动、销售与收款活动、生产与存货管理、货币资金管理、固定资产管理、子公司的管理、关联交易、对外担保、募集资金使用、重大投资、信息披露。</w:t>
      </w:r>
    </w:p>
    <w:p w14:paraId="13CE2F4F"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（1）公司治理结构与组织架构</w:t>
      </w:r>
    </w:p>
    <w:p w14:paraId="67F9A976"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公司严格按照《公司法》、《证券法》和有关监管要求及公司章程的规定，建立健全的与企业发展相适应的治理结构，股东会、董事会、监事会、经营管理层之间权责分明，相互</w:t>
      </w:r>
      <w:r w:rsidRPr="00CD3CA5">
        <w:rPr>
          <w:rFonts w:ascii="宋体" w:hAnsi="宋体" w:hint="eastAsia"/>
          <w:kern w:val="0"/>
        </w:rPr>
        <w:lastRenderedPageBreak/>
        <w:t>制衡，运作良好，形成了一套合理、完整、有效的经营管理框架，为公司的长远发展打下坚实的基础；公司董事会下设董事会秘书处及总经理及薪酬与考核委员会、提名委员会、战略委员会和审计委员会四个专业委员会；建立了《股东大会议事规则》、《董事会议事规则》、《监事会议事规则》、《独立董事工作制度》、《总经理工作细则》、《董事会秘书工作细则》、《董事会审计委员会工作细则》、《董事会提名委员会工作细则》、《董事会战略委员会工作细则》、《董事会薪酬与考核委员会工作细则》等制度；聘请有关行业专家和专业人士作为独立董事，对进一步规范运作起着良好的推动作用。</w:t>
      </w:r>
    </w:p>
    <w:p w14:paraId="6FE703CF"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公司为有效地计划、协调和控制经营活动，合理地确定组织单位的形式和性质，并贯彻不相容职务相分离的原则，较科学地划分每个组织单位内部的职责权限，形成相互制衡机制。</w:t>
      </w:r>
    </w:p>
    <w:p w14:paraId="0C8A0447"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（2）内部审计机构设置</w:t>
      </w:r>
    </w:p>
    <w:p w14:paraId="25D2D6CF"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在董事会下设立了审计委员会，审计委员会下设立了审计部，指定专职人员具体负责经营活动内部控制制度设计、监督和检查内部控制制度的执行情况并对内部控制的有效性进行评价，对监督检查中发现的内部控制缺陷，按照公司内部审计工作程序进行报告，并提出相应的改进建议和处理意见。在监督检查中发现的内部控制重大缺陷，可直接向董事会及其审计委员会报告，确保内部控制严格贯彻实施和经营活动的正常进行。</w:t>
      </w:r>
    </w:p>
    <w:p w14:paraId="248793D3"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（3）人力资源管理</w:t>
      </w:r>
    </w:p>
    <w:p w14:paraId="003ECA37"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董事会下设立的薪酬与考核委员会主要负责制定、审核公司非独立董事、高级管理人员的薪酬方案和考核标准。薪酬与考核委员会直接对公司董事会负责。公司设立人力资源部，负责公司人力资源的管理，建立一系列人力资源管理制度，对公司各职能部门的职责、员工聘用、试用、任免、调岗、解职、交接、奖惩等事项进行明确规定，确保相关人员能够胜任；制定并实施人才培养实施方案，以确保经理层和全体员工能够有效履行职责；公司现有人力资源政策基本能够保证人力资源的稳定和公司各部门对人力资源的需求。</w:t>
      </w:r>
    </w:p>
    <w:p w14:paraId="03E05B2E"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（4）采购与付款活动</w:t>
      </w:r>
    </w:p>
    <w:p w14:paraId="511693DB"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公司有严格的采购作业、验收作业、请款和付款作业流程,制定了物资、物料采购的相关操作及管理制度。</w:t>
      </w:r>
    </w:p>
    <w:p w14:paraId="6A331DD8"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采购由请购部门填制《采购申请单》，仓储部门确定库存，申请单必须经相关部门负责人审核,报公司授权领导批准后,方可办理采购。公司已建立详实完备的报价资料,并注意收集新的询价资料,保持报价的最新时效。在验收时,物料的名称、规格、数量必须与实物</w:t>
      </w:r>
      <w:r w:rsidRPr="00CD3CA5">
        <w:rPr>
          <w:rFonts w:ascii="宋体" w:hAnsi="宋体" w:hint="eastAsia"/>
          <w:kern w:val="0"/>
        </w:rPr>
        <w:lastRenderedPageBreak/>
        <w:t>相符,验收人员必须及时填制入库单，不合格的物资、物料及时通知采购部门退回或扣款。公司与供应商的结算,由采购部采购人员根据合同、协议、验收单、入库单提报付款申请,由相关部门负责人审核,财务部门复核无误后,报授权领导核准后履约付款。</w:t>
      </w:r>
    </w:p>
    <w:p w14:paraId="460CE6FF"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（5）销售与收款活动</w:t>
      </w:r>
    </w:p>
    <w:p w14:paraId="7806A451"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公司按照销售与收款业务流程的特点,设置《销售管理制度》、《应收账款管理制度》等一系列制度,具体包括:各岗位分工与授权批准、销售和发货控制、销售发票开具控制、销售货款收取控制和销售记录控制等。</w:t>
      </w:r>
    </w:p>
    <w:p w14:paraId="31DAB5E8"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对客户进行信用控制,在选择客户时,由销售部门的信用管理人员对客户进行信用评价,充分了解和考虑客户的信誉、财务状况等,以降低货款坏账风险。销售业务部门主要负责处理订单、签订合同、执行销售政策和信用政策、催收货款;发货业务部门主要负责审核发货单据是否齐全并办理发货的具体事宜;财务部门主要负责销售款项的结算和记录、监督管理货款回收;对催收无效的逾期应收账款,由销售业务部门会同财务部门申请,经财务总监审核,报授权领导及董事会批准核销或通过法律程序予以解决。</w:t>
      </w:r>
    </w:p>
    <w:p w14:paraId="2E815023"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（6）生产与存货</w:t>
      </w:r>
    </w:p>
    <w:p w14:paraId="31EC13CD"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公司严格执行GMP质量体系管理标准,建立了一系列生产管理制度,全套文件符合新版GMP的要求。</w:t>
      </w:r>
    </w:p>
    <w:p w14:paraId="48C06515"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生产部门按期编制生产作业计划,明确各生产岗位职责和实施全员绩效考核。人员、机器设备、原辅材料、工艺技术、生产环境均处于受控状态,同时,生产经营由药政监管部门进行日常监督。</w:t>
      </w:r>
    </w:p>
    <w:p w14:paraId="17F2A6A8"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各地仓库部门负责仓储管理以及物资配送,并严格执行GMP和GSP等相关制度。全套文件符合新版GMP和GSP的要求。</w:t>
      </w:r>
    </w:p>
    <w:p w14:paraId="52F02E35"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存货相关内部控制制度，对公司财务报告相关的业务流程进行风险评估并形成内控制度、流程手册。依据财务相关的业务流程及风险，编制了财务管理制度、内部控制制度-存货、仓库管理制度、原辅料入库、领用管理规程及药品采购入库、验收、储存、出库复核管理制度和库存ERP管理制度等库存相关管理制度及流程。目前公司存货进销存的管理是通过信息系统金蝶K3WISE进行管理，相关数据实现自动实时结转，无需人工期末录入。确保存货进销</w:t>
      </w:r>
      <w:proofErr w:type="gramStart"/>
      <w:r w:rsidRPr="00CD3CA5">
        <w:rPr>
          <w:rFonts w:ascii="宋体" w:hAnsi="宋体" w:hint="eastAsia"/>
          <w:kern w:val="0"/>
        </w:rPr>
        <w:t>存相关</w:t>
      </w:r>
      <w:proofErr w:type="gramEnd"/>
      <w:r w:rsidRPr="00CD3CA5">
        <w:rPr>
          <w:rFonts w:ascii="宋体" w:hAnsi="宋体" w:hint="eastAsia"/>
          <w:kern w:val="0"/>
        </w:rPr>
        <w:t>单据及业务记录的流转符合企业内部控制要求，以保证存货进销存系统与财务总账系统环环相扣，从而确保存货进销存与财务总账系统一致。</w:t>
      </w:r>
    </w:p>
    <w:p w14:paraId="6329836A"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lastRenderedPageBreak/>
        <w:t>（7）货币资金管理</w:t>
      </w:r>
    </w:p>
    <w:p w14:paraId="4AA36362"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针对资金管理工作,公司建立了完善的管理制度。一方面在公司内部加强对货币资金管理及流程的宣导，专门对出纳进行了岗位职责和内控流程的相关培训，从而保证出纳能做到每日及时记录现金日记账和银行存款日记账；另一方面公司进一步完善货币资金管理的内控制度的建设，并加强对内控制度及流程执行情况检查和评价。公司严格按照相关管理制度做好资金管理工作,确保公司资金使用符合合理性、效率性、安全性的原则,为公司发展提供充足的资金支持。</w:t>
      </w:r>
    </w:p>
    <w:p w14:paraId="79287353"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（8）固定资产控制</w:t>
      </w:r>
    </w:p>
    <w:p w14:paraId="1FDD375B"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本公司对固定资产的取得、移动及处置都制定了一系列的内控措施。公司规定固定资产的取得必须遵循《固定资产管理制度》的要求,使用单位申请新建、购置都须经主管核准。自行建造的固定资产,按《工程项目管理制度》执行。固定资产的采购需经过逐级审批程序。固定资产的移动须报经核准,填妥调拨单并经当事人签名确认,固定资产的报废或毁损应经有关主管核准,对于未到使用年限即报废的固定资产,要核查并分析原因。年终由财务部门牵头负责对公司所有固定资产进行一次全面清查盘点。以此来规范固定资产的管理,确保固定资产价值的准确和资产的安全与完整。</w:t>
      </w:r>
    </w:p>
    <w:p w14:paraId="04A16FCF"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（9）子公司的管理</w:t>
      </w:r>
    </w:p>
    <w:p w14:paraId="404B1232"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制订了《子公司管理制度》，对子公司管理的基本原则、运作规范、人事管理、财务管理、投资管理、信息管理、审计监督、考核奖惩等方面做出了明确规定，并制订了较为规范和完善的工作制度与流程，加强对子公司的管理。</w:t>
      </w:r>
    </w:p>
    <w:p w14:paraId="1B05D245"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通过委派或推荐子公司的董事、监事及重要高级管理人员实施对子公司的管理，同时要求子公司按照有关规定规范运作，明确规定了重大事项报告和审议程序；对子公司实行统一的财务管理制度，实行由公司对子公司的财务负责人员统一聘用（或委派）、统一管理的财务人员管理体制。</w:t>
      </w:r>
    </w:p>
    <w:p w14:paraId="49606D31"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公司建立了统一的ERP系统和OA平台，从行政、生产、采购、销售、存货、财务统一管理，使公司对子公司的管理得到有效控制。</w:t>
      </w:r>
    </w:p>
    <w:p w14:paraId="1349DF9F"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（10）关联交易</w:t>
      </w:r>
    </w:p>
    <w:p w14:paraId="1414A30B"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《公司章程》、《关联交易规则》、《股东大会议事规则》、《董事会议事规则》、《监事会议事规则》、《独立董事制度》分别从不同角度对关联交易决策和信息披露做出了比较</w:t>
      </w:r>
      <w:r w:rsidRPr="00CD3CA5">
        <w:rPr>
          <w:rFonts w:ascii="宋体" w:hAnsi="宋体" w:hint="eastAsia"/>
          <w:kern w:val="0"/>
        </w:rPr>
        <w:lastRenderedPageBreak/>
        <w:t>完整的制度安排。通过上述制度的规定，公司对实际发生的关联交易遵循诚实、信用、平等、自愿、公平、公开、公允原则，确保关联交易不损害公司和无关联关系股东的利益。</w:t>
      </w:r>
    </w:p>
    <w:p w14:paraId="76BF8D06"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（11）对外担保</w:t>
      </w:r>
    </w:p>
    <w:p w14:paraId="2D920994"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建立《对外担保管理制度》，对外担保遵循合法、审慎、互利、安全的原则，严格控制担保风险。公司将来发生对外担保时原则上将要求被担保人提供反担保，谨慎判断反担保提供方的实际担保能力和反担保的可执行性，董事会认真审核被担保人的经营和信誉情况，审慎依《对外担保管理制度》做出决定。</w:t>
      </w:r>
    </w:p>
    <w:p w14:paraId="568649E8"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（12）募集资金使用</w:t>
      </w:r>
    </w:p>
    <w:p w14:paraId="78CE2CA2"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公司按信息披露的募集资金投向和董事会、股东大会决议及审批程序使用募集资金，并按要求披露募集资金的使用情况和使用效果。</w:t>
      </w:r>
    </w:p>
    <w:p w14:paraId="18933D83"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公司募集资金的存放坚持集中存放、便于监督管理的原则。在募集资金到位后1个月内与保荐机构、存放募集资金的商业银行签订三方监管协议，报告交易所备案并公告。</w:t>
      </w:r>
    </w:p>
    <w:p w14:paraId="63AB8B67"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募集资金按照招股说明书或募集说明书所列用途使用，未经股东大会批准不得改变。闲置募集资金在暂时补充流动资金时，仅限于与主营业务相关的生产经营使用，不得通过直接或间接的安排用于新股配售、申购，或用于股票及其衍生品种、可转换公司债</w:t>
      </w:r>
      <w:proofErr w:type="gramStart"/>
      <w:r w:rsidRPr="00CD3CA5">
        <w:rPr>
          <w:rFonts w:ascii="宋体" w:hAnsi="宋体" w:hint="eastAsia"/>
          <w:kern w:val="0"/>
        </w:rPr>
        <w:t>券</w:t>
      </w:r>
      <w:proofErr w:type="gramEnd"/>
      <w:r w:rsidRPr="00CD3CA5">
        <w:rPr>
          <w:rFonts w:ascii="宋体" w:hAnsi="宋体" w:hint="eastAsia"/>
          <w:kern w:val="0"/>
        </w:rPr>
        <w:t>等交易。</w:t>
      </w:r>
    </w:p>
    <w:p w14:paraId="470FCCD4"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公司按照发行申请文件中承诺的募集资金投资计划使用募集资金。如出现严重影响募集资金投资计划正常进行的情形，公司将及时向交易所报告并公告。</w:t>
      </w:r>
    </w:p>
    <w:p w14:paraId="4431B5C2"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公司经董事会审议、股东大会决议通过后方可变更募集资金投向，变更后的募集资金投向原则上应投资于主营业务，并在2个交易日内向交易所报告并公告改变原因及保荐人的意见。</w:t>
      </w:r>
    </w:p>
    <w:p w14:paraId="4216BE06"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公司在每个会计年度结束后全面核查募集资金投资项目的进展情况。公司董事会每半年度全面核查</w:t>
      </w:r>
      <w:proofErr w:type="gramStart"/>
      <w:r w:rsidRPr="00CD3CA5">
        <w:rPr>
          <w:rFonts w:ascii="宋体" w:hAnsi="宋体" w:hint="eastAsia"/>
          <w:kern w:val="0"/>
        </w:rPr>
        <w:t>募投项目</w:t>
      </w:r>
      <w:proofErr w:type="gramEnd"/>
      <w:r w:rsidRPr="00CD3CA5">
        <w:rPr>
          <w:rFonts w:ascii="宋体" w:hAnsi="宋体" w:hint="eastAsia"/>
          <w:kern w:val="0"/>
        </w:rPr>
        <w:t>的进展情况，并对募集资金的存放与使用情况出具《公司募集资金存放与实际使用情况的专项报告》。</w:t>
      </w:r>
    </w:p>
    <w:p w14:paraId="7D84D141"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（13）重大投资</w:t>
      </w:r>
    </w:p>
    <w:p w14:paraId="6B5CAC16"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建立《对外投资管理制度》，对投资事务进行有效控制，使公司投资管理遵循合法、审慎、安全、有效的原则，注重控制投资风险，同时有效地利用闲置资金或其他资产，进行适度的资本扩张，以获取较好的收益，确保资产保值增值。</w:t>
      </w:r>
    </w:p>
    <w:p w14:paraId="5D42C366"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（14）信息披露</w:t>
      </w:r>
    </w:p>
    <w:p w14:paraId="654F0030" w14:textId="77777777" w:rsidR="00CD3CA5" w:rsidRP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lastRenderedPageBreak/>
        <w:t>为规范公司信息披露工作,保证公开披露信息的真实、准确、完整、及时,公司制定了多项与信息披露有关的内部控制制度,明确规定了信息披露的原则、内容、标准、程序、信息披露的权限与责任划分、档案管理、信息的保密措施以及责任追究与处理措施等。</w:t>
      </w:r>
    </w:p>
    <w:p w14:paraId="3C863CBC" w14:textId="22C70D01" w:rsidR="00CD3CA5" w:rsidRDefault="00CD3CA5" w:rsidP="00CE4678">
      <w:pPr>
        <w:widowControl/>
        <w:spacing w:line="360" w:lineRule="auto"/>
        <w:ind w:firstLineChars="200" w:firstLine="420"/>
        <w:rPr>
          <w:rFonts w:ascii="宋体" w:hAnsi="宋体" w:hint="eastAsia"/>
          <w:kern w:val="0"/>
        </w:rPr>
      </w:pPr>
      <w:r w:rsidRPr="00CD3CA5">
        <w:rPr>
          <w:rFonts w:ascii="宋体" w:hAnsi="宋体" w:hint="eastAsia"/>
          <w:kern w:val="0"/>
        </w:rPr>
        <w:t>公司信息披露事务由董事会统一领导和管理。公司董事长为公司信息披露的第一责任人,董事会秘书为直接责任人。公司证券投资部为公司信息披露事务的管理部门,具体负责信息披露及投资者关系管理工作,并设置了联系电话、网站、电子邮箱等投资者沟通渠道,加强与投资者之间的互动与交流。公司已建立较为有效的信息沟通和反馈渠道,该信息系统内部控制具有一定的完整性、合理性及有效性。</w:t>
      </w:r>
    </w:p>
    <w:p w14:paraId="51CE81BA" w14:textId="77777777" w:rsidR="005E1618" w:rsidRPr="005E1618" w:rsidRDefault="005E1618" w:rsidP="00AE6443">
      <w:pPr>
        <w:widowControl/>
        <w:spacing w:line="360" w:lineRule="auto"/>
        <w:ind w:firstLineChars="200" w:firstLine="422"/>
        <w:outlineLvl w:val="2"/>
        <w:rPr>
          <w:rFonts w:ascii="宋体" w:hAnsi="宋体" w:hint="eastAsia"/>
          <w:b/>
          <w:bCs/>
          <w:kern w:val="0"/>
        </w:rPr>
      </w:pPr>
      <w:r w:rsidRPr="005E1618">
        <w:rPr>
          <w:rFonts w:ascii="宋体" w:hAnsi="宋体" w:hint="eastAsia"/>
          <w:b/>
          <w:bCs/>
          <w:kern w:val="0"/>
        </w:rPr>
        <w:t>（二）内部控制评价工作依据及内部控制缺陷认定标准</w:t>
      </w:r>
    </w:p>
    <w:p w14:paraId="4CBC561B" w14:textId="7A5392E2" w:rsidR="00CD3CA5" w:rsidRDefault="005E1618" w:rsidP="005E1618">
      <w:pPr>
        <w:widowControl/>
        <w:spacing w:line="360" w:lineRule="auto"/>
        <w:ind w:firstLineChars="200" w:firstLine="420"/>
        <w:rPr>
          <w:rFonts w:ascii="宋体" w:hAnsi="宋体" w:hint="eastAsia"/>
          <w:kern w:val="0"/>
        </w:rPr>
      </w:pPr>
      <w:r w:rsidRPr="005E1618">
        <w:rPr>
          <w:rFonts w:ascii="宋体" w:hAnsi="宋体" w:hint="eastAsia"/>
          <w:kern w:val="0"/>
        </w:rPr>
        <w:t>公司依据企业内部控制规范体系及深交所《上市公司内部控制指引》和公司内部控制制度组织开展内部控制评价工作。</w:t>
      </w:r>
    </w:p>
    <w:p w14:paraId="578E6331" w14:textId="7EFE605A" w:rsidR="000668CD" w:rsidRPr="000668CD" w:rsidRDefault="005E1618" w:rsidP="000668CD">
      <w:pPr>
        <w:widowControl/>
        <w:spacing w:line="360" w:lineRule="auto"/>
        <w:ind w:firstLineChars="200" w:firstLine="420"/>
        <w:rPr>
          <w:rFonts w:ascii="宋体" w:hAnsi="宋体" w:hint="eastAsia"/>
          <w:kern w:val="0"/>
        </w:rPr>
      </w:pPr>
      <w:r w:rsidRPr="005E1618">
        <w:rPr>
          <w:rFonts w:ascii="宋体" w:hAnsi="宋体" w:hint="eastAsia"/>
          <w:kern w:val="0"/>
        </w:rPr>
        <w:t>公司董事会根据企业内部控制规范体系建设的要求，结合公司规模、行业特征、风险偏好和风险承受度等因素，对重大缺陷、重要缺陷和一般缺陷制定了认定标准。</w:t>
      </w:r>
    </w:p>
    <w:tbl>
      <w:tblPr>
        <w:tblStyle w:val="af6"/>
        <w:tblW w:w="0" w:type="auto"/>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CellMar>
          <w:left w:w="45" w:type="dxa"/>
          <w:right w:w="45" w:type="dxa"/>
        </w:tblCellMar>
        <w:tblLook w:val="04A0" w:firstRow="1" w:lastRow="0" w:firstColumn="1" w:lastColumn="0" w:noHBand="0" w:noVBand="1"/>
      </w:tblPr>
      <w:tblGrid>
        <w:gridCol w:w="1560"/>
        <w:gridCol w:w="3685"/>
        <w:gridCol w:w="3067"/>
      </w:tblGrid>
      <w:tr w:rsidR="000668CD" w:rsidRPr="000668CD" w14:paraId="2D126CCD" w14:textId="77777777" w:rsidTr="00EA43AA">
        <w:trPr>
          <w:trHeight w:val="340"/>
          <w:tblHeader/>
        </w:trPr>
        <w:tc>
          <w:tcPr>
            <w:tcW w:w="0" w:type="auto"/>
            <w:gridSpan w:val="3"/>
            <w:shd w:val="clear" w:color="auto" w:fill="auto"/>
            <w:vAlign w:val="center"/>
          </w:tcPr>
          <w:p w14:paraId="0C803232" w14:textId="77777777" w:rsidR="000668CD" w:rsidRPr="000668CD" w:rsidRDefault="000668CD" w:rsidP="00EA43AA">
            <w:pPr>
              <w:widowControl/>
              <w:adjustRightInd w:val="0"/>
              <w:snapToGrid w:val="0"/>
              <w:spacing w:line="240" w:lineRule="exact"/>
              <w:jc w:val="center"/>
              <w:rPr>
                <w:rFonts w:ascii="宋体" w:hAnsi="宋体" w:hint="eastAsia"/>
                <w:b/>
                <w:bCs/>
                <w:snapToGrid w:val="0"/>
                <w:kern w:val="0"/>
                <w:sz w:val="18"/>
              </w:rPr>
            </w:pPr>
            <w:r w:rsidRPr="000668CD">
              <w:rPr>
                <w:rFonts w:ascii="宋体" w:hAnsi="宋体" w:hint="eastAsia"/>
                <w:b/>
                <w:bCs/>
                <w:snapToGrid w:val="0"/>
                <w:kern w:val="0"/>
                <w:sz w:val="18"/>
              </w:rPr>
              <w:t>缺陷认定标准</w:t>
            </w:r>
          </w:p>
        </w:tc>
      </w:tr>
      <w:tr w:rsidR="000668CD" w:rsidRPr="000668CD" w14:paraId="6390C329" w14:textId="77777777" w:rsidTr="009A6387">
        <w:trPr>
          <w:cantSplit/>
          <w:trHeight w:val="340"/>
          <w:tblHeader/>
        </w:trPr>
        <w:tc>
          <w:tcPr>
            <w:tcW w:w="1560" w:type="dxa"/>
            <w:shd w:val="clear" w:color="auto" w:fill="auto"/>
            <w:vAlign w:val="center"/>
          </w:tcPr>
          <w:p w14:paraId="36E4B6A3" w14:textId="77777777" w:rsidR="000668CD" w:rsidRPr="000668CD" w:rsidRDefault="000668CD" w:rsidP="009A6387">
            <w:pPr>
              <w:widowControl/>
              <w:adjustRightInd w:val="0"/>
              <w:snapToGrid w:val="0"/>
              <w:spacing w:line="240" w:lineRule="exact"/>
              <w:jc w:val="center"/>
              <w:rPr>
                <w:rFonts w:ascii="Arial Narrow" w:hAnsi="Arial Narrow"/>
                <w:b/>
                <w:bCs/>
                <w:snapToGrid w:val="0"/>
                <w:kern w:val="0"/>
                <w:sz w:val="18"/>
              </w:rPr>
            </w:pPr>
            <w:r w:rsidRPr="000668CD">
              <w:rPr>
                <w:rFonts w:ascii="Arial Narrow" w:hAnsi="Arial Narrow" w:hint="eastAsia"/>
                <w:b/>
                <w:bCs/>
                <w:snapToGrid w:val="0"/>
                <w:kern w:val="0"/>
                <w:sz w:val="18"/>
              </w:rPr>
              <w:t>类别</w:t>
            </w:r>
          </w:p>
        </w:tc>
        <w:tc>
          <w:tcPr>
            <w:tcW w:w="3685" w:type="dxa"/>
            <w:shd w:val="clear" w:color="auto" w:fill="auto"/>
            <w:vAlign w:val="center"/>
          </w:tcPr>
          <w:p w14:paraId="7F3F4D99" w14:textId="77777777" w:rsidR="000668CD" w:rsidRPr="000668CD" w:rsidRDefault="000668CD" w:rsidP="009A6387">
            <w:pPr>
              <w:widowControl/>
              <w:adjustRightInd w:val="0"/>
              <w:snapToGrid w:val="0"/>
              <w:spacing w:line="240" w:lineRule="exact"/>
              <w:jc w:val="center"/>
              <w:rPr>
                <w:rFonts w:ascii="Arial Narrow" w:hAnsi="Arial Narrow"/>
                <w:b/>
                <w:bCs/>
                <w:snapToGrid w:val="0"/>
                <w:kern w:val="0"/>
                <w:sz w:val="18"/>
              </w:rPr>
            </w:pPr>
            <w:r w:rsidRPr="000668CD">
              <w:rPr>
                <w:rFonts w:ascii="Arial Narrow" w:hAnsi="Arial Narrow" w:hint="eastAsia"/>
                <w:b/>
                <w:bCs/>
                <w:snapToGrid w:val="0"/>
                <w:kern w:val="0"/>
                <w:sz w:val="18"/>
              </w:rPr>
              <w:t>财务报告</w:t>
            </w:r>
          </w:p>
        </w:tc>
        <w:tc>
          <w:tcPr>
            <w:tcW w:w="3067" w:type="dxa"/>
            <w:shd w:val="clear" w:color="auto" w:fill="auto"/>
            <w:vAlign w:val="center"/>
          </w:tcPr>
          <w:p w14:paraId="3A90E43D" w14:textId="77777777" w:rsidR="000668CD" w:rsidRPr="000668CD" w:rsidRDefault="000668CD" w:rsidP="009A6387">
            <w:pPr>
              <w:widowControl/>
              <w:adjustRightInd w:val="0"/>
              <w:snapToGrid w:val="0"/>
              <w:spacing w:line="240" w:lineRule="exact"/>
              <w:jc w:val="center"/>
              <w:rPr>
                <w:rFonts w:ascii="Arial Narrow" w:hAnsi="Arial Narrow"/>
                <w:b/>
                <w:bCs/>
                <w:snapToGrid w:val="0"/>
                <w:kern w:val="0"/>
                <w:sz w:val="18"/>
              </w:rPr>
            </w:pPr>
            <w:r w:rsidRPr="000668CD">
              <w:rPr>
                <w:rFonts w:ascii="Arial Narrow" w:hAnsi="Arial Narrow" w:hint="eastAsia"/>
                <w:b/>
                <w:bCs/>
                <w:snapToGrid w:val="0"/>
                <w:kern w:val="0"/>
                <w:sz w:val="18"/>
              </w:rPr>
              <w:t>非财务报告</w:t>
            </w:r>
          </w:p>
        </w:tc>
      </w:tr>
      <w:tr w:rsidR="000668CD" w:rsidRPr="000668CD" w14:paraId="4DA72DA3" w14:textId="77777777" w:rsidTr="009A6387">
        <w:trPr>
          <w:cantSplit/>
          <w:trHeight w:val="340"/>
        </w:trPr>
        <w:tc>
          <w:tcPr>
            <w:tcW w:w="1560" w:type="dxa"/>
            <w:shd w:val="clear" w:color="auto" w:fill="auto"/>
            <w:vAlign w:val="center"/>
          </w:tcPr>
          <w:p w14:paraId="439BF547" w14:textId="77777777" w:rsidR="000668CD" w:rsidRPr="000668CD" w:rsidRDefault="000668CD" w:rsidP="00EA43AA">
            <w:pPr>
              <w:widowControl/>
              <w:adjustRightInd w:val="0"/>
              <w:snapToGrid w:val="0"/>
              <w:spacing w:line="240" w:lineRule="exact"/>
              <w:jc w:val="left"/>
              <w:rPr>
                <w:rFonts w:ascii="Arial Narrow" w:hAnsi="Arial Narrow"/>
                <w:snapToGrid w:val="0"/>
                <w:kern w:val="0"/>
                <w:sz w:val="18"/>
              </w:rPr>
            </w:pPr>
            <w:r w:rsidRPr="000668CD">
              <w:rPr>
                <w:rFonts w:ascii="Arial Narrow" w:hAnsi="Arial Narrow" w:hint="eastAsia"/>
                <w:snapToGrid w:val="0"/>
                <w:kern w:val="0"/>
                <w:sz w:val="18"/>
              </w:rPr>
              <w:t>定性标准</w:t>
            </w:r>
          </w:p>
        </w:tc>
        <w:tc>
          <w:tcPr>
            <w:tcW w:w="3685" w:type="dxa"/>
            <w:shd w:val="clear" w:color="auto" w:fill="auto"/>
            <w:vAlign w:val="center"/>
          </w:tcPr>
          <w:p w14:paraId="024C160C" w14:textId="77777777" w:rsidR="00753B46" w:rsidRPr="00753B46" w:rsidRDefault="00753B46" w:rsidP="00753B46">
            <w:pPr>
              <w:widowControl/>
              <w:adjustRightInd w:val="0"/>
              <w:snapToGrid w:val="0"/>
              <w:spacing w:line="240" w:lineRule="exact"/>
              <w:jc w:val="left"/>
              <w:rPr>
                <w:rFonts w:ascii="Arial Narrow" w:hAnsi="Arial Narrow"/>
                <w:snapToGrid w:val="0"/>
                <w:kern w:val="0"/>
                <w:sz w:val="18"/>
              </w:rPr>
            </w:pPr>
            <w:r w:rsidRPr="00753B46">
              <w:rPr>
                <w:rFonts w:ascii="Arial Narrow" w:hAnsi="Arial Narrow" w:hint="eastAsia"/>
                <w:snapToGrid w:val="0"/>
                <w:kern w:val="0"/>
                <w:sz w:val="18"/>
              </w:rPr>
              <w:t>（</w:t>
            </w:r>
            <w:r w:rsidRPr="00753B46">
              <w:rPr>
                <w:rFonts w:ascii="Arial Narrow" w:hAnsi="Arial Narrow" w:hint="eastAsia"/>
                <w:snapToGrid w:val="0"/>
                <w:kern w:val="0"/>
                <w:sz w:val="18"/>
              </w:rPr>
              <w:t>1</w:t>
            </w:r>
            <w:r w:rsidRPr="00753B46">
              <w:rPr>
                <w:rFonts w:ascii="Arial Narrow" w:hAnsi="Arial Narrow" w:hint="eastAsia"/>
                <w:snapToGrid w:val="0"/>
                <w:kern w:val="0"/>
                <w:sz w:val="18"/>
              </w:rPr>
              <w:t>）重大缺陷：董事、监事、和高级管理人员舞弊；内部控制环境失效；对已签发公告的财务报告进行错报更正；注册会计师发现的但未被内部控制识别的当期财务报告中的重大错报；审计委员会以及内部审计部门对财务报告内部控制监督无效；会计差错金额直接影响盈亏性质；监管部门责令公司对以前年度财务报告存在的差错进行改正。</w:t>
            </w:r>
          </w:p>
          <w:p w14:paraId="3BF6893A" w14:textId="77777777" w:rsidR="00753B46" w:rsidRPr="00753B46" w:rsidRDefault="00753B46" w:rsidP="00753B46">
            <w:pPr>
              <w:widowControl/>
              <w:adjustRightInd w:val="0"/>
              <w:snapToGrid w:val="0"/>
              <w:spacing w:line="240" w:lineRule="exact"/>
              <w:jc w:val="left"/>
              <w:rPr>
                <w:rFonts w:ascii="Arial Narrow" w:hAnsi="Arial Narrow"/>
                <w:snapToGrid w:val="0"/>
                <w:kern w:val="0"/>
                <w:sz w:val="18"/>
              </w:rPr>
            </w:pPr>
            <w:r w:rsidRPr="00753B46">
              <w:rPr>
                <w:rFonts w:ascii="Arial Narrow" w:hAnsi="Arial Narrow" w:hint="eastAsia"/>
                <w:snapToGrid w:val="0"/>
                <w:kern w:val="0"/>
                <w:sz w:val="18"/>
              </w:rPr>
              <w:t>（</w:t>
            </w:r>
            <w:r w:rsidRPr="00753B46">
              <w:rPr>
                <w:rFonts w:ascii="Arial Narrow" w:hAnsi="Arial Narrow" w:hint="eastAsia"/>
                <w:snapToGrid w:val="0"/>
                <w:kern w:val="0"/>
                <w:sz w:val="18"/>
              </w:rPr>
              <w:t>2</w:t>
            </w:r>
            <w:r w:rsidRPr="00753B46">
              <w:rPr>
                <w:rFonts w:ascii="Arial Narrow" w:hAnsi="Arial Narrow" w:hint="eastAsia"/>
                <w:snapToGrid w:val="0"/>
                <w:kern w:val="0"/>
                <w:sz w:val="18"/>
              </w:rPr>
              <w:t>）重要缺陷：未依照公认会计准则选择和应用会计政策；未建立反舞弊程序和控制措施；对于非常规或特殊交易的账务处理没有建立相应的控制机制或没有实施且没有相应的补偿性控制；对于期末财务报告过程的控制存在一项或多项缺陷且不能合理保证编制的财务报表达到真实、准确、完整的目标。</w:t>
            </w:r>
          </w:p>
          <w:p w14:paraId="511D8886" w14:textId="7BFB38C1" w:rsidR="000668CD" w:rsidRPr="000668CD" w:rsidRDefault="00753B46" w:rsidP="00753B46">
            <w:pPr>
              <w:widowControl/>
              <w:adjustRightInd w:val="0"/>
              <w:snapToGrid w:val="0"/>
              <w:spacing w:line="240" w:lineRule="exact"/>
              <w:jc w:val="left"/>
              <w:rPr>
                <w:rFonts w:ascii="Arial Narrow" w:hAnsi="Arial Narrow"/>
                <w:snapToGrid w:val="0"/>
                <w:kern w:val="0"/>
                <w:sz w:val="18"/>
              </w:rPr>
            </w:pPr>
            <w:r w:rsidRPr="00753B46">
              <w:rPr>
                <w:rFonts w:ascii="Arial Narrow" w:hAnsi="Arial Narrow" w:hint="eastAsia"/>
                <w:snapToGrid w:val="0"/>
                <w:kern w:val="0"/>
                <w:sz w:val="18"/>
              </w:rPr>
              <w:t>（</w:t>
            </w:r>
            <w:r w:rsidRPr="00753B46">
              <w:rPr>
                <w:rFonts w:ascii="Arial Narrow" w:hAnsi="Arial Narrow" w:hint="eastAsia"/>
                <w:snapToGrid w:val="0"/>
                <w:kern w:val="0"/>
                <w:sz w:val="18"/>
              </w:rPr>
              <w:t>3</w:t>
            </w:r>
            <w:r w:rsidRPr="00753B46">
              <w:rPr>
                <w:rFonts w:ascii="Arial Narrow" w:hAnsi="Arial Narrow" w:hint="eastAsia"/>
                <w:snapToGrid w:val="0"/>
                <w:kern w:val="0"/>
                <w:sz w:val="18"/>
              </w:rPr>
              <w:t>）一般缺陷：除重大缺陷、重要缺陷外的其他不会对公司产生重大、重要影响的局部</w:t>
            </w:r>
            <w:proofErr w:type="gramStart"/>
            <w:r w:rsidRPr="00753B46">
              <w:rPr>
                <w:rFonts w:ascii="Arial Narrow" w:hAnsi="Arial Narrow" w:hint="eastAsia"/>
                <w:snapToGrid w:val="0"/>
                <w:kern w:val="0"/>
                <w:sz w:val="18"/>
              </w:rPr>
              <w:t>性普通</w:t>
            </w:r>
            <w:proofErr w:type="gramEnd"/>
            <w:r w:rsidRPr="00753B46">
              <w:rPr>
                <w:rFonts w:ascii="Arial Narrow" w:hAnsi="Arial Narrow" w:hint="eastAsia"/>
                <w:snapToGrid w:val="0"/>
                <w:kern w:val="0"/>
                <w:sz w:val="18"/>
              </w:rPr>
              <w:t>缺陷。</w:t>
            </w:r>
          </w:p>
        </w:tc>
        <w:tc>
          <w:tcPr>
            <w:tcW w:w="3067" w:type="dxa"/>
            <w:shd w:val="clear" w:color="auto" w:fill="auto"/>
            <w:vAlign w:val="center"/>
          </w:tcPr>
          <w:p w14:paraId="313144E1" w14:textId="77777777" w:rsidR="00753B46" w:rsidRPr="00753B46" w:rsidRDefault="00753B46" w:rsidP="00753B46">
            <w:pPr>
              <w:widowControl/>
              <w:adjustRightInd w:val="0"/>
              <w:snapToGrid w:val="0"/>
              <w:spacing w:line="240" w:lineRule="exact"/>
              <w:jc w:val="left"/>
              <w:rPr>
                <w:rFonts w:ascii="Arial Narrow" w:hAnsi="Arial Narrow"/>
                <w:snapToGrid w:val="0"/>
                <w:kern w:val="0"/>
                <w:sz w:val="18"/>
              </w:rPr>
            </w:pPr>
            <w:r w:rsidRPr="00753B46">
              <w:rPr>
                <w:rFonts w:ascii="Arial Narrow" w:hAnsi="Arial Narrow" w:hint="eastAsia"/>
                <w:snapToGrid w:val="0"/>
                <w:kern w:val="0"/>
                <w:sz w:val="18"/>
              </w:rPr>
              <w:t>（</w:t>
            </w:r>
            <w:r w:rsidRPr="00753B46">
              <w:rPr>
                <w:rFonts w:ascii="Arial Narrow" w:hAnsi="Arial Narrow" w:hint="eastAsia"/>
                <w:snapToGrid w:val="0"/>
                <w:kern w:val="0"/>
                <w:sz w:val="18"/>
              </w:rPr>
              <w:t>1</w:t>
            </w:r>
            <w:r w:rsidRPr="00753B46">
              <w:rPr>
                <w:rFonts w:ascii="Arial Narrow" w:hAnsi="Arial Narrow" w:hint="eastAsia"/>
                <w:snapToGrid w:val="0"/>
                <w:kern w:val="0"/>
                <w:sz w:val="18"/>
              </w:rPr>
              <w:t>）重大缺陷：决策程序导致重大失误；重要业务缺乏制度控制或系统性失效，且缺乏有效的补偿机制；中高级管理人员和高级技术人员流失严重；内部控制重大缺陷未及时有效整改；其他可能对公司产生重大负面影响的缺陷。</w:t>
            </w:r>
          </w:p>
          <w:p w14:paraId="4A2C3CA9" w14:textId="77777777" w:rsidR="00753B46" w:rsidRPr="00753B46" w:rsidRDefault="00753B46" w:rsidP="00753B46">
            <w:pPr>
              <w:widowControl/>
              <w:adjustRightInd w:val="0"/>
              <w:snapToGrid w:val="0"/>
              <w:spacing w:line="240" w:lineRule="exact"/>
              <w:jc w:val="left"/>
              <w:rPr>
                <w:rFonts w:ascii="Arial Narrow" w:hAnsi="Arial Narrow"/>
                <w:snapToGrid w:val="0"/>
                <w:kern w:val="0"/>
                <w:sz w:val="18"/>
              </w:rPr>
            </w:pPr>
            <w:r w:rsidRPr="00753B46">
              <w:rPr>
                <w:rFonts w:ascii="Arial Narrow" w:hAnsi="Arial Narrow" w:hint="eastAsia"/>
                <w:snapToGrid w:val="0"/>
                <w:kern w:val="0"/>
                <w:sz w:val="18"/>
              </w:rPr>
              <w:t>（</w:t>
            </w:r>
            <w:r w:rsidRPr="00753B46">
              <w:rPr>
                <w:rFonts w:ascii="Arial Narrow" w:hAnsi="Arial Narrow" w:hint="eastAsia"/>
                <w:snapToGrid w:val="0"/>
                <w:kern w:val="0"/>
                <w:sz w:val="18"/>
              </w:rPr>
              <w:t>2</w:t>
            </w:r>
            <w:r w:rsidRPr="00753B46">
              <w:rPr>
                <w:rFonts w:ascii="Arial Narrow" w:hAnsi="Arial Narrow" w:hint="eastAsia"/>
                <w:snapToGrid w:val="0"/>
                <w:kern w:val="0"/>
                <w:sz w:val="18"/>
              </w:rPr>
              <w:t>）重要缺陷：决策程序导致一般失误；重要业务控制制度存在缺陷；关键岗位业务人员流失严重；内部控制重要缺陷未及时有效整改；其他可能对公司产生较大负面影响的缺陷。</w:t>
            </w:r>
          </w:p>
          <w:p w14:paraId="750B4D73" w14:textId="1E1FFFD4" w:rsidR="000668CD" w:rsidRPr="000668CD" w:rsidRDefault="00753B46" w:rsidP="00753B46">
            <w:pPr>
              <w:widowControl/>
              <w:adjustRightInd w:val="0"/>
              <w:snapToGrid w:val="0"/>
              <w:spacing w:line="240" w:lineRule="exact"/>
              <w:jc w:val="left"/>
              <w:rPr>
                <w:rFonts w:ascii="Arial Narrow" w:hAnsi="Arial Narrow"/>
                <w:snapToGrid w:val="0"/>
                <w:kern w:val="0"/>
                <w:sz w:val="18"/>
              </w:rPr>
            </w:pPr>
            <w:r w:rsidRPr="00753B46">
              <w:rPr>
                <w:rFonts w:ascii="Arial Narrow" w:hAnsi="Arial Narrow" w:hint="eastAsia"/>
                <w:snapToGrid w:val="0"/>
                <w:kern w:val="0"/>
                <w:sz w:val="18"/>
              </w:rPr>
              <w:t>（</w:t>
            </w:r>
            <w:r w:rsidRPr="00753B46">
              <w:rPr>
                <w:rFonts w:ascii="Arial Narrow" w:hAnsi="Arial Narrow" w:hint="eastAsia"/>
                <w:snapToGrid w:val="0"/>
                <w:kern w:val="0"/>
                <w:sz w:val="18"/>
              </w:rPr>
              <w:t>3</w:t>
            </w:r>
            <w:r w:rsidRPr="00753B46">
              <w:rPr>
                <w:rFonts w:ascii="Arial Narrow" w:hAnsi="Arial Narrow" w:hint="eastAsia"/>
                <w:snapToGrid w:val="0"/>
                <w:kern w:val="0"/>
                <w:sz w:val="18"/>
              </w:rPr>
              <w:t>）一般缺陷：决策程序效率不高；一般业务制度控制存在缺陷；一般岗位人员流失严重；内部控制一般缺陷未及时有效整改。</w:t>
            </w:r>
          </w:p>
        </w:tc>
      </w:tr>
      <w:tr w:rsidR="000668CD" w:rsidRPr="000668CD" w14:paraId="6AC16ABB" w14:textId="77777777" w:rsidTr="009A6387">
        <w:trPr>
          <w:cantSplit/>
          <w:trHeight w:val="340"/>
        </w:trPr>
        <w:tc>
          <w:tcPr>
            <w:tcW w:w="1560" w:type="dxa"/>
            <w:shd w:val="clear" w:color="auto" w:fill="auto"/>
            <w:vAlign w:val="center"/>
          </w:tcPr>
          <w:p w14:paraId="218E9F9B" w14:textId="77777777" w:rsidR="000668CD" w:rsidRPr="000668CD" w:rsidRDefault="000668CD" w:rsidP="00EA43AA">
            <w:pPr>
              <w:widowControl/>
              <w:adjustRightInd w:val="0"/>
              <w:snapToGrid w:val="0"/>
              <w:spacing w:line="240" w:lineRule="exact"/>
              <w:jc w:val="left"/>
              <w:rPr>
                <w:rFonts w:ascii="Arial Narrow" w:hAnsi="Arial Narrow"/>
                <w:snapToGrid w:val="0"/>
                <w:kern w:val="0"/>
                <w:sz w:val="18"/>
              </w:rPr>
            </w:pPr>
            <w:r w:rsidRPr="000668CD">
              <w:rPr>
                <w:rFonts w:ascii="Arial Narrow" w:hAnsi="Arial Narrow" w:hint="eastAsia"/>
                <w:snapToGrid w:val="0"/>
                <w:kern w:val="0"/>
                <w:sz w:val="18"/>
              </w:rPr>
              <w:t>定量标准</w:t>
            </w:r>
          </w:p>
        </w:tc>
        <w:tc>
          <w:tcPr>
            <w:tcW w:w="3685" w:type="dxa"/>
            <w:shd w:val="clear" w:color="auto" w:fill="auto"/>
            <w:vAlign w:val="center"/>
          </w:tcPr>
          <w:p w14:paraId="6DE293F8" w14:textId="77777777" w:rsidR="00912B2B" w:rsidRDefault="000668CD" w:rsidP="00EA43AA">
            <w:pPr>
              <w:widowControl/>
              <w:adjustRightInd w:val="0"/>
              <w:snapToGrid w:val="0"/>
              <w:spacing w:line="240" w:lineRule="exact"/>
              <w:jc w:val="left"/>
              <w:rPr>
                <w:rFonts w:ascii="Arial Narrow" w:hAnsi="Arial Narrow"/>
                <w:snapToGrid w:val="0"/>
                <w:kern w:val="0"/>
                <w:sz w:val="18"/>
              </w:rPr>
            </w:pPr>
            <w:r w:rsidRPr="000668CD">
              <w:rPr>
                <w:rFonts w:ascii="Arial Narrow" w:hAnsi="Arial Narrow" w:hint="eastAsia"/>
                <w:snapToGrid w:val="0"/>
                <w:kern w:val="0"/>
                <w:sz w:val="18"/>
              </w:rPr>
              <w:t>公司以来自经常性业务的税前利润为判断财务报告错报（含漏报）重要性定量标准，具体如下：</w:t>
            </w:r>
          </w:p>
          <w:p w14:paraId="09C60AD3" w14:textId="77777777" w:rsidR="00912B2B" w:rsidRDefault="000668CD" w:rsidP="00EA43AA">
            <w:pPr>
              <w:widowControl/>
              <w:adjustRightInd w:val="0"/>
              <w:snapToGrid w:val="0"/>
              <w:spacing w:line="240" w:lineRule="exact"/>
              <w:jc w:val="left"/>
              <w:rPr>
                <w:rFonts w:ascii="Arial Narrow" w:hAnsi="Arial Narrow"/>
                <w:snapToGrid w:val="0"/>
                <w:kern w:val="0"/>
                <w:sz w:val="18"/>
              </w:rPr>
            </w:pPr>
            <w:r w:rsidRPr="000668CD">
              <w:rPr>
                <w:rFonts w:ascii="Arial Narrow" w:hAnsi="Arial Narrow"/>
                <w:snapToGrid w:val="0"/>
                <w:kern w:val="0"/>
                <w:sz w:val="18"/>
              </w:rPr>
              <w:t>重大缺陷：错报</w:t>
            </w:r>
            <w:r w:rsidRPr="000668CD">
              <w:rPr>
                <w:rFonts w:ascii="Arial Narrow" w:hAnsi="Arial Narrow"/>
                <w:snapToGrid w:val="0"/>
                <w:kern w:val="0"/>
                <w:sz w:val="18"/>
              </w:rPr>
              <w:t>≥</w:t>
            </w:r>
            <w:r w:rsidRPr="000668CD">
              <w:rPr>
                <w:rFonts w:ascii="Arial Narrow" w:hAnsi="Arial Narrow"/>
                <w:snapToGrid w:val="0"/>
                <w:kern w:val="0"/>
                <w:sz w:val="18"/>
              </w:rPr>
              <w:t>税前利润</w:t>
            </w:r>
            <w:r w:rsidRPr="000668CD">
              <w:rPr>
                <w:rFonts w:ascii="Arial Narrow" w:hAnsi="Arial Narrow"/>
                <w:snapToGrid w:val="0"/>
                <w:kern w:val="0"/>
                <w:sz w:val="18"/>
              </w:rPr>
              <w:t>5%</w:t>
            </w:r>
            <w:r w:rsidRPr="000668CD">
              <w:rPr>
                <w:rFonts w:ascii="Arial Narrow" w:hAnsi="Arial Narrow"/>
                <w:snapToGrid w:val="0"/>
                <w:kern w:val="0"/>
                <w:sz w:val="18"/>
              </w:rPr>
              <w:t>。</w:t>
            </w:r>
          </w:p>
          <w:p w14:paraId="535BA5C7" w14:textId="77777777" w:rsidR="00912B2B" w:rsidRDefault="000668CD" w:rsidP="00EA43AA">
            <w:pPr>
              <w:widowControl/>
              <w:adjustRightInd w:val="0"/>
              <w:snapToGrid w:val="0"/>
              <w:spacing w:line="240" w:lineRule="exact"/>
              <w:jc w:val="left"/>
              <w:rPr>
                <w:rFonts w:ascii="Arial Narrow" w:hAnsi="Arial Narrow"/>
                <w:snapToGrid w:val="0"/>
                <w:kern w:val="0"/>
                <w:sz w:val="18"/>
              </w:rPr>
            </w:pPr>
            <w:r w:rsidRPr="000668CD">
              <w:rPr>
                <w:rFonts w:ascii="Arial Narrow" w:hAnsi="Arial Narrow"/>
                <w:snapToGrid w:val="0"/>
                <w:kern w:val="0"/>
                <w:sz w:val="18"/>
              </w:rPr>
              <w:t>重要缺陷：税前利润</w:t>
            </w:r>
            <w:r w:rsidRPr="000668CD">
              <w:rPr>
                <w:rFonts w:ascii="Arial Narrow" w:hAnsi="Arial Narrow"/>
                <w:snapToGrid w:val="0"/>
                <w:kern w:val="0"/>
                <w:sz w:val="18"/>
              </w:rPr>
              <w:t>2%≤</w:t>
            </w:r>
            <w:r w:rsidRPr="000668CD">
              <w:rPr>
                <w:rFonts w:ascii="Arial Narrow" w:hAnsi="Arial Narrow"/>
                <w:snapToGrid w:val="0"/>
                <w:kern w:val="0"/>
                <w:sz w:val="18"/>
              </w:rPr>
              <w:t>错报＜税前利润</w:t>
            </w:r>
            <w:r w:rsidRPr="000668CD">
              <w:rPr>
                <w:rFonts w:ascii="Arial Narrow" w:hAnsi="Arial Narrow"/>
                <w:snapToGrid w:val="0"/>
                <w:kern w:val="0"/>
                <w:sz w:val="18"/>
              </w:rPr>
              <w:t>5%</w:t>
            </w:r>
            <w:r w:rsidRPr="000668CD">
              <w:rPr>
                <w:rFonts w:ascii="Arial Narrow" w:hAnsi="Arial Narrow"/>
                <w:snapToGrid w:val="0"/>
                <w:kern w:val="0"/>
                <w:sz w:val="18"/>
              </w:rPr>
              <w:t>。</w:t>
            </w:r>
          </w:p>
          <w:p w14:paraId="778DCB88" w14:textId="64C77836" w:rsidR="000668CD" w:rsidRPr="000668CD" w:rsidRDefault="000668CD" w:rsidP="00EA43AA">
            <w:pPr>
              <w:widowControl/>
              <w:adjustRightInd w:val="0"/>
              <w:snapToGrid w:val="0"/>
              <w:spacing w:line="240" w:lineRule="exact"/>
              <w:jc w:val="left"/>
              <w:rPr>
                <w:rFonts w:ascii="Arial Narrow" w:hAnsi="Arial Narrow"/>
                <w:snapToGrid w:val="0"/>
                <w:kern w:val="0"/>
                <w:sz w:val="18"/>
              </w:rPr>
            </w:pPr>
            <w:r w:rsidRPr="000668CD">
              <w:rPr>
                <w:rFonts w:ascii="Arial Narrow" w:hAnsi="Arial Narrow"/>
                <w:snapToGrid w:val="0"/>
                <w:kern w:val="0"/>
                <w:sz w:val="18"/>
              </w:rPr>
              <w:t>一般缺陷：错报＜税前利润</w:t>
            </w:r>
            <w:r w:rsidRPr="000668CD">
              <w:rPr>
                <w:rFonts w:ascii="Arial Narrow" w:hAnsi="Arial Narrow"/>
                <w:snapToGrid w:val="0"/>
                <w:kern w:val="0"/>
                <w:sz w:val="18"/>
              </w:rPr>
              <w:t>2%</w:t>
            </w:r>
            <w:r w:rsidRPr="000668CD">
              <w:rPr>
                <w:rFonts w:ascii="Arial Narrow" w:hAnsi="Arial Narrow"/>
                <w:snapToGrid w:val="0"/>
                <w:kern w:val="0"/>
                <w:sz w:val="18"/>
              </w:rPr>
              <w:t>。</w:t>
            </w:r>
          </w:p>
        </w:tc>
        <w:tc>
          <w:tcPr>
            <w:tcW w:w="3067" w:type="dxa"/>
            <w:shd w:val="clear" w:color="auto" w:fill="auto"/>
            <w:vAlign w:val="center"/>
          </w:tcPr>
          <w:p w14:paraId="763DC46E" w14:textId="77777777" w:rsidR="00912B2B" w:rsidRDefault="000668CD" w:rsidP="00EA43AA">
            <w:pPr>
              <w:widowControl/>
              <w:adjustRightInd w:val="0"/>
              <w:snapToGrid w:val="0"/>
              <w:spacing w:line="240" w:lineRule="exact"/>
              <w:jc w:val="left"/>
              <w:rPr>
                <w:rFonts w:ascii="Arial Narrow" w:hAnsi="Arial Narrow"/>
                <w:snapToGrid w:val="0"/>
                <w:kern w:val="0"/>
                <w:sz w:val="18"/>
              </w:rPr>
            </w:pPr>
            <w:r w:rsidRPr="000668CD">
              <w:rPr>
                <w:rFonts w:ascii="Arial Narrow" w:hAnsi="Arial Narrow" w:hint="eastAsia"/>
                <w:snapToGrid w:val="0"/>
                <w:kern w:val="0"/>
                <w:sz w:val="18"/>
              </w:rPr>
              <w:t>公司根据缺陷可能造成直接财产损失的绝对金额确定重要性标准，具体如下：</w:t>
            </w:r>
          </w:p>
          <w:p w14:paraId="6AAC2D1F" w14:textId="77777777" w:rsidR="00912B2B" w:rsidRDefault="000668CD" w:rsidP="00EA43AA">
            <w:pPr>
              <w:widowControl/>
              <w:adjustRightInd w:val="0"/>
              <w:snapToGrid w:val="0"/>
              <w:spacing w:line="240" w:lineRule="exact"/>
              <w:jc w:val="left"/>
              <w:rPr>
                <w:rFonts w:ascii="Arial Narrow" w:hAnsi="Arial Narrow"/>
                <w:snapToGrid w:val="0"/>
                <w:kern w:val="0"/>
                <w:sz w:val="18"/>
              </w:rPr>
            </w:pPr>
            <w:r w:rsidRPr="000668CD">
              <w:rPr>
                <w:rFonts w:ascii="Arial Narrow" w:hAnsi="Arial Narrow"/>
                <w:snapToGrid w:val="0"/>
                <w:kern w:val="0"/>
                <w:sz w:val="18"/>
              </w:rPr>
              <w:t>重大缺陷：损失</w:t>
            </w:r>
            <w:r w:rsidRPr="000668CD">
              <w:rPr>
                <w:rFonts w:ascii="Arial Narrow" w:hAnsi="Arial Narrow"/>
                <w:snapToGrid w:val="0"/>
                <w:kern w:val="0"/>
                <w:sz w:val="18"/>
              </w:rPr>
              <w:t>≥</w:t>
            </w:r>
            <w:r w:rsidRPr="000668CD">
              <w:rPr>
                <w:rFonts w:ascii="Arial Narrow" w:hAnsi="Arial Narrow"/>
                <w:snapToGrid w:val="0"/>
                <w:kern w:val="0"/>
                <w:sz w:val="18"/>
              </w:rPr>
              <w:t>税前利润</w:t>
            </w:r>
            <w:r w:rsidRPr="000668CD">
              <w:rPr>
                <w:rFonts w:ascii="Arial Narrow" w:hAnsi="Arial Narrow"/>
                <w:snapToGrid w:val="0"/>
                <w:kern w:val="0"/>
                <w:sz w:val="18"/>
              </w:rPr>
              <w:t>5%</w:t>
            </w:r>
            <w:r w:rsidRPr="000668CD">
              <w:rPr>
                <w:rFonts w:ascii="Arial Narrow" w:hAnsi="Arial Narrow"/>
                <w:snapToGrid w:val="0"/>
                <w:kern w:val="0"/>
                <w:sz w:val="18"/>
              </w:rPr>
              <w:t>。</w:t>
            </w:r>
          </w:p>
          <w:p w14:paraId="72A90D83" w14:textId="77777777" w:rsidR="00912B2B" w:rsidRDefault="000668CD" w:rsidP="00EA43AA">
            <w:pPr>
              <w:widowControl/>
              <w:adjustRightInd w:val="0"/>
              <w:snapToGrid w:val="0"/>
              <w:spacing w:line="240" w:lineRule="exact"/>
              <w:jc w:val="left"/>
              <w:rPr>
                <w:rFonts w:ascii="Arial Narrow" w:hAnsi="Arial Narrow"/>
                <w:snapToGrid w:val="0"/>
                <w:kern w:val="0"/>
                <w:sz w:val="18"/>
              </w:rPr>
            </w:pPr>
            <w:r w:rsidRPr="000668CD">
              <w:rPr>
                <w:rFonts w:ascii="Arial Narrow" w:hAnsi="Arial Narrow"/>
                <w:snapToGrid w:val="0"/>
                <w:kern w:val="0"/>
                <w:sz w:val="18"/>
              </w:rPr>
              <w:t>重要缺陷：税前利润</w:t>
            </w:r>
            <w:r w:rsidRPr="000668CD">
              <w:rPr>
                <w:rFonts w:ascii="Arial Narrow" w:hAnsi="Arial Narrow"/>
                <w:snapToGrid w:val="0"/>
                <w:kern w:val="0"/>
                <w:sz w:val="18"/>
              </w:rPr>
              <w:t>2%≤</w:t>
            </w:r>
            <w:r w:rsidRPr="000668CD">
              <w:rPr>
                <w:rFonts w:ascii="Arial Narrow" w:hAnsi="Arial Narrow"/>
                <w:snapToGrid w:val="0"/>
                <w:kern w:val="0"/>
                <w:sz w:val="18"/>
              </w:rPr>
              <w:t>损失＜税前利润</w:t>
            </w:r>
            <w:r w:rsidRPr="000668CD">
              <w:rPr>
                <w:rFonts w:ascii="Arial Narrow" w:hAnsi="Arial Narrow"/>
                <w:snapToGrid w:val="0"/>
                <w:kern w:val="0"/>
                <w:sz w:val="18"/>
              </w:rPr>
              <w:t>5%</w:t>
            </w:r>
            <w:r w:rsidRPr="000668CD">
              <w:rPr>
                <w:rFonts w:ascii="Arial Narrow" w:hAnsi="Arial Narrow"/>
                <w:snapToGrid w:val="0"/>
                <w:kern w:val="0"/>
                <w:sz w:val="18"/>
              </w:rPr>
              <w:t>。</w:t>
            </w:r>
          </w:p>
          <w:p w14:paraId="15C61286" w14:textId="7EFE08EB" w:rsidR="000668CD" w:rsidRPr="000668CD" w:rsidRDefault="000668CD" w:rsidP="00EA43AA">
            <w:pPr>
              <w:widowControl/>
              <w:adjustRightInd w:val="0"/>
              <w:snapToGrid w:val="0"/>
              <w:spacing w:line="240" w:lineRule="exact"/>
              <w:jc w:val="left"/>
              <w:rPr>
                <w:rFonts w:ascii="Arial Narrow" w:hAnsi="Arial Narrow"/>
                <w:snapToGrid w:val="0"/>
                <w:kern w:val="0"/>
                <w:sz w:val="18"/>
              </w:rPr>
            </w:pPr>
            <w:r w:rsidRPr="000668CD">
              <w:rPr>
                <w:rFonts w:ascii="Arial Narrow" w:hAnsi="Arial Narrow"/>
                <w:snapToGrid w:val="0"/>
                <w:kern w:val="0"/>
                <w:sz w:val="18"/>
              </w:rPr>
              <w:t>一般缺陷：损失＜税前利润</w:t>
            </w:r>
            <w:r w:rsidRPr="000668CD">
              <w:rPr>
                <w:rFonts w:ascii="Arial Narrow" w:hAnsi="Arial Narrow"/>
                <w:snapToGrid w:val="0"/>
                <w:kern w:val="0"/>
                <w:sz w:val="18"/>
              </w:rPr>
              <w:t>2%</w:t>
            </w:r>
            <w:r w:rsidRPr="000668CD">
              <w:rPr>
                <w:rFonts w:ascii="Arial Narrow" w:hAnsi="Arial Narrow"/>
                <w:snapToGrid w:val="0"/>
                <w:kern w:val="0"/>
                <w:sz w:val="18"/>
              </w:rPr>
              <w:t>。</w:t>
            </w:r>
          </w:p>
        </w:tc>
      </w:tr>
      <w:tr w:rsidR="000668CD" w:rsidRPr="000668CD" w14:paraId="44E1D8E4" w14:textId="77777777" w:rsidTr="009A6387">
        <w:trPr>
          <w:cantSplit/>
          <w:trHeight w:val="340"/>
        </w:trPr>
        <w:tc>
          <w:tcPr>
            <w:tcW w:w="1560" w:type="dxa"/>
            <w:shd w:val="clear" w:color="auto" w:fill="auto"/>
            <w:vAlign w:val="center"/>
          </w:tcPr>
          <w:p w14:paraId="19286FC9" w14:textId="77777777" w:rsidR="000668CD" w:rsidRPr="000668CD" w:rsidRDefault="000668CD" w:rsidP="00EA43AA">
            <w:pPr>
              <w:widowControl/>
              <w:adjustRightInd w:val="0"/>
              <w:snapToGrid w:val="0"/>
              <w:spacing w:line="240" w:lineRule="exact"/>
              <w:rPr>
                <w:rFonts w:ascii="Arial Narrow" w:hAnsi="Arial Narrow"/>
                <w:snapToGrid w:val="0"/>
                <w:kern w:val="0"/>
                <w:sz w:val="18"/>
              </w:rPr>
            </w:pPr>
            <w:r w:rsidRPr="000668CD">
              <w:rPr>
                <w:rFonts w:ascii="Arial Narrow" w:hAnsi="Arial Narrow" w:hint="eastAsia"/>
                <w:snapToGrid w:val="0"/>
                <w:kern w:val="0"/>
                <w:sz w:val="18"/>
              </w:rPr>
              <w:lastRenderedPageBreak/>
              <w:t>财务报告重大缺陷数量（</w:t>
            </w:r>
            <w:proofErr w:type="gramStart"/>
            <w:r w:rsidRPr="000668CD">
              <w:rPr>
                <w:rFonts w:ascii="Arial Narrow" w:hAnsi="Arial Narrow" w:hint="eastAsia"/>
                <w:snapToGrid w:val="0"/>
                <w:kern w:val="0"/>
                <w:sz w:val="18"/>
              </w:rPr>
              <w:t>个</w:t>
            </w:r>
            <w:proofErr w:type="gramEnd"/>
            <w:r w:rsidRPr="000668CD">
              <w:rPr>
                <w:rFonts w:ascii="Arial Narrow" w:hAnsi="Arial Narrow" w:hint="eastAsia"/>
                <w:snapToGrid w:val="0"/>
                <w:kern w:val="0"/>
                <w:sz w:val="18"/>
              </w:rPr>
              <w:t>）</w:t>
            </w:r>
          </w:p>
        </w:tc>
        <w:tc>
          <w:tcPr>
            <w:tcW w:w="6752" w:type="dxa"/>
            <w:gridSpan w:val="2"/>
            <w:shd w:val="clear" w:color="auto" w:fill="auto"/>
            <w:vAlign w:val="center"/>
          </w:tcPr>
          <w:p w14:paraId="3F55426B" w14:textId="77777777" w:rsidR="000668CD" w:rsidRPr="000668CD" w:rsidRDefault="000668CD" w:rsidP="00EA43AA">
            <w:pPr>
              <w:widowControl/>
              <w:adjustRightInd w:val="0"/>
              <w:snapToGrid w:val="0"/>
              <w:spacing w:line="240" w:lineRule="exact"/>
              <w:jc w:val="right"/>
              <w:rPr>
                <w:rFonts w:ascii="Arial Narrow" w:hAnsi="Arial Narrow"/>
                <w:snapToGrid w:val="0"/>
                <w:kern w:val="0"/>
                <w:sz w:val="18"/>
              </w:rPr>
            </w:pPr>
            <w:r w:rsidRPr="000668CD">
              <w:rPr>
                <w:rFonts w:ascii="Arial Narrow" w:hAnsi="Arial Narrow" w:hint="eastAsia"/>
                <w:snapToGrid w:val="0"/>
                <w:kern w:val="0"/>
                <w:sz w:val="18"/>
              </w:rPr>
              <w:t>0</w:t>
            </w:r>
          </w:p>
        </w:tc>
      </w:tr>
      <w:tr w:rsidR="000668CD" w:rsidRPr="000668CD" w14:paraId="6CD2C0D0" w14:textId="77777777" w:rsidTr="009A6387">
        <w:trPr>
          <w:cantSplit/>
          <w:trHeight w:val="340"/>
        </w:trPr>
        <w:tc>
          <w:tcPr>
            <w:tcW w:w="1560" w:type="dxa"/>
            <w:shd w:val="clear" w:color="auto" w:fill="auto"/>
            <w:vAlign w:val="center"/>
          </w:tcPr>
          <w:p w14:paraId="274A6A63" w14:textId="77777777" w:rsidR="000668CD" w:rsidRPr="000668CD" w:rsidRDefault="000668CD" w:rsidP="00EA43AA">
            <w:pPr>
              <w:widowControl/>
              <w:adjustRightInd w:val="0"/>
              <w:snapToGrid w:val="0"/>
              <w:spacing w:line="240" w:lineRule="exact"/>
              <w:rPr>
                <w:rFonts w:ascii="Arial Narrow" w:hAnsi="Arial Narrow"/>
                <w:snapToGrid w:val="0"/>
                <w:kern w:val="0"/>
                <w:sz w:val="18"/>
              </w:rPr>
            </w:pPr>
            <w:r w:rsidRPr="000668CD">
              <w:rPr>
                <w:rFonts w:ascii="Arial Narrow" w:hAnsi="Arial Narrow" w:hint="eastAsia"/>
                <w:snapToGrid w:val="0"/>
                <w:kern w:val="0"/>
                <w:sz w:val="18"/>
              </w:rPr>
              <w:t>非财务报告重大缺陷数量（</w:t>
            </w:r>
            <w:proofErr w:type="gramStart"/>
            <w:r w:rsidRPr="000668CD">
              <w:rPr>
                <w:rFonts w:ascii="Arial Narrow" w:hAnsi="Arial Narrow" w:hint="eastAsia"/>
                <w:snapToGrid w:val="0"/>
                <w:kern w:val="0"/>
                <w:sz w:val="18"/>
              </w:rPr>
              <w:t>个</w:t>
            </w:r>
            <w:proofErr w:type="gramEnd"/>
            <w:r w:rsidRPr="000668CD">
              <w:rPr>
                <w:rFonts w:ascii="Arial Narrow" w:hAnsi="Arial Narrow" w:hint="eastAsia"/>
                <w:snapToGrid w:val="0"/>
                <w:kern w:val="0"/>
                <w:sz w:val="18"/>
              </w:rPr>
              <w:t>）</w:t>
            </w:r>
          </w:p>
        </w:tc>
        <w:tc>
          <w:tcPr>
            <w:tcW w:w="6752" w:type="dxa"/>
            <w:gridSpan w:val="2"/>
            <w:shd w:val="clear" w:color="auto" w:fill="auto"/>
            <w:vAlign w:val="center"/>
          </w:tcPr>
          <w:p w14:paraId="6CE01D59" w14:textId="77777777" w:rsidR="000668CD" w:rsidRPr="000668CD" w:rsidRDefault="000668CD" w:rsidP="00EA43AA">
            <w:pPr>
              <w:widowControl/>
              <w:adjustRightInd w:val="0"/>
              <w:snapToGrid w:val="0"/>
              <w:spacing w:line="240" w:lineRule="exact"/>
              <w:jc w:val="right"/>
              <w:rPr>
                <w:rFonts w:ascii="Arial Narrow" w:hAnsi="Arial Narrow"/>
                <w:snapToGrid w:val="0"/>
                <w:kern w:val="0"/>
                <w:sz w:val="18"/>
              </w:rPr>
            </w:pPr>
            <w:r w:rsidRPr="000668CD">
              <w:rPr>
                <w:rFonts w:ascii="Arial Narrow" w:hAnsi="Arial Narrow" w:hint="eastAsia"/>
                <w:snapToGrid w:val="0"/>
                <w:kern w:val="0"/>
                <w:sz w:val="18"/>
              </w:rPr>
              <w:t>0</w:t>
            </w:r>
          </w:p>
        </w:tc>
      </w:tr>
      <w:tr w:rsidR="000668CD" w:rsidRPr="000668CD" w14:paraId="04EA77FB" w14:textId="77777777" w:rsidTr="009A6387">
        <w:trPr>
          <w:cantSplit/>
          <w:trHeight w:val="340"/>
        </w:trPr>
        <w:tc>
          <w:tcPr>
            <w:tcW w:w="1560" w:type="dxa"/>
            <w:shd w:val="clear" w:color="auto" w:fill="auto"/>
            <w:vAlign w:val="center"/>
          </w:tcPr>
          <w:p w14:paraId="6C3BD18A" w14:textId="77777777" w:rsidR="000668CD" w:rsidRPr="000668CD" w:rsidRDefault="000668CD" w:rsidP="00EA43AA">
            <w:pPr>
              <w:widowControl/>
              <w:adjustRightInd w:val="0"/>
              <w:snapToGrid w:val="0"/>
              <w:spacing w:line="240" w:lineRule="exact"/>
              <w:rPr>
                <w:rFonts w:ascii="Arial Narrow" w:hAnsi="Arial Narrow"/>
                <w:snapToGrid w:val="0"/>
                <w:kern w:val="0"/>
                <w:sz w:val="18"/>
              </w:rPr>
            </w:pPr>
            <w:r w:rsidRPr="000668CD">
              <w:rPr>
                <w:rFonts w:ascii="Arial Narrow" w:hAnsi="Arial Narrow" w:hint="eastAsia"/>
                <w:snapToGrid w:val="0"/>
                <w:kern w:val="0"/>
                <w:sz w:val="18"/>
              </w:rPr>
              <w:t>财务报告重要缺陷数量（</w:t>
            </w:r>
            <w:proofErr w:type="gramStart"/>
            <w:r w:rsidRPr="000668CD">
              <w:rPr>
                <w:rFonts w:ascii="Arial Narrow" w:hAnsi="Arial Narrow" w:hint="eastAsia"/>
                <w:snapToGrid w:val="0"/>
                <w:kern w:val="0"/>
                <w:sz w:val="18"/>
              </w:rPr>
              <w:t>个</w:t>
            </w:r>
            <w:proofErr w:type="gramEnd"/>
            <w:r w:rsidRPr="000668CD">
              <w:rPr>
                <w:rFonts w:ascii="Arial Narrow" w:hAnsi="Arial Narrow" w:hint="eastAsia"/>
                <w:snapToGrid w:val="0"/>
                <w:kern w:val="0"/>
                <w:sz w:val="18"/>
              </w:rPr>
              <w:t>）</w:t>
            </w:r>
          </w:p>
        </w:tc>
        <w:tc>
          <w:tcPr>
            <w:tcW w:w="6752" w:type="dxa"/>
            <w:gridSpan w:val="2"/>
            <w:shd w:val="clear" w:color="auto" w:fill="auto"/>
            <w:vAlign w:val="center"/>
          </w:tcPr>
          <w:p w14:paraId="4DE27D37" w14:textId="77777777" w:rsidR="000668CD" w:rsidRPr="000668CD" w:rsidRDefault="000668CD" w:rsidP="00EA43AA">
            <w:pPr>
              <w:widowControl/>
              <w:adjustRightInd w:val="0"/>
              <w:snapToGrid w:val="0"/>
              <w:spacing w:line="240" w:lineRule="exact"/>
              <w:jc w:val="right"/>
              <w:rPr>
                <w:rFonts w:ascii="Arial Narrow" w:hAnsi="Arial Narrow"/>
                <w:snapToGrid w:val="0"/>
                <w:kern w:val="0"/>
                <w:sz w:val="18"/>
              </w:rPr>
            </w:pPr>
            <w:r w:rsidRPr="000668CD">
              <w:rPr>
                <w:rFonts w:ascii="Arial Narrow" w:hAnsi="Arial Narrow" w:hint="eastAsia"/>
                <w:snapToGrid w:val="0"/>
                <w:kern w:val="0"/>
                <w:sz w:val="18"/>
              </w:rPr>
              <w:t>0</w:t>
            </w:r>
          </w:p>
        </w:tc>
      </w:tr>
      <w:tr w:rsidR="000668CD" w:rsidRPr="000668CD" w14:paraId="234ED7C7" w14:textId="77777777" w:rsidTr="009A6387">
        <w:trPr>
          <w:cantSplit/>
          <w:trHeight w:val="340"/>
        </w:trPr>
        <w:tc>
          <w:tcPr>
            <w:tcW w:w="1560" w:type="dxa"/>
            <w:shd w:val="clear" w:color="auto" w:fill="auto"/>
            <w:vAlign w:val="center"/>
          </w:tcPr>
          <w:p w14:paraId="32099939" w14:textId="77777777" w:rsidR="000668CD" w:rsidRPr="000668CD" w:rsidRDefault="000668CD" w:rsidP="00EA43AA">
            <w:pPr>
              <w:widowControl/>
              <w:adjustRightInd w:val="0"/>
              <w:snapToGrid w:val="0"/>
              <w:spacing w:line="240" w:lineRule="exact"/>
              <w:rPr>
                <w:rFonts w:ascii="Arial Narrow" w:hAnsi="Arial Narrow"/>
                <w:snapToGrid w:val="0"/>
                <w:kern w:val="0"/>
                <w:sz w:val="18"/>
              </w:rPr>
            </w:pPr>
            <w:r w:rsidRPr="000668CD">
              <w:rPr>
                <w:rFonts w:ascii="Arial Narrow" w:hAnsi="Arial Narrow" w:hint="eastAsia"/>
                <w:snapToGrid w:val="0"/>
                <w:kern w:val="0"/>
                <w:sz w:val="18"/>
              </w:rPr>
              <w:t>非财务报告重要缺陷数量（</w:t>
            </w:r>
            <w:proofErr w:type="gramStart"/>
            <w:r w:rsidRPr="000668CD">
              <w:rPr>
                <w:rFonts w:ascii="Arial Narrow" w:hAnsi="Arial Narrow" w:hint="eastAsia"/>
                <w:snapToGrid w:val="0"/>
                <w:kern w:val="0"/>
                <w:sz w:val="18"/>
              </w:rPr>
              <w:t>个</w:t>
            </w:r>
            <w:proofErr w:type="gramEnd"/>
            <w:r w:rsidRPr="000668CD">
              <w:rPr>
                <w:rFonts w:ascii="Arial Narrow" w:hAnsi="Arial Narrow" w:hint="eastAsia"/>
                <w:snapToGrid w:val="0"/>
                <w:kern w:val="0"/>
                <w:sz w:val="18"/>
              </w:rPr>
              <w:t>）</w:t>
            </w:r>
          </w:p>
        </w:tc>
        <w:tc>
          <w:tcPr>
            <w:tcW w:w="6752" w:type="dxa"/>
            <w:gridSpan w:val="2"/>
            <w:shd w:val="clear" w:color="auto" w:fill="auto"/>
            <w:vAlign w:val="center"/>
          </w:tcPr>
          <w:p w14:paraId="3547ECA9" w14:textId="77777777" w:rsidR="000668CD" w:rsidRPr="000668CD" w:rsidRDefault="000668CD" w:rsidP="00EA43AA">
            <w:pPr>
              <w:widowControl/>
              <w:adjustRightInd w:val="0"/>
              <w:snapToGrid w:val="0"/>
              <w:spacing w:line="240" w:lineRule="exact"/>
              <w:jc w:val="right"/>
              <w:rPr>
                <w:rFonts w:ascii="Arial Narrow" w:hAnsi="Arial Narrow"/>
                <w:snapToGrid w:val="0"/>
                <w:kern w:val="0"/>
                <w:sz w:val="18"/>
              </w:rPr>
            </w:pPr>
            <w:r w:rsidRPr="000668CD">
              <w:rPr>
                <w:rFonts w:ascii="Arial Narrow" w:hAnsi="Arial Narrow" w:hint="eastAsia"/>
                <w:snapToGrid w:val="0"/>
                <w:kern w:val="0"/>
                <w:sz w:val="18"/>
              </w:rPr>
              <w:t>0</w:t>
            </w:r>
          </w:p>
        </w:tc>
      </w:tr>
    </w:tbl>
    <w:p w14:paraId="22B8B29B" w14:textId="04F98F59" w:rsidR="000668CD" w:rsidRPr="000668CD" w:rsidRDefault="000668CD" w:rsidP="00AE6443">
      <w:pPr>
        <w:widowControl/>
        <w:spacing w:beforeLines="50" w:before="156" w:line="360" w:lineRule="auto"/>
        <w:ind w:firstLineChars="200" w:firstLine="422"/>
        <w:outlineLvl w:val="2"/>
        <w:rPr>
          <w:rFonts w:ascii="宋体" w:hAnsi="宋体" w:hint="eastAsia"/>
          <w:b/>
          <w:bCs/>
          <w:kern w:val="0"/>
        </w:rPr>
      </w:pPr>
      <w:r w:rsidRPr="000668CD">
        <w:rPr>
          <w:rFonts w:ascii="宋体" w:hAnsi="宋体" w:hint="eastAsia"/>
          <w:b/>
          <w:bCs/>
          <w:kern w:val="0"/>
        </w:rPr>
        <w:t>（三）</w:t>
      </w:r>
      <w:r w:rsidR="00753B46" w:rsidRPr="00753B46">
        <w:rPr>
          <w:rFonts w:ascii="宋体" w:hAnsi="宋体" w:hint="eastAsia"/>
          <w:b/>
          <w:bCs/>
          <w:kern w:val="0"/>
        </w:rPr>
        <w:t>报告期内公司内部控制缺陷认定及整改情况</w:t>
      </w:r>
    </w:p>
    <w:p w14:paraId="0210667D" w14:textId="77777777" w:rsidR="00753B46" w:rsidRPr="00753B46" w:rsidRDefault="00753B46" w:rsidP="00AE6443">
      <w:pPr>
        <w:widowControl/>
        <w:spacing w:line="360" w:lineRule="auto"/>
        <w:ind w:firstLineChars="200" w:firstLine="422"/>
        <w:outlineLvl w:val="3"/>
        <w:rPr>
          <w:rFonts w:ascii="宋体" w:hAnsi="宋体" w:hint="eastAsia"/>
          <w:b/>
          <w:bCs/>
          <w:kern w:val="0"/>
        </w:rPr>
      </w:pPr>
      <w:r w:rsidRPr="00753B46">
        <w:rPr>
          <w:rFonts w:ascii="宋体" w:hAnsi="宋体" w:hint="eastAsia"/>
          <w:b/>
          <w:bCs/>
          <w:kern w:val="0"/>
        </w:rPr>
        <w:t>1、财务报告内部控制缺陷认定及整改情况</w:t>
      </w:r>
    </w:p>
    <w:p w14:paraId="4A387205" w14:textId="77777777" w:rsidR="00753B46" w:rsidRPr="00753B46" w:rsidRDefault="00753B46" w:rsidP="00753B46">
      <w:pPr>
        <w:widowControl/>
        <w:spacing w:line="360" w:lineRule="auto"/>
        <w:ind w:firstLineChars="200" w:firstLine="420"/>
        <w:rPr>
          <w:rFonts w:ascii="宋体" w:hAnsi="宋体" w:hint="eastAsia"/>
          <w:kern w:val="0"/>
        </w:rPr>
      </w:pPr>
      <w:r w:rsidRPr="00753B46">
        <w:rPr>
          <w:rFonts w:ascii="宋体" w:hAnsi="宋体" w:hint="eastAsia"/>
          <w:kern w:val="0"/>
        </w:rPr>
        <w:t>根据上述财务报告内部控制缺陷的认定标准，报告期内公司不存在财务报告内部控制重大缺陷、重要缺陷。</w:t>
      </w:r>
    </w:p>
    <w:p w14:paraId="727B14E3" w14:textId="77777777" w:rsidR="00753B46" w:rsidRPr="00753B46" w:rsidRDefault="00753B46" w:rsidP="00AE6443">
      <w:pPr>
        <w:widowControl/>
        <w:spacing w:line="360" w:lineRule="auto"/>
        <w:ind w:firstLineChars="200" w:firstLine="422"/>
        <w:outlineLvl w:val="3"/>
        <w:rPr>
          <w:rFonts w:ascii="宋体" w:hAnsi="宋体" w:hint="eastAsia"/>
          <w:b/>
          <w:bCs/>
          <w:kern w:val="0"/>
        </w:rPr>
      </w:pPr>
      <w:r w:rsidRPr="00753B46">
        <w:rPr>
          <w:rFonts w:ascii="宋体" w:hAnsi="宋体" w:hint="eastAsia"/>
          <w:b/>
          <w:bCs/>
          <w:kern w:val="0"/>
        </w:rPr>
        <w:t>2、非财务报告内部控制缺陷认定及整改情况</w:t>
      </w:r>
    </w:p>
    <w:p w14:paraId="45EB78E6" w14:textId="77777777" w:rsidR="00753B46" w:rsidRDefault="00753B46" w:rsidP="00753B46">
      <w:pPr>
        <w:widowControl/>
        <w:spacing w:line="360" w:lineRule="auto"/>
        <w:ind w:firstLineChars="200" w:firstLine="420"/>
        <w:rPr>
          <w:rFonts w:ascii="宋体" w:hAnsi="宋体" w:hint="eastAsia"/>
          <w:kern w:val="0"/>
        </w:rPr>
      </w:pPr>
      <w:r w:rsidRPr="00753B46">
        <w:rPr>
          <w:rFonts w:ascii="宋体" w:hAnsi="宋体" w:hint="eastAsia"/>
          <w:kern w:val="0"/>
        </w:rPr>
        <w:t>根据上述非财务报告内部控制缺陷的认定标准，报告期内未发现公司非财务报告内部控制重大缺陷、重要缺陷。</w:t>
      </w:r>
    </w:p>
    <w:p w14:paraId="38EDAA87" w14:textId="38F7F0BF" w:rsidR="000668CD" w:rsidRPr="000668CD" w:rsidRDefault="00753B46" w:rsidP="00AE6443">
      <w:pPr>
        <w:widowControl/>
        <w:spacing w:beforeLines="100" w:before="312" w:line="360" w:lineRule="auto"/>
        <w:ind w:firstLineChars="200" w:firstLine="422"/>
        <w:outlineLvl w:val="1"/>
        <w:rPr>
          <w:rFonts w:ascii="宋体" w:hAnsi="宋体" w:hint="eastAsia"/>
          <w:b/>
          <w:kern w:val="0"/>
        </w:rPr>
      </w:pPr>
      <w:r>
        <w:rPr>
          <w:rFonts w:ascii="宋体" w:hAnsi="宋体" w:hint="eastAsia"/>
          <w:b/>
          <w:kern w:val="0"/>
        </w:rPr>
        <w:t>四</w:t>
      </w:r>
      <w:r w:rsidR="000668CD" w:rsidRPr="000668CD">
        <w:rPr>
          <w:rFonts w:ascii="宋体" w:hAnsi="宋体" w:hint="eastAsia"/>
          <w:b/>
          <w:kern w:val="0"/>
        </w:rPr>
        <w:t>、</w:t>
      </w:r>
      <w:r w:rsidRPr="00753B46">
        <w:rPr>
          <w:rFonts w:ascii="宋体" w:hAnsi="宋体" w:hint="eastAsia"/>
          <w:b/>
          <w:kern w:val="0"/>
        </w:rPr>
        <w:t>其他内部控制相关重大事项说明</w:t>
      </w:r>
    </w:p>
    <w:p w14:paraId="10B3D7B6" w14:textId="2C9CE13C" w:rsidR="000668CD" w:rsidRPr="000668CD" w:rsidRDefault="000668CD" w:rsidP="000668CD">
      <w:pPr>
        <w:widowControl/>
        <w:spacing w:line="360" w:lineRule="auto"/>
        <w:ind w:firstLineChars="200" w:firstLine="420"/>
        <w:rPr>
          <w:rFonts w:ascii="宋体" w:hAnsi="宋体" w:hint="eastAsia"/>
          <w:kern w:val="0"/>
        </w:rPr>
      </w:pPr>
      <w:r w:rsidRPr="000668CD">
        <w:rPr>
          <w:rFonts w:ascii="宋体" w:hAnsi="宋体" w:hint="eastAsia"/>
          <w:kern w:val="0"/>
        </w:rPr>
        <w:t>综上所述，公司认为根据财政部《企业内部控制基本规范》和相关规定，公司与财务报表相关的内部控制于202</w:t>
      </w:r>
      <w:r w:rsidR="00F9602F">
        <w:rPr>
          <w:rFonts w:ascii="宋体" w:hAnsi="宋体" w:hint="eastAsia"/>
          <w:kern w:val="0"/>
        </w:rPr>
        <w:t>4</w:t>
      </w:r>
      <w:r w:rsidRPr="000668CD">
        <w:rPr>
          <w:rFonts w:ascii="宋体" w:hAnsi="宋体" w:hint="eastAsia"/>
          <w:kern w:val="0"/>
        </w:rPr>
        <w:t>年12月31日在所有重大方面是有效的。</w:t>
      </w:r>
    </w:p>
    <w:p w14:paraId="5E670C59" w14:textId="0C420590" w:rsidR="000668CD" w:rsidRPr="000668CD" w:rsidRDefault="000668CD" w:rsidP="000668CD">
      <w:pPr>
        <w:widowControl/>
        <w:spacing w:line="360" w:lineRule="auto"/>
        <w:rPr>
          <w:rFonts w:ascii="宋体" w:hAnsi="宋体" w:hint="eastAsia"/>
          <w:kern w:val="0"/>
        </w:rPr>
      </w:pPr>
    </w:p>
    <w:p w14:paraId="3251AB1E" w14:textId="77777777" w:rsidR="000668CD" w:rsidRPr="000668CD" w:rsidRDefault="000668CD" w:rsidP="000668CD">
      <w:pPr>
        <w:widowControl/>
        <w:spacing w:line="360" w:lineRule="auto"/>
        <w:rPr>
          <w:rFonts w:ascii="宋体" w:hAnsi="宋体" w:hint="eastAsia"/>
          <w:kern w:val="0"/>
        </w:rPr>
      </w:pPr>
    </w:p>
    <w:p w14:paraId="021E7040" w14:textId="77777777" w:rsidR="000668CD" w:rsidRPr="000668CD" w:rsidRDefault="000668CD" w:rsidP="000668CD">
      <w:pPr>
        <w:widowControl/>
        <w:spacing w:line="360" w:lineRule="auto"/>
        <w:rPr>
          <w:rFonts w:ascii="宋体" w:hAnsi="宋体" w:hint="eastAsia"/>
          <w:kern w:val="0"/>
        </w:rPr>
      </w:pPr>
    </w:p>
    <w:p w14:paraId="71A8BC34" w14:textId="6A7738B1" w:rsidR="000668CD" w:rsidRPr="000668CD" w:rsidRDefault="000668CD" w:rsidP="00912B2B">
      <w:pPr>
        <w:widowControl/>
        <w:spacing w:line="360" w:lineRule="auto"/>
        <w:jc w:val="right"/>
        <w:rPr>
          <w:rFonts w:ascii="宋体" w:hAnsi="宋体" w:hint="eastAsia"/>
          <w:b/>
          <w:bCs/>
          <w:kern w:val="0"/>
        </w:rPr>
      </w:pPr>
      <w:r w:rsidRPr="000668CD">
        <w:rPr>
          <w:rFonts w:ascii="宋体" w:hAnsi="宋体" w:hint="eastAsia"/>
          <w:b/>
          <w:bCs/>
          <w:kern w:val="0"/>
        </w:rPr>
        <w:t>福建广生堂药业股份有限公司</w:t>
      </w:r>
    </w:p>
    <w:p w14:paraId="7148FD04" w14:textId="782AA5D3" w:rsidR="000668CD" w:rsidRPr="000668CD" w:rsidRDefault="000668CD" w:rsidP="00912B2B">
      <w:pPr>
        <w:widowControl/>
        <w:spacing w:line="360" w:lineRule="auto"/>
        <w:ind w:right="844"/>
        <w:jc w:val="right"/>
        <w:rPr>
          <w:rFonts w:ascii="宋体" w:hAnsi="宋体" w:hint="eastAsia"/>
          <w:b/>
          <w:bCs/>
          <w:kern w:val="0"/>
        </w:rPr>
      </w:pPr>
      <w:r w:rsidRPr="000668CD">
        <w:rPr>
          <w:rFonts w:ascii="宋体" w:hAnsi="宋体" w:hint="eastAsia"/>
          <w:b/>
          <w:bCs/>
          <w:kern w:val="0"/>
        </w:rPr>
        <w:t>董事会</w:t>
      </w:r>
    </w:p>
    <w:p w14:paraId="181F7279" w14:textId="67D902C7" w:rsidR="000668CD" w:rsidRPr="000668CD" w:rsidRDefault="000668CD" w:rsidP="00912B2B">
      <w:pPr>
        <w:widowControl/>
        <w:spacing w:line="360" w:lineRule="auto"/>
        <w:ind w:right="211"/>
        <w:jc w:val="right"/>
        <w:rPr>
          <w:rFonts w:ascii="宋体" w:hAnsi="宋体" w:hint="eastAsia"/>
          <w:b/>
          <w:bCs/>
          <w:kern w:val="0"/>
        </w:rPr>
      </w:pPr>
      <w:r w:rsidRPr="000668CD">
        <w:rPr>
          <w:rFonts w:ascii="宋体" w:hAnsi="宋体" w:hint="eastAsia"/>
          <w:b/>
          <w:bCs/>
          <w:kern w:val="0"/>
        </w:rPr>
        <w:t>二○二</w:t>
      </w:r>
      <w:r w:rsidR="00D03F86">
        <w:rPr>
          <w:rFonts w:ascii="宋体" w:hAnsi="宋体" w:hint="eastAsia"/>
          <w:b/>
          <w:bCs/>
          <w:kern w:val="0"/>
        </w:rPr>
        <w:t>五</w:t>
      </w:r>
      <w:r w:rsidRPr="000668CD">
        <w:rPr>
          <w:rFonts w:ascii="宋体" w:hAnsi="宋体" w:hint="eastAsia"/>
          <w:b/>
          <w:bCs/>
          <w:kern w:val="0"/>
        </w:rPr>
        <w:t>年四月十</w:t>
      </w:r>
      <w:r w:rsidR="005D38BE">
        <w:rPr>
          <w:rFonts w:ascii="宋体" w:hAnsi="宋体" w:hint="eastAsia"/>
          <w:b/>
          <w:bCs/>
          <w:kern w:val="0"/>
        </w:rPr>
        <w:t>六</w:t>
      </w:r>
      <w:r w:rsidRPr="000668CD">
        <w:rPr>
          <w:rFonts w:ascii="宋体" w:hAnsi="宋体" w:hint="eastAsia"/>
          <w:b/>
          <w:bCs/>
          <w:kern w:val="0"/>
        </w:rPr>
        <w:t>日</w:t>
      </w:r>
    </w:p>
    <w:p w14:paraId="2E4AEB22" w14:textId="77777777" w:rsidR="006A3DEB" w:rsidRPr="000668CD" w:rsidRDefault="006A3DEB" w:rsidP="005B1C3E">
      <w:pPr>
        <w:snapToGrid w:val="0"/>
        <w:spacing w:line="360" w:lineRule="auto"/>
        <w:rPr>
          <w:rFonts w:ascii="宋体" w:hAnsi="宋体" w:hint="eastAsia"/>
          <w:color w:val="000000"/>
        </w:rPr>
      </w:pPr>
    </w:p>
    <w:sectPr w:rsidR="006A3DEB" w:rsidRPr="000668CD">
      <w:headerReference w:type="even" r:id="rId7"/>
      <w:headerReference w:type="default" r:id="rId8"/>
      <w:footerReference w:type="default" r:id="rId9"/>
      <w:headerReference w:type="first" r:id="rId10"/>
      <w:pgSz w:w="11906" w:h="16838"/>
      <w:pgMar w:top="2155"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2031" w14:textId="77777777" w:rsidR="00594280" w:rsidRDefault="00594280">
      <w:r>
        <w:separator/>
      </w:r>
    </w:p>
  </w:endnote>
  <w:endnote w:type="continuationSeparator" w:id="0">
    <w:p w14:paraId="788F1D5E" w14:textId="77777777" w:rsidR="00594280" w:rsidRDefault="0059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621B" w14:textId="77777777" w:rsidR="006A3DEB" w:rsidRDefault="006A3DEB">
    <w:pPr>
      <w:pStyle w:val="ac"/>
      <w:jc w:val="center"/>
      <w:rPr>
        <w:color w:val="000000"/>
      </w:rPr>
    </w:pPr>
    <w:r>
      <w:rPr>
        <w:rFonts w:ascii="宋体" w:hAnsi="宋体" w:hint="eastAsia"/>
        <w:color w:val="000000"/>
      </w:rPr>
      <w:t>内部控制自我评价报告 第</w:t>
    </w:r>
    <w:r>
      <w:rPr>
        <w:color w:val="000000"/>
      </w:rPr>
      <w:fldChar w:fldCharType="begin"/>
    </w:r>
    <w:r>
      <w:rPr>
        <w:color w:val="000000"/>
      </w:rPr>
      <w:instrText>PAGE   \* MERGEFORMAT</w:instrText>
    </w:r>
    <w:r>
      <w:rPr>
        <w:color w:val="000000"/>
      </w:rPr>
      <w:fldChar w:fldCharType="separate"/>
    </w:r>
    <w:r w:rsidR="002C5FAA" w:rsidRPr="002C5FAA">
      <w:rPr>
        <w:noProof/>
        <w:color w:val="000000"/>
        <w:lang w:val="zh-CN"/>
      </w:rPr>
      <w:t>4</w:t>
    </w:r>
    <w:r>
      <w:rPr>
        <w:color w:val="000000"/>
      </w:rPr>
      <w:fldChar w:fldCharType="end"/>
    </w:r>
    <w:r>
      <w:rPr>
        <w:rFonts w:hint="eastAsia"/>
        <w:color w:val="000000"/>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41B50" w14:textId="77777777" w:rsidR="00594280" w:rsidRDefault="00594280">
      <w:r>
        <w:separator/>
      </w:r>
    </w:p>
  </w:footnote>
  <w:footnote w:type="continuationSeparator" w:id="0">
    <w:p w14:paraId="29C26E28" w14:textId="77777777" w:rsidR="00594280" w:rsidRDefault="0059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70C1" w14:textId="77777777" w:rsidR="006A3DEB" w:rsidRDefault="006A3D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04EC" w14:textId="77777777" w:rsidR="00912B2B" w:rsidRPr="00912B2B" w:rsidRDefault="00912B2B" w:rsidP="00912B2B">
    <w:pPr>
      <w:jc w:val="left"/>
      <w:rPr>
        <w:rFonts w:ascii="宋体" w:hAnsi="宋体" w:cs="Arial" w:hint="eastAsia"/>
        <w:bCs/>
        <w:kern w:val="0"/>
        <w:sz w:val="18"/>
        <w:szCs w:val="18"/>
      </w:rPr>
    </w:pPr>
    <w:r w:rsidRPr="00912B2B">
      <w:rPr>
        <w:rFonts w:ascii="宋体" w:hAnsi="宋体" w:cs="Arial" w:hint="eastAsia"/>
        <w:bCs/>
        <w:kern w:val="0"/>
        <w:sz w:val="18"/>
        <w:szCs w:val="18"/>
      </w:rPr>
      <w:t>福建广生堂药业股份有限公司</w:t>
    </w:r>
  </w:p>
  <w:p w14:paraId="7BB1DF84" w14:textId="0ABE2D44" w:rsidR="00912B2B" w:rsidRDefault="00912B2B" w:rsidP="00912B2B">
    <w:pPr>
      <w:jc w:val="left"/>
      <w:rPr>
        <w:rFonts w:ascii="宋体" w:hAnsi="宋体" w:cs="Arial" w:hint="eastAsia"/>
        <w:bCs/>
        <w:kern w:val="0"/>
        <w:sz w:val="18"/>
        <w:szCs w:val="18"/>
      </w:rPr>
    </w:pPr>
    <w:r w:rsidRPr="00912B2B">
      <w:rPr>
        <w:rFonts w:ascii="宋体" w:hAnsi="宋体" w:cs="Arial" w:hint="eastAsia"/>
        <w:bCs/>
        <w:kern w:val="0"/>
        <w:sz w:val="18"/>
        <w:szCs w:val="18"/>
      </w:rPr>
      <w:t>2</w:t>
    </w:r>
    <w:r w:rsidRPr="00912B2B">
      <w:rPr>
        <w:rFonts w:ascii="宋体" w:hAnsi="宋体" w:cs="Arial"/>
        <w:bCs/>
        <w:kern w:val="0"/>
        <w:sz w:val="18"/>
        <w:szCs w:val="18"/>
      </w:rPr>
      <w:t>02</w:t>
    </w:r>
    <w:r w:rsidR="00D03F86">
      <w:rPr>
        <w:rFonts w:ascii="宋体" w:hAnsi="宋体" w:cs="Arial" w:hint="eastAsia"/>
        <w:bCs/>
        <w:kern w:val="0"/>
        <w:sz w:val="18"/>
        <w:szCs w:val="18"/>
      </w:rPr>
      <w:t>4</w:t>
    </w:r>
    <w:r w:rsidRPr="00912B2B">
      <w:rPr>
        <w:rFonts w:ascii="宋体" w:hAnsi="宋体" w:cs="Arial" w:hint="eastAsia"/>
        <w:bCs/>
        <w:kern w:val="0"/>
        <w:sz w:val="18"/>
        <w:szCs w:val="18"/>
      </w:rPr>
      <w:t>年度</w:t>
    </w:r>
  </w:p>
  <w:p w14:paraId="14568956" w14:textId="26112B2B" w:rsidR="00912B2B" w:rsidRDefault="00912B2B" w:rsidP="00912B2B">
    <w:pPr>
      <w:pBdr>
        <w:bottom w:val="single" w:sz="4" w:space="1" w:color="auto"/>
      </w:pBdr>
      <w:jc w:val="left"/>
      <w:rPr>
        <w:rFonts w:ascii="宋体" w:hAnsi="宋体" w:cs="Arial" w:hint="eastAsia"/>
        <w:bCs/>
        <w:kern w:val="0"/>
        <w:sz w:val="18"/>
        <w:szCs w:val="18"/>
      </w:rPr>
    </w:pPr>
    <w:r w:rsidRPr="00912B2B">
      <w:rPr>
        <w:rFonts w:ascii="宋体" w:hAnsi="宋体" w:cs="Arial" w:hint="eastAsia"/>
        <w:bCs/>
        <w:kern w:val="0"/>
        <w:sz w:val="18"/>
        <w:szCs w:val="18"/>
      </w:rPr>
      <w:t>内部控制自我评价报告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FA38" w14:textId="77777777" w:rsidR="006A3DEB" w:rsidRDefault="006A3D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50BBF"/>
    <w:multiLevelType w:val="multilevel"/>
    <w:tmpl w:val="2FF50BB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8F1301"/>
    <w:multiLevelType w:val="multilevel"/>
    <w:tmpl w:val="4A8F1301"/>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7357185D"/>
    <w:multiLevelType w:val="multilevel"/>
    <w:tmpl w:val="7357185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09863029">
    <w:abstractNumId w:val="2"/>
  </w:num>
  <w:num w:numId="2" w16cid:durableId="253907024">
    <w:abstractNumId w:val="1"/>
  </w:num>
  <w:num w:numId="3" w16cid:durableId="155218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58"/>
    <w:rsid w:val="000220E1"/>
    <w:rsid w:val="00042155"/>
    <w:rsid w:val="0005506E"/>
    <w:rsid w:val="0005648D"/>
    <w:rsid w:val="00062511"/>
    <w:rsid w:val="000656D3"/>
    <w:rsid w:val="000668CD"/>
    <w:rsid w:val="00091853"/>
    <w:rsid w:val="00096822"/>
    <w:rsid w:val="00097720"/>
    <w:rsid w:val="000A4F9D"/>
    <w:rsid w:val="000A7E9A"/>
    <w:rsid w:val="000B6DF1"/>
    <w:rsid w:val="000E0E8F"/>
    <w:rsid w:val="000E5E14"/>
    <w:rsid w:val="00105E33"/>
    <w:rsid w:val="00113412"/>
    <w:rsid w:val="001275D4"/>
    <w:rsid w:val="00132224"/>
    <w:rsid w:val="001443A4"/>
    <w:rsid w:val="0015729A"/>
    <w:rsid w:val="001868C9"/>
    <w:rsid w:val="0019637D"/>
    <w:rsid w:val="001A5317"/>
    <w:rsid w:val="001B4A4D"/>
    <w:rsid w:val="001D1044"/>
    <w:rsid w:val="002036AD"/>
    <w:rsid w:val="002508E4"/>
    <w:rsid w:val="002728AE"/>
    <w:rsid w:val="002818B1"/>
    <w:rsid w:val="00285AB5"/>
    <w:rsid w:val="00292247"/>
    <w:rsid w:val="002A1C34"/>
    <w:rsid w:val="002C3F70"/>
    <w:rsid w:val="002C5FAA"/>
    <w:rsid w:val="002D6AF1"/>
    <w:rsid w:val="002E6CAE"/>
    <w:rsid w:val="002F5F8C"/>
    <w:rsid w:val="00301EFC"/>
    <w:rsid w:val="00311497"/>
    <w:rsid w:val="00317D2E"/>
    <w:rsid w:val="00326BEE"/>
    <w:rsid w:val="00327334"/>
    <w:rsid w:val="00370D83"/>
    <w:rsid w:val="0037323F"/>
    <w:rsid w:val="0037685E"/>
    <w:rsid w:val="003B778E"/>
    <w:rsid w:val="003C1534"/>
    <w:rsid w:val="003D4804"/>
    <w:rsid w:val="003E639C"/>
    <w:rsid w:val="00422957"/>
    <w:rsid w:val="00473798"/>
    <w:rsid w:val="0048729D"/>
    <w:rsid w:val="004B0B18"/>
    <w:rsid w:val="004D00D5"/>
    <w:rsid w:val="004D3902"/>
    <w:rsid w:val="004F3290"/>
    <w:rsid w:val="00556E48"/>
    <w:rsid w:val="0056600E"/>
    <w:rsid w:val="0056610B"/>
    <w:rsid w:val="00575289"/>
    <w:rsid w:val="00584030"/>
    <w:rsid w:val="00594280"/>
    <w:rsid w:val="005B1C3E"/>
    <w:rsid w:val="005B3AE5"/>
    <w:rsid w:val="005D2803"/>
    <w:rsid w:val="005D2859"/>
    <w:rsid w:val="005D38BE"/>
    <w:rsid w:val="005E075B"/>
    <w:rsid w:val="005E1618"/>
    <w:rsid w:val="006036BB"/>
    <w:rsid w:val="00633B07"/>
    <w:rsid w:val="00654A5B"/>
    <w:rsid w:val="006601D3"/>
    <w:rsid w:val="00660ADE"/>
    <w:rsid w:val="00661C62"/>
    <w:rsid w:val="00667859"/>
    <w:rsid w:val="00671087"/>
    <w:rsid w:val="00681FA6"/>
    <w:rsid w:val="00692A9D"/>
    <w:rsid w:val="006A087C"/>
    <w:rsid w:val="006A3DEB"/>
    <w:rsid w:val="006C540A"/>
    <w:rsid w:val="007052E7"/>
    <w:rsid w:val="0071295D"/>
    <w:rsid w:val="007225EF"/>
    <w:rsid w:val="00723899"/>
    <w:rsid w:val="00734846"/>
    <w:rsid w:val="00753B46"/>
    <w:rsid w:val="00766294"/>
    <w:rsid w:val="007701E4"/>
    <w:rsid w:val="00770A55"/>
    <w:rsid w:val="007711C5"/>
    <w:rsid w:val="00775E6A"/>
    <w:rsid w:val="0077692D"/>
    <w:rsid w:val="00793228"/>
    <w:rsid w:val="007976EF"/>
    <w:rsid w:val="00797D43"/>
    <w:rsid w:val="007B3D56"/>
    <w:rsid w:val="007F14E3"/>
    <w:rsid w:val="007F56B4"/>
    <w:rsid w:val="0081493B"/>
    <w:rsid w:val="0082374F"/>
    <w:rsid w:val="00833B32"/>
    <w:rsid w:val="00833B3A"/>
    <w:rsid w:val="00851C51"/>
    <w:rsid w:val="00877304"/>
    <w:rsid w:val="008A1CE8"/>
    <w:rsid w:val="008A73F6"/>
    <w:rsid w:val="008C0310"/>
    <w:rsid w:val="008C36E5"/>
    <w:rsid w:val="008D39B6"/>
    <w:rsid w:val="008D533C"/>
    <w:rsid w:val="008D6F29"/>
    <w:rsid w:val="00912B2B"/>
    <w:rsid w:val="009205E1"/>
    <w:rsid w:val="009A6387"/>
    <w:rsid w:val="009B4951"/>
    <w:rsid w:val="009B6999"/>
    <w:rsid w:val="009C6B94"/>
    <w:rsid w:val="009D199D"/>
    <w:rsid w:val="009D41C7"/>
    <w:rsid w:val="009E5F3E"/>
    <w:rsid w:val="009F21FD"/>
    <w:rsid w:val="00A00467"/>
    <w:rsid w:val="00A23D3C"/>
    <w:rsid w:val="00A57B04"/>
    <w:rsid w:val="00A630EA"/>
    <w:rsid w:val="00A77823"/>
    <w:rsid w:val="00A9628D"/>
    <w:rsid w:val="00AA522B"/>
    <w:rsid w:val="00AB2B04"/>
    <w:rsid w:val="00AE6443"/>
    <w:rsid w:val="00AE71C1"/>
    <w:rsid w:val="00AF628D"/>
    <w:rsid w:val="00B157DF"/>
    <w:rsid w:val="00B33619"/>
    <w:rsid w:val="00B346E6"/>
    <w:rsid w:val="00B453ED"/>
    <w:rsid w:val="00B505B4"/>
    <w:rsid w:val="00B52A12"/>
    <w:rsid w:val="00B62DB1"/>
    <w:rsid w:val="00B718E0"/>
    <w:rsid w:val="00B75043"/>
    <w:rsid w:val="00BB517D"/>
    <w:rsid w:val="00BB5F78"/>
    <w:rsid w:val="00BB6E65"/>
    <w:rsid w:val="00BC3741"/>
    <w:rsid w:val="00BD5662"/>
    <w:rsid w:val="00C06957"/>
    <w:rsid w:val="00C07098"/>
    <w:rsid w:val="00C12837"/>
    <w:rsid w:val="00C33DD3"/>
    <w:rsid w:val="00C777A3"/>
    <w:rsid w:val="00C878E5"/>
    <w:rsid w:val="00C87E2D"/>
    <w:rsid w:val="00CA366E"/>
    <w:rsid w:val="00CA7C3C"/>
    <w:rsid w:val="00CB22ED"/>
    <w:rsid w:val="00CB56ED"/>
    <w:rsid w:val="00CC370B"/>
    <w:rsid w:val="00CD3CA5"/>
    <w:rsid w:val="00CE4044"/>
    <w:rsid w:val="00CE4678"/>
    <w:rsid w:val="00CF174F"/>
    <w:rsid w:val="00CF1976"/>
    <w:rsid w:val="00CF318B"/>
    <w:rsid w:val="00CF72FC"/>
    <w:rsid w:val="00D03F86"/>
    <w:rsid w:val="00D04C75"/>
    <w:rsid w:val="00D052BC"/>
    <w:rsid w:val="00D34C5D"/>
    <w:rsid w:val="00D455F4"/>
    <w:rsid w:val="00D4639E"/>
    <w:rsid w:val="00D7149C"/>
    <w:rsid w:val="00D71B60"/>
    <w:rsid w:val="00D75F93"/>
    <w:rsid w:val="00DA4F3C"/>
    <w:rsid w:val="00DB6A4C"/>
    <w:rsid w:val="00DD2BDA"/>
    <w:rsid w:val="00DE23EA"/>
    <w:rsid w:val="00E11AA1"/>
    <w:rsid w:val="00E11C9E"/>
    <w:rsid w:val="00E21787"/>
    <w:rsid w:val="00E27053"/>
    <w:rsid w:val="00E506C2"/>
    <w:rsid w:val="00E516D0"/>
    <w:rsid w:val="00E57D58"/>
    <w:rsid w:val="00E661DB"/>
    <w:rsid w:val="00E7464D"/>
    <w:rsid w:val="00E814D4"/>
    <w:rsid w:val="00E93D1C"/>
    <w:rsid w:val="00E953A4"/>
    <w:rsid w:val="00EA2573"/>
    <w:rsid w:val="00EA32C7"/>
    <w:rsid w:val="00EA39A8"/>
    <w:rsid w:val="00EC20D1"/>
    <w:rsid w:val="00EC715B"/>
    <w:rsid w:val="00ED0952"/>
    <w:rsid w:val="00ED1B42"/>
    <w:rsid w:val="00EF5CA8"/>
    <w:rsid w:val="00F04657"/>
    <w:rsid w:val="00F17A9C"/>
    <w:rsid w:val="00F20AB1"/>
    <w:rsid w:val="00F26EAF"/>
    <w:rsid w:val="00F42370"/>
    <w:rsid w:val="00F51C96"/>
    <w:rsid w:val="00F72BA8"/>
    <w:rsid w:val="00F90F03"/>
    <w:rsid w:val="00F9569F"/>
    <w:rsid w:val="00F9602F"/>
    <w:rsid w:val="00FE4784"/>
    <w:rsid w:val="0B2B664A"/>
    <w:rsid w:val="35464EA4"/>
    <w:rsid w:val="48B93C48"/>
    <w:rsid w:val="7A67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D6B7DD0"/>
  <w15:chartTrackingRefBased/>
  <w15:docId w15:val="{6A0650DF-C825-4ACD-B5EC-56383386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主题 字符"/>
    <w:link w:val="a4"/>
    <w:uiPriority w:val="99"/>
    <w:semiHidden/>
    <w:rPr>
      <w:rFonts w:ascii="Times New Roman" w:hAnsi="Times New Roman" w:cs="宋体"/>
      <w:b/>
      <w:bCs/>
      <w:kern w:val="2"/>
      <w:sz w:val="21"/>
      <w:szCs w:val="21"/>
    </w:rPr>
  </w:style>
  <w:style w:type="character" w:customStyle="1" w:styleId="2">
    <w:name w:val="正文文本缩进 2 字符"/>
    <w:link w:val="20"/>
    <w:rPr>
      <w:rFonts w:ascii="Times New Roman" w:hAnsi="Times New Roman"/>
      <w:color w:val="0000FF"/>
      <w:kern w:val="2"/>
      <w:sz w:val="21"/>
      <w:szCs w:val="21"/>
    </w:rPr>
  </w:style>
  <w:style w:type="character" w:customStyle="1" w:styleId="a5">
    <w:name w:val="页眉 字符"/>
    <w:link w:val="a6"/>
    <w:uiPriority w:val="99"/>
    <w:rPr>
      <w:sz w:val="18"/>
      <w:szCs w:val="18"/>
    </w:rPr>
  </w:style>
  <w:style w:type="character" w:styleId="a7">
    <w:name w:val="Hyperlink"/>
    <w:rPr>
      <w:color w:val="0000FF"/>
      <w:u w:val="single"/>
    </w:rPr>
  </w:style>
  <w:style w:type="character" w:customStyle="1" w:styleId="a8">
    <w:name w:val="批注框文本 字符"/>
    <w:link w:val="a9"/>
    <w:uiPriority w:val="99"/>
    <w:semiHidden/>
    <w:rPr>
      <w:rFonts w:ascii="Times New Roman" w:eastAsia="宋体" w:hAnsi="Times New Roman" w:cs="宋体"/>
      <w:sz w:val="18"/>
      <w:szCs w:val="18"/>
    </w:rPr>
  </w:style>
  <w:style w:type="character" w:styleId="aa">
    <w:name w:val="page number"/>
    <w:basedOn w:val="a0"/>
  </w:style>
  <w:style w:type="character" w:customStyle="1" w:styleId="ab">
    <w:name w:val="页脚 字符"/>
    <w:link w:val="ac"/>
    <w:uiPriority w:val="99"/>
    <w:rPr>
      <w:sz w:val="18"/>
      <w:szCs w:val="18"/>
    </w:rPr>
  </w:style>
  <w:style w:type="character" w:styleId="ad">
    <w:name w:val="annotation reference"/>
    <w:uiPriority w:val="99"/>
    <w:unhideWhenUsed/>
    <w:rPr>
      <w:sz w:val="21"/>
      <w:szCs w:val="21"/>
    </w:rPr>
  </w:style>
  <w:style w:type="character" w:customStyle="1" w:styleId="ae">
    <w:name w:val="文档结构图 字符"/>
    <w:link w:val="af"/>
    <w:uiPriority w:val="99"/>
    <w:semiHidden/>
    <w:rPr>
      <w:rFonts w:ascii="宋体" w:hAnsi="Times New Roman" w:cs="宋体"/>
      <w:kern w:val="2"/>
      <w:sz w:val="18"/>
      <w:szCs w:val="18"/>
    </w:rPr>
  </w:style>
  <w:style w:type="character" w:customStyle="1" w:styleId="af0">
    <w:name w:val="纯文本 字符"/>
    <w:link w:val="af1"/>
    <w:rPr>
      <w:rFonts w:ascii="宋体" w:eastAsia="宋体" w:hAnsi="Courier New" w:cs="宋体"/>
      <w:kern w:val="0"/>
      <w:sz w:val="24"/>
      <w:szCs w:val="24"/>
    </w:rPr>
  </w:style>
  <w:style w:type="character" w:customStyle="1" w:styleId="af2">
    <w:name w:val="批注文字 字符"/>
    <w:link w:val="af3"/>
    <w:uiPriority w:val="99"/>
    <w:semiHidden/>
    <w:rPr>
      <w:rFonts w:ascii="Times New Roman" w:hAnsi="Times New Roman" w:cs="宋体"/>
      <w:kern w:val="2"/>
      <w:sz w:val="21"/>
      <w:szCs w:val="21"/>
    </w:rPr>
  </w:style>
  <w:style w:type="paragraph" w:styleId="af3">
    <w:name w:val="annotation text"/>
    <w:basedOn w:val="a"/>
    <w:link w:val="af2"/>
    <w:uiPriority w:val="99"/>
    <w:unhideWhenUsed/>
    <w:pPr>
      <w:jc w:val="left"/>
    </w:pPr>
  </w:style>
  <w:style w:type="paragraph" w:styleId="af1">
    <w:name w:val="Plain Text"/>
    <w:basedOn w:val="a"/>
    <w:link w:val="af0"/>
    <w:pPr>
      <w:widowControl/>
      <w:jc w:val="left"/>
    </w:pPr>
    <w:rPr>
      <w:rFonts w:ascii="宋体" w:hAnsi="Courier New" w:cs="Times New Roman"/>
      <w:kern w:val="0"/>
      <w:sz w:val="24"/>
      <w:szCs w:val="24"/>
    </w:rPr>
  </w:style>
  <w:style w:type="paragraph" w:styleId="a6">
    <w:name w:val="header"/>
    <w:basedOn w:val="a"/>
    <w:link w:val="a5"/>
    <w:unhideWhenUsed/>
    <w:pPr>
      <w:pBdr>
        <w:bottom w:val="single" w:sz="6" w:space="1" w:color="auto"/>
      </w:pBdr>
      <w:tabs>
        <w:tab w:val="center" w:pos="4153"/>
        <w:tab w:val="right" w:pos="8306"/>
      </w:tabs>
      <w:snapToGrid w:val="0"/>
      <w:jc w:val="center"/>
    </w:pPr>
    <w:rPr>
      <w:rFonts w:ascii="Calibri" w:hAnsi="Calibri" w:cs="Times New Roman"/>
      <w:kern w:val="0"/>
      <w:sz w:val="18"/>
      <w:szCs w:val="18"/>
    </w:rPr>
  </w:style>
  <w:style w:type="paragraph" w:styleId="ac">
    <w:name w:val="footer"/>
    <w:basedOn w:val="a"/>
    <w:link w:val="ab"/>
    <w:uiPriority w:val="99"/>
    <w:unhideWhenUsed/>
    <w:pPr>
      <w:tabs>
        <w:tab w:val="center" w:pos="4153"/>
        <w:tab w:val="right" w:pos="8306"/>
      </w:tabs>
      <w:snapToGrid w:val="0"/>
      <w:jc w:val="left"/>
    </w:pPr>
    <w:rPr>
      <w:rFonts w:ascii="Calibri" w:hAnsi="Calibri" w:cs="Times New Roman"/>
      <w:kern w:val="0"/>
      <w:sz w:val="18"/>
      <w:szCs w:val="18"/>
    </w:rPr>
  </w:style>
  <w:style w:type="paragraph" w:styleId="20">
    <w:name w:val="Body Text Indent 2"/>
    <w:basedOn w:val="a"/>
    <w:link w:val="2"/>
    <w:pPr>
      <w:spacing w:after="120" w:line="480" w:lineRule="auto"/>
      <w:ind w:leftChars="200" w:left="420"/>
    </w:pPr>
    <w:rPr>
      <w:rFonts w:cs="Times New Roman"/>
      <w:color w:val="0000FF"/>
    </w:rPr>
  </w:style>
  <w:style w:type="paragraph" w:styleId="a9">
    <w:name w:val="Balloon Text"/>
    <w:basedOn w:val="a"/>
    <w:link w:val="a8"/>
    <w:uiPriority w:val="99"/>
    <w:unhideWhenUsed/>
    <w:rPr>
      <w:rFonts w:cs="Times New Roman"/>
      <w:kern w:val="0"/>
      <w:sz w:val="18"/>
      <w:szCs w:val="18"/>
    </w:rPr>
  </w:style>
  <w:style w:type="paragraph" w:styleId="a4">
    <w:name w:val="annotation subject"/>
    <w:basedOn w:val="af3"/>
    <w:next w:val="af3"/>
    <w:link w:val="a3"/>
    <w:uiPriority w:val="99"/>
    <w:unhideWhenUsed/>
    <w:rPr>
      <w:b/>
      <w:bCs/>
    </w:rPr>
  </w:style>
  <w:style w:type="paragraph" w:styleId="af">
    <w:name w:val="Document Map"/>
    <w:basedOn w:val="a"/>
    <w:link w:val="ae"/>
    <w:uiPriority w:val="99"/>
    <w:unhideWhenUsed/>
    <w:rPr>
      <w:rFonts w:ascii="宋体"/>
      <w:sz w:val="18"/>
      <w:szCs w:val="18"/>
    </w:rPr>
  </w:style>
  <w:style w:type="paragraph" w:styleId="af4">
    <w:name w:val="List Paragraph"/>
    <w:basedOn w:val="a"/>
    <w:uiPriority w:val="34"/>
    <w:qFormat/>
    <w:pPr>
      <w:ind w:firstLineChars="200" w:firstLine="420"/>
    </w:pPr>
  </w:style>
  <w:style w:type="paragraph" w:customStyle="1" w:styleId="af5">
    <w:name w:val="审计报告普通样式"/>
    <w:basedOn w:val="a"/>
    <w:pPr>
      <w:spacing w:before="120" w:line="400" w:lineRule="exact"/>
      <w:ind w:firstLineChars="200" w:firstLine="200"/>
    </w:pPr>
    <w:rPr>
      <w:rFonts w:ascii="宋体" w:hAnsi="宋体" w:cs="Times New Roman"/>
      <w:color w:val="0000FF"/>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unhideWhenUsed/>
    <w:rsid w:val="00B52A12"/>
    <w:rPr>
      <w:rFonts w:ascii="Times New Roman" w:hAnsi="Times New Roman"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QH</cp:lastModifiedBy>
  <cp:revision>68</cp:revision>
  <cp:lastPrinted>2023-04-19T01:38:00Z</cp:lastPrinted>
  <dcterms:created xsi:type="dcterms:W3CDTF">2019-12-31T06:27:00Z</dcterms:created>
  <dcterms:modified xsi:type="dcterms:W3CDTF">2025-04-17T09:35:00Z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