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DE56" w14:textId="77777777" w:rsidR="002D1FDB" w:rsidRPr="00B170DF" w:rsidRDefault="002D1FDB" w:rsidP="002D1FDB">
      <w:pPr>
        <w:widowControl/>
        <w:spacing w:beforeLines="0" w:before="0" w:afterLines="0" w:after="0"/>
        <w:ind w:firstLineChars="0" w:firstLine="0"/>
        <w:jc w:val="left"/>
        <w:rPr>
          <w:rFonts w:ascii="宋体" w:hAnsi="宋体" w:hint="eastAsia"/>
          <w:kern w:val="0"/>
          <w:szCs w:val="24"/>
        </w:rPr>
      </w:pPr>
      <w:bookmarkStart w:id="0" w:name="_Hlk95320898"/>
      <w:r w:rsidRPr="00B170DF">
        <w:rPr>
          <w:rFonts w:ascii="宋体" w:hAnsi="宋体"/>
          <w:kern w:val="0"/>
          <w:szCs w:val="24"/>
        </w:rPr>
        <w:t xml:space="preserve">证券简称：广生堂                                   </w:t>
      </w:r>
      <w:r w:rsidRPr="00B170DF">
        <w:rPr>
          <w:rFonts w:ascii="宋体" w:hAnsi="宋体" w:hint="eastAsia"/>
          <w:kern w:val="0"/>
          <w:szCs w:val="24"/>
        </w:rPr>
        <w:t xml:space="preserve"> </w:t>
      </w:r>
      <w:r w:rsidRPr="00B170DF">
        <w:rPr>
          <w:rFonts w:ascii="宋体" w:hAnsi="宋体"/>
          <w:kern w:val="0"/>
          <w:szCs w:val="24"/>
        </w:rPr>
        <w:t xml:space="preserve"> 证券代码：</w:t>
      </w:r>
      <w:r w:rsidRPr="00B170DF">
        <w:rPr>
          <w:rFonts w:hint="eastAsia"/>
          <w:kern w:val="0"/>
          <w:szCs w:val="24"/>
        </w:rPr>
        <w:t>300436</w:t>
      </w:r>
    </w:p>
    <w:bookmarkEnd w:id="0"/>
    <w:p w14:paraId="26205DFD" w14:textId="77777777" w:rsidR="006065D4" w:rsidRPr="00B170DF" w:rsidRDefault="006065D4" w:rsidP="006065D4">
      <w:pPr>
        <w:snapToGrid w:val="0"/>
        <w:spacing w:before="163" w:afterLines="0" w:after="0"/>
        <w:ind w:firstLineChars="0"/>
        <w:jc w:val="center"/>
        <w:rPr>
          <w:rFonts w:eastAsia="黑体"/>
          <w:b/>
          <w:color w:val="000000"/>
          <w:sz w:val="36"/>
          <w:szCs w:val="36"/>
        </w:rPr>
      </w:pPr>
    </w:p>
    <w:p w14:paraId="42C27718" w14:textId="77777777" w:rsidR="006065D4" w:rsidRPr="00B170DF" w:rsidRDefault="006065D4" w:rsidP="006065D4">
      <w:pPr>
        <w:snapToGrid w:val="0"/>
        <w:spacing w:before="163" w:afterLines="0" w:after="0"/>
        <w:ind w:firstLineChars="0"/>
        <w:jc w:val="center"/>
        <w:rPr>
          <w:rFonts w:eastAsia="黑体"/>
          <w:b/>
          <w:color w:val="000000"/>
          <w:sz w:val="36"/>
          <w:szCs w:val="36"/>
        </w:rPr>
      </w:pPr>
    </w:p>
    <w:p w14:paraId="395FB8CC" w14:textId="77777777" w:rsidR="002D1FDB" w:rsidRPr="00B170DF" w:rsidRDefault="002D1FDB" w:rsidP="002D1FDB">
      <w:pPr>
        <w:widowControl/>
        <w:adjustRightInd w:val="0"/>
        <w:snapToGrid w:val="0"/>
        <w:spacing w:beforeLines="0" w:before="0" w:afterLines="100" w:after="326" w:line="240" w:lineRule="auto"/>
        <w:ind w:firstLineChars="0" w:firstLine="0"/>
        <w:jc w:val="center"/>
        <w:rPr>
          <w:rFonts w:eastAsia="等线"/>
          <w:sz w:val="44"/>
          <w:szCs w:val="44"/>
        </w:rPr>
      </w:pPr>
      <w:bookmarkStart w:id="1" w:name="_Hlk95320406"/>
      <w:r w:rsidRPr="00B170DF">
        <w:rPr>
          <w:rFonts w:eastAsia="黑体"/>
          <w:sz w:val="44"/>
          <w:szCs w:val="44"/>
        </w:rPr>
        <w:t>福建广生堂药业股份有限公司</w:t>
      </w:r>
    </w:p>
    <w:p w14:paraId="28414539" w14:textId="77777777" w:rsidR="002D1FDB" w:rsidRPr="00B170DF" w:rsidRDefault="002D1FDB" w:rsidP="002D1FDB">
      <w:pPr>
        <w:widowControl/>
        <w:adjustRightInd w:val="0"/>
        <w:snapToGrid w:val="0"/>
        <w:spacing w:beforeLines="100" w:before="326" w:afterLines="100" w:after="326"/>
        <w:ind w:firstLineChars="0" w:firstLine="0"/>
        <w:jc w:val="center"/>
        <w:rPr>
          <w:rFonts w:eastAsia="等线"/>
          <w:sz w:val="28"/>
          <w:szCs w:val="28"/>
        </w:rPr>
      </w:pPr>
      <w:r w:rsidRPr="00B170DF">
        <w:rPr>
          <w:rFonts w:eastAsia="等线" w:hint="eastAsia"/>
          <w:sz w:val="28"/>
          <w:szCs w:val="28"/>
        </w:rPr>
        <w:t xml:space="preserve">Fujian </w:t>
      </w:r>
      <w:proofErr w:type="spellStart"/>
      <w:r w:rsidRPr="00B170DF">
        <w:rPr>
          <w:rFonts w:eastAsia="等线" w:hint="eastAsia"/>
          <w:sz w:val="28"/>
          <w:szCs w:val="28"/>
        </w:rPr>
        <w:t>Cosunter</w:t>
      </w:r>
      <w:proofErr w:type="spellEnd"/>
      <w:r w:rsidRPr="00B170DF">
        <w:rPr>
          <w:rFonts w:eastAsia="等线" w:hint="eastAsia"/>
          <w:sz w:val="28"/>
          <w:szCs w:val="28"/>
        </w:rPr>
        <w:t xml:space="preserve"> Pharmaceutical Co., Ltd.</w:t>
      </w:r>
    </w:p>
    <w:p w14:paraId="6B0970C0" w14:textId="77777777" w:rsidR="002D1FDB" w:rsidRPr="00B170DF" w:rsidRDefault="002D1FDB" w:rsidP="002D1FDB">
      <w:pPr>
        <w:widowControl/>
        <w:adjustRightInd w:val="0"/>
        <w:snapToGrid w:val="0"/>
        <w:spacing w:beforeLines="0" w:before="0" w:afterLines="150" w:after="489" w:line="240" w:lineRule="auto"/>
        <w:ind w:firstLineChars="0" w:firstLine="0"/>
        <w:jc w:val="center"/>
        <w:rPr>
          <w:sz w:val="28"/>
          <w:szCs w:val="28"/>
        </w:rPr>
      </w:pPr>
      <w:r w:rsidRPr="00B170DF">
        <w:rPr>
          <w:sz w:val="28"/>
          <w:szCs w:val="28"/>
        </w:rPr>
        <w:t>（福建省宁德市柘荣县富源工业园区</w:t>
      </w:r>
      <w:r w:rsidRPr="00B170DF">
        <w:rPr>
          <w:sz w:val="28"/>
          <w:szCs w:val="28"/>
        </w:rPr>
        <w:t>1-7</w:t>
      </w:r>
      <w:r w:rsidRPr="00B170DF">
        <w:rPr>
          <w:sz w:val="28"/>
          <w:szCs w:val="28"/>
        </w:rPr>
        <w:t>幢）</w:t>
      </w:r>
    </w:p>
    <w:bookmarkEnd w:id="1"/>
    <w:p w14:paraId="643755CE" w14:textId="2CF82E46" w:rsidR="002D1FDB" w:rsidRPr="00B170DF" w:rsidRDefault="00D2766C" w:rsidP="002D1FDB">
      <w:pPr>
        <w:widowControl/>
        <w:adjustRightInd w:val="0"/>
        <w:snapToGrid w:val="0"/>
        <w:spacing w:beforeLines="0" w:before="156" w:afterLines="0" w:after="156" w:line="240" w:lineRule="auto"/>
        <w:ind w:firstLineChars="0" w:firstLine="0"/>
        <w:jc w:val="center"/>
        <w:rPr>
          <w:rFonts w:eastAsia="黑体"/>
          <w:spacing w:val="4"/>
          <w:sz w:val="36"/>
          <w:szCs w:val="36"/>
        </w:rPr>
      </w:pPr>
      <w:r w:rsidRPr="00B170DF">
        <w:rPr>
          <w:rFonts w:ascii="等线" w:eastAsia="等线" w:hAnsi="等线"/>
          <w:noProof/>
          <w:sz w:val="21"/>
        </w:rPr>
        <w:drawing>
          <wp:inline distT="0" distB="0" distL="0" distR="0" wp14:anchorId="675FA060" wp14:editId="2E3B1DEF">
            <wp:extent cx="5274310" cy="1404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404620"/>
                    </a:xfrm>
                    <a:prstGeom prst="rect">
                      <a:avLst/>
                    </a:prstGeom>
                    <a:noFill/>
                    <a:ln>
                      <a:noFill/>
                    </a:ln>
                  </pic:spPr>
                </pic:pic>
              </a:graphicData>
            </a:graphic>
          </wp:inline>
        </w:drawing>
      </w:r>
    </w:p>
    <w:p w14:paraId="39E3BAF2" w14:textId="77777777" w:rsidR="005C4CAB" w:rsidRPr="00B170DF" w:rsidRDefault="002D1FDB">
      <w:pPr>
        <w:spacing w:beforeLines="300" w:before="978" w:after="163"/>
        <w:ind w:firstLineChars="0" w:firstLine="0"/>
        <w:jc w:val="center"/>
        <w:rPr>
          <w:b/>
          <w:bCs/>
          <w:sz w:val="44"/>
          <w:szCs w:val="44"/>
        </w:rPr>
      </w:pPr>
      <w:r w:rsidRPr="00B170DF">
        <w:rPr>
          <w:rFonts w:hint="eastAsia"/>
          <w:b/>
          <w:bCs/>
          <w:sz w:val="44"/>
          <w:szCs w:val="44"/>
        </w:rPr>
        <w:t>2025</w:t>
      </w:r>
      <w:r w:rsidRPr="00B170DF">
        <w:rPr>
          <w:rFonts w:hint="eastAsia"/>
          <w:b/>
          <w:bCs/>
          <w:sz w:val="44"/>
          <w:szCs w:val="44"/>
        </w:rPr>
        <w:t>年度向特定对象发行</w:t>
      </w:r>
      <w:r w:rsidRPr="00B170DF">
        <w:rPr>
          <w:rFonts w:hint="eastAsia"/>
          <w:b/>
          <w:bCs/>
          <w:sz w:val="44"/>
          <w:szCs w:val="44"/>
        </w:rPr>
        <w:t>A</w:t>
      </w:r>
      <w:r w:rsidRPr="00B170DF">
        <w:rPr>
          <w:rFonts w:hint="eastAsia"/>
          <w:b/>
          <w:bCs/>
          <w:sz w:val="44"/>
          <w:szCs w:val="44"/>
        </w:rPr>
        <w:t>股股票预案</w:t>
      </w:r>
    </w:p>
    <w:p w14:paraId="70879A19" w14:textId="77777777" w:rsidR="009708BF" w:rsidRPr="00B170DF" w:rsidRDefault="009708BF" w:rsidP="002320DA">
      <w:pPr>
        <w:spacing w:beforeLines="200" w:before="652" w:after="163"/>
        <w:ind w:firstLineChars="0" w:firstLine="0"/>
        <w:jc w:val="center"/>
        <w:rPr>
          <w:b/>
          <w:bCs/>
          <w:sz w:val="36"/>
          <w:szCs w:val="36"/>
        </w:rPr>
      </w:pPr>
    </w:p>
    <w:p w14:paraId="1D2F962A" w14:textId="77777777" w:rsidR="009708BF" w:rsidRPr="00B170DF" w:rsidRDefault="009708BF">
      <w:pPr>
        <w:spacing w:beforeLines="500" w:before="1630" w:after="163"/>
        <w:ind w:firstLineChars="0" w:firstLine="0"/>
        <w:jc w:val="center"/>
        <w:rPr>
          <w:b/>
          <w:bCs/>
          <w:sz w:val="36"/>
          <w:szCs w:val="36"/>
        </w:rPr>
      </w:pPr>
      <w:r w:rsidRPr="00B170DF">
        <w:rPr>
          <w:b/>
          <w:bCs/>
          <w:sz w:val="36"/>
          <w:szCs w:val="36"/>
        </w:rPr>
        <w:t>二〇二</w:t>
      </w:r>
      <w:r w:rsidR="002D1FDB" w:rsidRPr="00B170DF">
        <w:rPr>
          <w:rFonts w:hint="eastAsia"/>
          <w:b/>
          <w:bCs/>
          <w:sz w:val="36"/>
          <w:szCs w:val="36"/>
        </w:rPr>
        <w:t>五</w:t>
      </w:r>
      <w:r w:rsidRPr="00B170DF">
        <w:rPr>
          <w:b/>
          <w:bCs/>
          <w:sz w:val="36"/>
          <w:szCs w:val="36"/>
        </w:rPr>
        <w:t>年</w:t>
      </w:r>
      <w:r w:rsidR="00793F3D" w:rsidRPr="00B170DF">
        <w:rPr>
          <w:rFonts w:hint="eastAsia"/>
          <w:b/>
          <w:bCs/>
          <w:sz w:val="36"/>
          <w:szCs w:val="36"/>
        </w:rPr>
        <w:t>四</w:t>
      </w:r>
      <w:r w:rsidRPr="00B170DF">
        <w:rPr>
          <w:b/>
          <w:bCs/>
          <w:sz w:val="36"/>
          <w:szCs w:val="36"/>
        </w:rPr>
        <w:t>月</w:t>
      </w:r>
    </w:p>
    <w:p w14:paraId="45A07E15" w14:textId="77777777" w:rsidR="009708BF" w:rsidRPr="00B170DF" w:rsidRDefault="009708BF" w:rsidP="00886BF0">
      <w:pPr>
        <w:pStyle w:val="001"/>
        <w:spacing w:before="163" w:after="163"/>
        <w:rPr>
          <w:color w:val="000000"/>
        </w:rPr>
      </w:pPr>
      <w:bookmarkStart w:id="2" w:name="_Toc98774485"/>
      <w:bookmarkStart w:id="3" w:name="_Toc153791409"/>
      <w:bookmarkStart w:id="4" w:name="_Toc194169707"/>
      <w:r w:rsidRPr="00B170DF">
        <w:rPr>
          <w:color w:val="000000"/>
        </w:rPr>
        <w:lastRenderedPageBreak/>
        <w:t>声明</w:t>
      </w:r>
      <w:bookmarkEnd w:id="2"/>
      <w:bookmarkEnd w:id="3"/>
      <w:bookmarkEnd w:id="4"/>
    </w:p>
    <w:p w14:paraId="3911C7A4" w14:textId="77777777" w:rsidR="002D1FDB" w:rsidRPr="00B170DF" w:rsidRDefault="002D1FDB" w:rsidP="002D1FDB">
      <w:pPr>
        <w:spacing w:before="163" w:after="163"/>
        <w:ind w:firstLine="480"/>
      </w:pPr>
      <w:r w:rsidRPr="00B170DF">
        <w:rPr>
          <w:rFonts w:hint="eastAsia"/>
        </w:rPr>
        <w:t>1</w:t>
      </w:r>
      <w:r w:rsidRPr="00B170DF">
        <w:rPr>
          <w:rFonts w:hint="eastAsia"/>
        </w:rPr>
        <w:t>、公司及董事会全体成员保证本预案内容真实、准确、完整，并确认不存在虚假记载、误导性陈述或重大遗漏，对预案的真实性、准确性、完整性承担个别和连带的法律责任。</w:t>
      </w:r>
    </w:p>
    <w:p w14:paraId="7A24BA83" w14:textId="77777777" w:rsidR="002D1FDB" w:rsidRPr="00B170DF" w:rsidRDefault="002D1FDB" w:rsidP="002D1FDB">
      <w:pPr>
        <w:spacing w:before="163" w:after="163"/>
        <w:ind w:firstLine="480"/>
      </w:pPr>
      <w:r w:rsidRPr="00B170DF">
        <w:rPr>
          <w:rFonts w:hint="eastAsia"/>
        </w:rPr>
        <w:t>2</w:t>
      </w:r>
      <w:r w:rsidRPr="00B170DF">
        <w:rPr>
          <w:rFonts w:hint="eastAsia"/>
        </w:rPr>
        <w:t>、本预案按照《上市公司证券发行注册管理办法》等要求编制。</w:t>
      </w:r>
    </w:p>
    <w:p w14:paraId="6E142EEB" w14:textId="77777777" w:rsidR="002D1FDB" w:rsidRPr="00B170DF" w:rsidRDefault="002D1FDB" w:rsidP="00D76979">
      <w:pPr>
        <w:spacing w:before="163" w:after="163"/>
        <w:ind w:firstLine="480"/>
      </w:pPr>
      <w:r w:rsidRPr="00B170DF">
        <w:rPr>
          <w:rFonts w:hint="eastAsia"/>
        </w:rPr>
        <w:t>3</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完成后，公司经营与收益的变化由公司自行负责；因本次发行引致的投资风险，由投资者自行负责。投资者如有任何疑问，应咨询自己的股票经纪人、律师、专业会计师或其他专业顾问。</w:t>
      </w:r>
    </w:p>
    <w:p w14:paraId="1758ECFA" w14:textId="77777777" w:rsidR="002D1FDB" w:rsidRPr="00B170DF" w:rsidRDefault="002D1FDB" w:rsidP="00D76979">
      <w:pPr>
        <w:spacing w:before="163" w:after="163"/>
        <w:ind w:firstLine="480"/>
      </w:pPr>
      <w:r w:rsidRPr="00B170DF">
        <w:rPr>
          <w:rFonts w:hint="eastAsia"/>
        </w:rPr>
        <w:t>4</w:t>
      </w:r>
      <w:r w:rsidRPr="00B170DF">
        <w:rPr>
          <w:rFonts w:hint="eastAsia"/>
        </w:rPr>
        <w:t>、本预案是公司董事会对本次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的说明，任何与之不一致的声明均属不实陈述。</w:t>
      </w:r>
    </w:p>
    <w:p w14:paraId="4987F32F" w14:textId="77777777" w:rsidR="009708BF" w:rsidRPr="00B170DF" w:rsidRDefault="002D1FDB" w:rsidP="00D76979">
      <w:pPr>
        <w:spacing w:before="163" w:after="163"/>
        <w:ind w:firstLine="480"/>
      </w:pPr>
      <w:r w:rsidRPr="00B170DF">
        <w:rPr>
          <w:rFonts w:hint="eastAsia"/>
        </w:rPr>
        <w:t>5</w:t>
      </w:r>
      <w:r w:rsidRPr="00B170DF">
        <w:rPr>
          <w:rFonts w:hint="eastAsia"/>
        </w:rPr>
        <w:t>、本预案所述事项并不代表审批机关对于本次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相关事项的实质性判断、确认、批准，本预案所述本次发行相关事项的生效和完成尚待取得有关审批机关的批准或注册。</w:t>
      </w:r>
    </w:p>
    <w:p w14:paraId="7F892D09" w14:textId="77777777" w:rsidR="009708BF" w:rsidRPr="00B170DF" w:rsidRDefault="009708BF" w:rsidP="00886BF0">
      <w:pPr>
        <w:pStyle w:val="001"/>
        <w:spacing w:before="163" w:after="163"/>
        <w:rPr>
          <w:color w:val="000000"/>
        </w:rPr>
      </w:pPr>
      <w:bookmarkStart w:id="5" w:name="_Toc98774486"/>
      <w:bookmarkStart w:id="6" w:name="_Toc153791410"/>
      <w:bookmarkStart w:id="7" w:name="_Toc194169708"/>
      <w:r w:rsidRPr="00B170DF">
        <w:rPr>
          <w:rFonts w:hint="eastAsia"/>
          <w:bCs w:val="0"/>
          <w:color w:val="000000"/>
        </w:rPr>
        <w:lastRenderedPageBreak/>
        <w:t>重</w:t>
      </w:r>
      <w:r w:rsidR="00D76979" w:rsidRPr="00B170DF">
        <w:rPr>
          <w:rFonts w:hint="eastAsia"/>
          <w:bCs w:val="0"/>
          <w:color w:val="000000"/>
        </w:rPr>
        <w:t>大事项</w:t>
      </w:r>
      <w:r w:rsidRPr="00B170DF">
        <w:rPr>
          <w:rFonts w:hint="eastAsia"/>
          <w:bCs w:val="0"/>
          <w:color w:val="000000"/>
        </w:rPr>
        <w:t>提示</w:t>
      </w:r>
      <w:bookmarkEnd w:id="5"/>
      <w:bookmarkEnd w:id="6"/>
      <w:bookmarkEnd w:id="7"/>
    </w:p>
    <w:p w14:paraId="4C919FBD" w14:textId="77777777" w:rsidR="009708BF" w:rsidRPr="00B170DF" w:rsidRDefault="00D76979" w:rsidP="00D76979">
      <w:pPr>
        <w:spacing w:beforeLines="0" w:before="0" w:afterLines="0" w:after="0"/>
        <w:ind w:firstLine="480"/>
      </w:pPr>
      <w:r w:rsidRPr="00B170DF">
        <w:rPr>
          <w:rFonts w:hint="eastAsia"/>
        </w:rPr>
        <w:t>1</w:t>
      </w:r>
      <w:r w:rsidRPr="00B170DF">
        <w:rPr>
          <w:rFonts w:hint="eastAsia"/>
        </w:rPr>
        <w:t>、本次向特定对象发行</w:t>
      </w:r>
      <w:r w:rsidRPr="00B170DF">
        <w:rPr>
          <w:rFonts w:hint="eastAsia"/>
        </w:rPr>
        <w:t>A</w:t>
      </w:r>
      <w:r w:rsidRPr="00B170DF">
        <w:rPr>
          <w:rFonts w:hint="eastAsia"/>
        </w:rPr>
        <w:t>股股票方案已经</w:t>
      </w:r>
      <w:r w:rsidRPr="00B170DF">
        <w:rPr>
          <w:rFonts w:hint="eastAsia"/>
        </w:rPr>
        <w:t>2025</w:t>
      </w:r>
      <w:r w:rsidRPr="00B170DF">
        <w:rPr>
          <w:rFonts w:hint="eastAsia"/>
        </w:rPr>
        <w:t>年</w:t>
      </w:r>
      <w:r w:rsidR="005B7FDD" w:rsidRPr="00B170DF">
        <w:rPr>
          <w:rFonts w:hint="eastAsia"/>
        </w:rPr>
        <w:t>4</w:t>
      </w:r>
      <w:r w:rsidRPr="00B170DF">
        <w:rPr>
          <w:rFonts w:hint="eastAsia"/>
        </w:rPr>
        <w:t>月</w:t>
      </w:r>
      <w:r w:rsidR="00736F82" w:rsidRPr="00B170DF">
        <w:rPr>
          <w:rFonts w:hint="eastAsia"/>
        </w:rPr>
        <w:t>2</w:t>
      </w:r>
      <w:r w:rsidRPr="00B170DF">
        <w:rPr>
          <w:rFonts w:hint="eastAsia"/>
        </w:rPr>
        <w:t>日召开的公司第五届董事会第</w:t>
      </w:r>
      <w:r w:rsidR="008C0C6C" w:rsidRPr="00B170DF">
        <w:rPr>
          <w:rFonts w:hint="eastAsia"/>
        </w:rPr>
        <w:t>七</w:t>
      </w:r>
      <w:r w:rsidR="001F1733" w:rsidRPr="00B170DF">
        <w:rPr>
          <w:rFonts w:hint="eastAsia"/>
        </w:rPr>
        <w:t>次</w:t>
      </w:r>
      <w:r w:rsidRPr="00B170DF">
        <w:rPr>
          <w:rFonts w:hint="eastAsia"/>
        </w:rPr>
        <w:t>会议审议通过，尚需获得公司股东大会审议通过、深交所审核通过并经中国证监会同意注册后方可实施。</w:t>
      </w:r>
    </w:p>
    <w:p w14:paraId="09A9FE0A" w14:textId="77777777" w:rsidR="00D76979" w:rsidRPr="00B170DF" w:rsidRDefault="00D76979" w:rsidP="00D76979">
      <w:pPr>
        <w:spacing w:beforeLines="0" w:before="0" w:afterLines="0" w:after="0"/>
        <w:ind w:firstLine="480"/>
      </w:pPr>
      <w:r w:rsidRPr="00B170DF">
        <w:rPr>
          <w:rFonts w:hint="eastAsia"/>
        </w:rPr>
        <w:t>2</w:t>
      </w:r>
      <w:r w:rsidRPr="00B170DF">
        <w:rPr>
          <w:rFonts w:hint="eastAsia"/>
        </w:rPr>
        <w:t>、本次发行的发行对象不超过</w:t>
      </w:r>
      <w:r w:rsidRPr="00B170DF">
        <w:rPr>
          <w:rFonts w:hint="eastAsia"/>
        </w:rPr>
        <w:t>35</w:t>
      </w:r>
      <w:r w:rsidRPr="00B170DF">
        <w:rPr>
          <w:rFonts w:hint="eastAsia"/>
        </w:rPr>
        <w:t>名（含</w:t>
      </w:r>
      <w:r w:rsidRPr="00B170DF">
        <w:rPr>
          <w:rFonts w:hint="eastAsia"/>
        </w:rPr>
        <w:t>35</w:t>
      </w:r>
      <w:r w:rsidRPr="00B170DF">
        <w:rPr>
          <w:rFonts w:hint="eastAsia"/>
        </w:rPr>
        <w:t>名），为符合中国证监会规定的特定投资者，包括符合中国证监会规定的证券投资基金管理公司、证券公司、信托投资公司、财务公司、保险机构投资者、合格境外机构投资者，以及符合中国证监会规定的其他法人、自然人或其他合格的投资者。其中，证券投资基金管理公司、证券公司、合格境外机构投资者、人民币合格境外机构投资者以其管理的两只以上产品认购的，视为一个发行对象；信托投资公司作为发行对象的，只能以自有资金认购。</w:t>
      </w:r>
    </w:p>
    <w:p w14:paraId="59837A15" w14:textId="77777777" w:rsidR="00D76979" w:rsidRPr="00B170DF" w:rsidRDefault="00D76979" w:rsidP="00D76979">
      <w:pPr>
        <w:spacing w:beforeLines="0" w:before="0" w:afterLines="0" w:after="0"/>
        <w:ind w:firstLine="480"/>
      </w:pPr>
      <w:r w:rsidRPr="00B170DF">
        <w:rPr>
          <w:rFonts w:hint="eastAsia"/>
        </w:rPr>
        <w:t>本次发行对象尚未确定，最终发行对象在公司取得中国证监会关于本次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同意注册的决定后，由董事会在股东大会的授权范围内，按照相关法律、行政法规、部门规章及规范性文件的规定，根据竞价结果与本次发行的保荐机构（主承销商）协商确定。若国家法律、法规对</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的发行对象有新的规定，公司将按新的规定进行调整。</w:t>
      </w:r>
    </w:p>
    <w:p w14:paraId="23EF572A" w14:textId="77777777" w:rsidR="009708BF" w:rsidRPr="00B170DF" w:rsidRDefault="00D76979" w:rsidP="00D76979">
      <w:pPr>
        <w:spacing w:beforeLines="0" w:before="0" w:afterLines="0" w:after="0"/>
        <w:ind w:firstLine="480"/>
      </w:pPr>
      <w:r w:rsidRPr="00B170DF">
        <w:rPr>
          <w:rFonts w:hint="eastAsia"/>
        </w:rPr>
        <w:t>本次发行的发行对象均以现金方式认购公司本次发行的股票。</w:t>
      </w:r>
    </w:p>
    <w:p w14:paraId="2FEFB070" w14:textId="77777777" w:rsidR="00BA73FA" w:rsidRPr="00B170DF" w:rsidRDefault="00BA73FA" w:rsidP="00BA73FA">
      <w:pPr>
        <w:spacing w:beforeLines="0" w:before="0" w:afterLines="0" w:after="0"/>
        <w:ind w:firstLine="480"/>
      </w:pPr>
      <w:r w:rsidRPr="00B170DF">
        <w:rPr>
          <w:rFonts w:hint="eastAsia"/>
        </w:rPr>
        <w:t>3</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的定价基准日为发行期首日。本次发行价格不低于定价基准日前二十个交易日（不含定价基准日）公司股票交易均价的百分之八十。定价基准日前二十个交易日股票交易均价</w:t>
      </w:r>
      <w:r w:rsidRPr="00B170DF">
        <w:rPr>
          <w:rFonts w:hint="eastAsia"/>
        </w:rPr>
        <w:t>=</w:t>
      </w:r>
      <w:r w:rsidRPr="00B170DF">
        <w:rPr>
          <w:rFonts w:hint="eastAsia"/>
        </w:rPr>
        <w:t>定价基准日前二十个交易日股票交易总额</w:t>
      </w:r>
      <w:r w:rsidRPr="00B170DF">
        <w:rPr>
          <w:rFonts w:hint="eastAsia"/>
        </w:rPr>
        <w:t>/</w:t>
      </w:r>
      <w:r w:rsidRPr="00B170DF">
        <w:rPr>
          <w:rFonts w:hint="eastAsia"/>
        </w:rPr>
        <w:t>定价基准日前二十个交易日股票交易总量。</w:t>
      </w:r>
    </w:p>
    <w:p w14:paraId="19508BC9" w14:textId="77777777" w:rsidR="00BA73FA" w:rsidRPr="00B170DF" w:rsidRDefault="00BA73FA" w:rsidP="00BA73FA">
      <w:pPr>
        <w:spacing w:beforeLines="0" w:before="0" w:afterLines="0" w:after="0"/>
        <w:ind w:firstLine="480"/>
      </w:pPr>
      <w:r w:rsidRPr="00B170DF">
        <w:rPr>
          <w:rFonts w:hint="eastAsia"/>
        </w:rPr>
        <w:t>如公司股票在本次发行的定价基准日至发行日期间发生派息、送股、资本公积转增股本等除权、除息事项或因股份回购、员工股权激励计划等事项导致总股本发生变化，则前述发行价格将进行相应调整。本次发行的最终发行价格由董事会根据股东大会授权在本次发行通过深交所审核并经中国证监会</w:t>
      </w:r>
      <w:proofErr w:type="gramStart"/>
      <w:r w:rsidRPr="00B170DF">
        <w:rPr>
          <w:rFonts w:hint="eastAsia"/>
        </w:rPr>
        <w:t>作出</w:t>
      </w:r>
      <w:proofErr w:type="gramEnd"/>
      <w:r w:rsidRPr="00B170DF">
        <w:rPr>
          <w:rFonts w:hint="eastAsia"/>
        </w:rPr>
        <w:t>同意注册决定后，按照中国证监会、深交所的相关规定及本次发行方案所规定的条件，根据竞价结果与本次发行的保荐机构（主承销商）协商确定。</w:t>
      </w:r>
    </w:p>
    <w:p w14:paraId="420F625B" w14:textId="77777777" w:rsidR="00BA73FA" w:rsidRPr="00B170DF" w:rsidRDefault="00BA73FA" w:rsidP="00BA73FA">
      <w:pPr>
        <w:spacing w:beforeLines="0" w:before="0" w:afterLines="0" w:after="0"/>
        <w:ind w:firstLine="480"/>
      </w:pPr>
      <w:r w:rsidRPr="00B170DF">
        <w:rPr>
          <w:rFonts w:hint="eastAsia"/>
        </w:rPr>
        <w:lastRenderedPageBreak/>
        <w:t>4</w:t>
      </w:r>
      <w:r w:rsidRPr="00B170DF">
        <w:rPr>
          <w:rFonts w:hint="eastAsia"/>
        </w:rPr>
        <w:t>、</w:t>
      </w:r>
      <w:bookmarkStart w:id="8" w:name="_Hlk192670593"/>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数量按照募集资金总额除以发行价格确定，且不超过本次向特定对象发行前公司总股本的百分之三十。最终发行数量由董事会及其授权人士根据股东大会的授权，在公司取得中国证监会对本次发行予以注册的决定后，与保荐机构（主承销商）按照相关法律、法规和规范性文件的规定协商确定。若按目前公司总股本测算，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数量不超过</w:t>
      </w:r>
      <w:r w:rsidRPr="00B170DF">
        <w:rPr>
          <w:rFonts w:hint="eastAsia"/>
        </w:rPr>
        <w:t>47,780,100</w:t>
      </w:r>
      <w:r w:rsidRPr="00B170DF">
        <w:rPr>
          <w:rFonts w:hint="eastAsia"/>
        </w:rPr>
        <w:t>股（含本数）。</w:t>
      </w:r>
      <w:bookmarkEnd w:id="8"/>
    </w:p>
    <w:p w14:paraId="633D09B5" w14:textId="77777777" w:rsidR="00BA73FA" w:rsidRPr="00B170DF" w:rsidRDefault="00BA73FA" w:rsidP="00BA73FA">
      <w:pPr>
        <w:spacing w:beforeLines="0" w:before="0" w:afterLines="0" w:after="0"/>
        <w:ind w:firstLine="480"/>
      </w:pPr>
      <w:r w:rsidRPr="00B170DF">
        <w:rPr>
          <w:rFonts w:hint="eastAsia"/>
        </w:rPr>
        <w:t>如公司股票在本次发行的定价基准日至发行日期间发生派息、送股、资本公积转增股本等除权、除息事项或因股份回购、员工股权激励计划等事项导致总股本发生变化，则本次发行的股票数量将进行相应调整。若本次发行的股票数量因监管政策变化或根据发行审批文件的要求予以调整的，则本次发行的股票数量届时将相应调整。</w:t>
      </w:r>
    </w:p>
    <w:p w14:paraId="37AA5DFD" w14:textId="77777777" w:rsidR="00BA73FA" w:rsidRPr="00B170DF" w:rsidRDefault="00BA73FA" w:rsidP="00BA73FA">
      <w:pPr>
        <w:spacing w:beforeLines="0" w:before="0" w:afterLines="0" w:after="0"/>
        <w:ind w:firstLine="480"/>
      </w:pPr>
      <w:r w:rsidRPr="00B170DF">
        <w:rPr>
          <w:rFonts w:hint="eastAsia"/>
        </w:rPr>
        <w:t>5</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发行完成后，发行对象所认购的股票自本次发行结束之日起六个月内不得转让。法律法规、规范性文件对限售期另有规定的，依其规定。限售期结束后，发行对象减持其认购的本次向特定对象发行的股票按中国证监会及深交所的有关规定执行。若前述限售期与证券监管机构的最新监管意见或监管要求不相符，将根据相关证券监管机构的监管意见或监管要求进行相应调整。本次发行对象所取得上市公司向特定对象发行的股份因上市公司分配股票股利、资本公积金转增等形式所衍生取得的股份亦应遵守上述股份锁定安排。</w:t>
      </w:r>
    </w:p>
    <w:p w14:paraId="1DE488B5" w14:textId="77777777" w:rsidR="00811708" w:rsidRPr="00B170DF" w:rsidRDefault="00BA73FA" w:rsidP="00811708">
      <w:pPr>
        <w:adjustRightInd w:val="0"/>
        <w:spacing w:before="163" w:after="163"/>
        <w:ind w:firstLine="480"/>
        <w:rPr>
          <w:rFonts w:ascii="宋体" w:hAnsi="宋体" w:cs="宋体" w:hint="eastAsia"/>
          <w:noProof/>
          <w:snapToGrid w:val="0"/>
          <w:color w:val="000000"/>
          <w:kern w:val="0"/>
          <w:szCs w:val="24"/>
        </w:rPr>
      </w:pPr>
      <w:r w:rsidRPr="00B170DF">
        <w:rPr>
          <w:rFonts w:hint="eastAsia"/>
        </w:rPr>
        <w:t>6</w:t>
      </w:r>
      <w:r w:rsidRPr="00B170DF">
        <w:rPr>
          <w:rFonts w:hint="eastAsia"/>
        </w:rPr>
        <w:t>、</w:t>
      </w:r>
      <w:r w:rsidR="00811708" w:rsidRPr="00B170DF">
        <w:rPr>
          <w:rFonts w:ascii="宋体" w:hAnsi="宋体" w:cs="宋体"/>
          <w:noProof/>
          <w:snapToGrid w:val="0"/>
          <w:color w:val="000000"/>
          <w:spacing w:val="-2"/>
          <w:kern w:val="0"/>
          <w:szCs w:val="24"/>
        </w:rPr>
        <w:t>本次向特定对象发行</w:t>
      </w:r>
      <w:r w:rsidR="008E518B" w:rsidRPr="00B170DF">
        <w:rPr>
          <w:rFonts w:eastAsia="等线" w:hint="eastAsia"/>
          <w:noProof/>
          <w:snapToGrid w:val="0"/>
          <w:color w:val="000000"/>
          <w:spacing w:val="-2"/>
          <w:kern w:val="0"/>
          <w:szCs w:val="24"/>
        </w:rPr>
        <w:t>A</w:t>
      </w:r>
      <w:r w:rsidR="00811708" w:rsidRPr="00B170DF">
        <w:rPr>
          <w:rFonts w:ascii="宋体" w:hAnsi="宋体" w:cs="宋体"/>
          <w:noProof/>
          <w:snapToGrid w:val="0"/>
          <w:color w:val="000000"/>
          <w:spacing w:val="-2"/>
          <w:kern w:val="0"/>
          <w:szCs w:val="24"/>
        </w:rPr>
        <w:t>股股票拟募集资金总额不超过</w:t>
      </w:r>
      <w:r w:rsidR="008E518B" w:rsidRPr="00B170DF">
        <w:rPr>
          <w:rFonts w:eastAsia="等线" w:hint="eastAsia"/>
          <w:noProof/>
          <w:snapToGrid w:val="0"/>
          <w:color w:val="000000"/>
          <w:spacing w:val="-2"/>
          <w:kern w:val="0"/>
          <w:szCs w:val="24"/>
        </w:rPr>
        <w:t>97,686.65</w:t>
      </w:r>
      <w:r w:rsidR="00811708" w:rsidRPr="00B170DF">
        <w:rPr>
          <w:rFonts w:ascii="宋体" w:hAnsi="宋体" w:cs="宋体"/>
          <w:noProof/>
          <w:snapToGrid w:val="0"/>
          <w:color w:val="000000"/>
          <w:spacing w:val="-2"/>
          <w:kern w:val="0"/>
          <w:szCs w:val="24"/>
        </w:rPr>
        <w:t>万元（含本</w:t>
      </w:r>
      <w:r w:rsidR="00811708" w:rsidRPr="00B170DF">
        <w:rPr>
          <w:rFonts w:ascii="宋体" w:hAnsi="宋体" w:cs="宋体"/>
          <w:noProof/>
          <w:snapToGrid w:val="0"/>
          <w:color w:val="000000"/>
          <w:spacing w:val="-8"/>
          <w:kern w:val="0"/>
          <w:szCs w:val="24"/>
        </w:rPr>
        <w:t>数</w:t>
      </w:r>
      <w:r w:rsidR="00811708" w:rsidRPr="00B170DF">
        <w:rPr>
          <w:rFonts w:ascii="宋体" w:hAnsi="宋体" w:cs="宋体"/>
          <w:noProof/>
          <w:snapToGrid w:val="0"/>
          <w:color w:val="000000"/>
          <w:spacing w:val="-24"/>
          <w:kern w:val="0"/>
          <w:szCs w:val="24"/>
        </w:rPr>
        <w:t>），</w:t>
      </w:r>
      <w:r w:rsidR="00811708" w:rsidRPr="00B170DF">
        <w:rPr>
          <w:rFonts w:ascii="宋体" w:hAnsi="宋体" w:cs="宋体"/>
          <w:noProof/>
          <w:snapToGrid w:val="0"/>
          <w:color w:val="000000"/>
          <w:spacing w:val="-8"/>
          <w:kern w:val="0"/>
          <w:szCs w:val="24"/>
        </w:rPr>
        <w:t>扣除发行费用后全部用于以下项目：</w:t>
      </w:r>
    </w:p>
    <w:p w14:paraId="635D3A67" w14:textId="77777777" w:rsidR="00811708" w:rsidRPr="00B170DF" w:rsidRDefault="00811708" w:rsidP="001F1733">
      <w:pPr>
        <w:spacing w:before="163" w:after="163" w:line="240" w:lineRule="auto"/>
        <w:ind w:firstLineChars="0" w:firstLine="0"/>
        <w:jc w:val="right"/>
        <w:rPr>
          <w:sz w:val="21"/>
          <w:szCs w:val="21"/>
        </w:rPr>
      </w:pPr>
      <w:bookmarkStart w:id="9" w:name="_Hlk192274778"/>
      <w:r w:rsidRPr="00B170DF">
        <w:rPr>
          <w:rFonts w:hint="eastAsia"/>
          <w:sz w:val="21"/>
          <w:szCs w:val="21"/>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311"/>
        <w:gridCol w:w="1546"/>
        <w:gridCol w:w="1544"/>
        <w:gridCol w:w="1875"/>
      </w:tblGrid>
      <w:tr w:rsidR="00811708" w:rsidRPr="00B170DF" w14:paraId="72E03EA7" w14:textId="77777777">
        <w:trPr>
          <w:trHeight w:val="397"/>
          <w:tblHeader/>
          <w:jc w:val="center"/>
        </w:trPr>
        <w:tc>
          <w:tcPr>
            <w:tcW w:w="2000" w:type="pct"/>
            <w:shd w:val="clear" w:color="auto" w:fill="FFFFFF"/>
            <w:tcMar>
              <w:top w:w="0" w:type="dxa"/>
              <w:left w:w="30" w:type="dxa"/>
              <w:bottom w:w="0" w:type="dxa"/>
              <w:right w:w="30" w:type="dxa"/>
            </w:tcMar>
            <w:vAlign w:val="center"/>
          </w:tcPr>
          <w:p w14:paraId="0A967988" w14:textId="77777777" w:rsidR="00811708" w:rsidRPr="00B170DF" w:rsidRDefault="00811708" w:rsidP="00811708">
            <w:pPr>
              <w:keepNext/>
              <w:spacing w:beforeLines="0" w:before="0" w:afterLines="0" w:after="0" w:line="240" w:lineRule="auto"/>
              <w:ind w:firstLineChars="0" w:firstLine="0"/>
              <w:jc w:val="center"/>
              <w:rPr>
                <w:b/>
                <w:sz w:val="21"/>
                <w:szCs w:val="21"/>
              </w:rPr>
            </w:pPr>
            <w:r w:rsidRPr="00B170DF">
              <w:rPr>
                <w:b/>
                <w:sz w:val="21"/>
                <w:szCs w:val="21"/>
              </w:rPr>
              <w:t>项目名称</w:t>
            </w:r>
          </w:p>
        </w:tc>
        <w:tc>
          <w:tcPr>
            <w:tcW w:w="934" w:type="pct"/>
            <w:shd w:val="clear" w:color="auto" w:fill="FFFFFF"/>
            <w:tcMar>
              <w:top w:w="0" w:type="dxa"/>
              <w:left w:w="30" w:type="dxa"/>
              <w:bottom w:w="0" w:type="dxa"/>
              <w:right w:w="30" w:type="dxa"/>
            </w:tcMar>
            <w:vAlign w:val="center"/>
          </w:tcPr>
          <w:p w14:paraId="49C11067" w14:textId="77777777" w:rsidR="00811708" w:rsidRPr="00B170DF" w:rsidRDefault="00811708" w:rsidP="00811708">
            <w:pPr>
              <w:keepNext/>
              <w:spacing w:beforeLines="0" w:before="0" w:afterLines="0" w:after="0" w:line="240" w:lineRule="auto"/>
              <w:ind w:firstLineChars="0" w:firstLine="0"/>
              <w:jc w:val="center"/>
              <w:rPr>
                <w:b/>
                <w:sz w:val="21"/>
                <w:szCs w:val="21"/>
              </w:rPr>
            </w:pPr>
            <w:r w:rsidRPr="00B170DF">
              <w:rPr>
                <w:b/>
                <w:sz w:val="21"/>
                <w:szCs w:val="21"/>
              </w:rPr>
              <w:t>投资金额</w:t>
            </w:r>
          </w:p>
        </w:tc>
        <w:tc>
          <w:tcPr>
            <w:tcW w:w="933" w:type="pct"/>
            <w:shd w:val="clear" w:color="auto" w:fill="FFFFFF"/>
            <w:tcMar>
              <w:top w:w="0" w:type="dxa"/>
              <w:left w:w="30" w:type="dxa"/>
              <w:bottom w:w="0" w:type="dxa"/>
              <w:right w:w="30" w:type="dxa"/>
            </w:tcMar>
            <w:vAlign w:val="center"/>
          </w:tcPr>
          <w:p w14:paraId="0E9F0987" w14:textId="77777777" w:rsidR="00811708" w:rsidRPr="00B170DF" w:rsidRDefault="00811708" w:rsidP="00811708">
            <w:pPr>
              <w:keepNext/>
              <w:spacing w:beforeLines="0" w:before="0" w:afterLines="0" w:after="0" w:line="240" w:lineRule="auto"/>
              <w:ind w:firstLineChars="0" w:firstLine="0"/>
              <w:jc w:val="center"/>
              <w:rPr>
                <w:b/>
                <w:sz w:val="21"/>
                <w:szCs w:val="21"/>
              </w:rPr>
            </w:pPr>
            <w:r w:rsidRPr="00B170DF">
              <w:rPr>
                <w:b/>
                <w:sz w:val="21"/>
                <w:szCs w:val="21"/>
              </w:rPr>
              <w:t>拟使用募集资金金额</w:t>
            </w:r>
          </w:p>
        </w:tc>
        <w:tc>
          <w:tcPr>
            <w:tcW w:w="1133" w:type="pct"/>
            <w:shd w:val="clear" w:color="auto" w:fill="FFFFFF"/>
            <w:vAlign w:val="center"/>
          </w:tcPr>
          <w:p w14:paraId="063D25D0" w14:textId="77777777" w:rsidR="00811708" w:rsidRPr="00B170DF" w:rsidRDefault="00811708" w:rsidP="00811708">
            <w:pPr>
              <w:keepNext/>
              <w:spacing w:beforeLines="0" w:before="0" w:afterLines="0" w:after="0" w:line="240" w:lineRule="auto"/>
              <w:ind w:firstLineChars="0" w:firstLine="0"/>
              <w:jc w:val="center"/>
              <w:rPr>
                <w:b/>
                <w:sz w:val="21"/>
                <w:szCs w:val="21"/>
              </w:rPr>
            </w:pPr>
            <w:r w:rsidRPr="00B170DF">
              <w:rPr>
                <w:b/>
                <w:sz w:val="21"/>
                <w:szCs w:val="21"/>
              </w:rPr>
              <w:t>募集资金是否属于资本化阶段</w:t>
            </w:r>
          </w:p>
        </w:tc>
      </w:tr>
      <w:tr w:rsidR="00811708" w:rsidRPr="00B170DF" w14:paraId="4C856460" w14:textId="77777777">
        <w:trPr>
          <w:trHeight w:val="397"/>
          <w:jc w:val="center"/>
        </w:trPr>
        <w:tc>
          <w:tcPr>
            <w:tcW w:w="2000" w:type="pct"/>
            <w:shd w:val="clear" w:color="auto" w:fill="FFFFFF"/>
            <w:tcMar>
              <w:top w:w="0" w:type="dxa"/>
              <w:left w:w="30" w:type="dxa"/>
              <w:bottom w:w="0" w:type="dxa"/>
              <w:right w:w="30" w:type="dxa"/>
            </w:tcMar>
            <w:vAlign w:val="center"/>
          </w:tcPr>
          <w:p w14:paraId="1FD07F50" w14:textId="77777777" w:rsidR="00811708" w:rsidRPr="00B170DF" w:rsidRDefault="00811708" w:rsidP="00811708">
            <w:pPr>
              <w:spacing w:beforeLines="0" w:before="0" w:afterLines="0" w:after="0" w:line="240" w:lineRule="auto"/>
              <w:ind w:firstLineChars="0" w:firstLine="0"/>
              <w:rPr>
                <w:b/>
                <w:bCs/>
                <w:sz w:val="21"/>
                <w:szCs w:val="21"/>
              </w:rPr>
            </w:pPr>
            <w:r w:rsidRPr="00B170DF">
              <w:rPr>
                <w:rFonts w:hint="eastAsia"/>
                <w:b/>
                <w:bCs/>
                <w:sz w:val="21"/>
                <w:szCs w:val="21"/>
              </w:rPr>
              <w:t>一、创新药研发项目</w:t>
            </w:r>
          </w:p>
        </w:tc>
        <w:tc>
          <w:tcPr>
            <w:tcW w:w="934" w:type="pct"/>
            <w:shd w:val="clear" w:color="auto" w:fill="FFFFFF"/>
            <w:tcMar>
              <w:top w:w="0" w:type="dxa"/>
              <w:left w:w="30" w:type="dxa"/>
              <w:bottom w:w="0" w:type="dxa"/>
              <w:right w:w="30" w:type="dxa"/>
            </w:tcMar>
            <w:vAlign w:val="center"/>
          </w:tcPr>
          <w:p w14:paraId="1CB0D03E" w14:textId="77777777" w:rsidR="00811708" w:rsidRPr="00B170DF" w:rsidRDefault="00811708" w:rsidP="00811708">
            <w:pPr>
              <w:spacing w:beforeLines="0" w:before="0" w:afterLines="0" w:after="0" w:line="240" w:lineRule="auto"/>
              <w:ind w:firstLineChars="0" w:firstLine="0"/>
              <w:jc w:val="right"/>
              <w:rPr>
                <w:sz w:val="21"/>
                <w:szCs w:val="21"/>
              </w:rPr>
            </w:pPr>
            <w:r w:rsidRPr="00B170DF">
              <w:rPr>
                <w:rFonts w:hint="eastAsia"/>
                <w:sz w:val="21"/>
                <w:szCs w:val="21"/>
              </w:rPr>
              <w:t>63,100.60</w:t>
            </w:r>
          </w:p>
        </w:tc>
        <w:tc>
          <w:tcPr>
            <w:tcW w:w="933" w:type="pct"/>
            <w:shd w:val="clear" w:color="auto" w:fill="FFFFFF"/>
            <w:tcMar>
              <w:top w:w="0" w:type="dxa"/>
              <w:left w:w="30" w:type="dxa"/>
              <w:bottom w:w="0" w:type="dxa"/>
              <w:right w:w="30" w:type="dxa"/>
            </w:tcMar>
            <w:vAlign w:val="center"/>
          </w:tcPr>
          <w:p w14:paraId="4631AC7F" w14:textId="77777777" w:rsidR="00811708" w:rsidRPr="00B170DF" w:rsidRDefault="00811708" w:rsidP="00811708">
            <w:pPr>
              <w:spacing w:beforeLines="0" w:before="0" w:afterLines="0" w:after="0" w:line="240" w:lineRule="auto"/>
              <w:ind w:firstLineChars="0" w:firstLine="0"/>
              <w:jc w:val="right"/>
              <w:rPr>
                <w:sz w:val="21"/>
                <w:szCs w:val="21"/>
              </w:rPr>
            </w:pPr>
            <w:r w:rsidRPr="00B170DF">
              <w:rPr>
                <w:rFonts w:hint="eastAsia"/>
                <w:sz w:val="21"/>
                <w:szCs w:val="21"/>
              </w:rPr>
              <w:t>59,837.60</w:t>
            </w:r>
          </w:p>
        </w:tc>
        <w:tc>
          <w:tcPr>
            <w:tcW w:w="1133" w:type="pct"/>
            <w:shd w:val="clear" w:color="auto" w:fill="FFFFFF"/>
            <w:vAlign w:val="center"/>
          </w:tcPr>
          <w:p w14:paraId="7AB35308" w14:textId="77777777" w:rsidR="00811708" w:rsidRPr="00B170DF" w:rsidRDefault="00811708" w:rsidP="00811708">
            <w:pPr>
              <w:spacing w:beforeLines="0" w:before="0" w:afterLines="0" w:after="0" w:line="240" w:lineRule="auto"/>
              <w:ind w:firstLineChars="0" w:firstLine="0"/>
              <w:jc w:val="center"/>
              <w:rPr>
                <w:sz w:val="21"/>
                <w:szCs w:val="21"/>
              </w:rPr>
            </w:pPr>
            <w:r w:rsidRPr="00B170DF">
              <w:rPr>
                <w:rFonts w:hint="eastAsia"/>
                <w:sz w:val="21"/>
                <w:szCs w:val="21"/>
              </w:rPr>
              <w:t>是</w:t>
            </w:r>
          </w:p>
        </w:tc>
      </w:tr>
      <w:tr w:rsidR="00811708" w:rsidRPr="00B170DF" w14:paraId="3CBEBF1C" w14:textId="77777777">
        <w:trPr>
          <w:trHeight w:val="397"/>
          <w:jc w:val="center"/>
        </w:trPr>
        <w:tc>
          <w:tcPr>
            <w:tcW w:w="2000" w:type="pct"/>
            <w:shd w:val="clear" w:color="auto" w:fill="FFFFFF"/>
            <w:tcMar>
              <w:top w:w="0" w:type="dxa"/>
              <w:left w:w="30" w:type="dxa"/>
              <w:bottom w:w="0" w:type="dxa"/>
              <w:right w:w="30" w:type="dxa"/>
            </w:tcMar>
            <w:vAlign w:val="center"/>
          </w:tcPr>
          <w:p w14:paraId="34688421" w14:textId="77777777" w:rsidR="00811708" w:rsidRPr="00B170DF" w:rsidRDefault="00811708" w:rsidP="00811708">
            <w:pPr>
              <w:spacing w:beforeLines="0" w:before="0" w:afterLines="0" w:after="0" w:line="240" w:lineRule="auto"/>
              <w:ind w:firstLineChars="0" w:firstLine="0"/>
              <w:rPr>
                <w:b/>
                <w:bCs/>
                <w:sz w:val="21"/>
                <w:szCs w:val="21"/>
              </w:rPr>
            </w:pPr>
            <w:r w:rsidRPr="00B170DF">
              <w:rPr>
                <w:rFonts w:hint="eastAsia"/>
                <w:b/>
                <w:bCs/>
                <w:sz w:val="21"/>
                <w:szCs w:val="21"/>
              </w:rPr>
              <w:t>二、中药传统名方产业化项目</w:t>
            </w:r>
          </w:p>
        </w:tc>
        <w:tc>
          <w:tcPr>
            <w:tcW w:w="934" w:type="pct"/>
            <w:shd w:val="clear" w:color="auto" w:fill="FFFFFF"/>
            <w:tcMar>
              <w:top w:w="0" w:type="dxa"/>
              <w:left w:w="30" w:type="dxa"/>
              <w:bottom w:w="0" w:type="dxa"/>
              <w:right w:w="30" w:type="dxa"/>
            </w:tcMar>
            <w:vAlign w:val="center"/>
          </w:tcPr>
          <w:p w14:paraId="28A1A3E1" w14:textId="77777777" w:rsidR="00811708" w:rsidRPr="00B170DF" w:rsidRDefault="00811708" w:rsidP="00811708">
            <w:pPr>
              <w:spacing w:beforeLines="0" w:before="0" w:afterLines="0" w:after="0" w:line="240" w:lineRule="auto"/>
              <w:ind w:firstLineChars="0" w:firstLine="0"/>
              <w:jc w:val="right"/>
              <w:rPr>
                <w:sz w:val="21"/>
                <w:szCs w:val="21"/>
              </w:rPr>
            </w:pPr>
            <w:r w:rsidRPr="00B170DF">
              <w:rPr>
                <w:sz w:val="21"/>
                <w:szCs w:val="21"/>
              </w:rPr>
              <w:t>10,525.29</w:t>
            </w:r>
          </w:p>
        </w:tc>
        <w:tc>
          <w:tcPr>
            <w:tcW w:w="933" w:type="pct"/>
            <w:shd w:val="clear" w:color="auto" w:fill="FFFFFF"/>
            <w:tcMar>
              <w:top w:w="0" w:type="dxa"/>
              <w:left w:w="30" w:type="dxa"/>
              <w:bottom w:w="0" w:type="dxa"/>
              <w:right w:w="30" w:type="dxa"/>
            </w:tcMar>
            <w:vAlign w:val="center"/>
          </w:tcPr>
          <w:p w14:paraId="5C18C9ED" w14:textId="77777777" w:rsidR="00811708" w:rsidRPr="00B170DF" w:rsidRDefault="008E518B" w:rsidP="00811708">
            <w:pPr>
              <w:spacing w:beforeLines="0" w:before="0" w:afterLines="0" w:after="0" w:line="240" w:lineRule="auto"/>
              <w:ind w:firstLineChars="0" w:firstLine="0"/>
              <w:jc w:val="right"/>
              <w:rPr>
                <w:sz w:val="21"/>
                <w:szCs w:val="21"/>
              </w:rPr>
            </w:pPr>
            <w:r w:rsidRPr="00B170DF">
              <w:rPr>
                <w:rFonts w:hint="eastAsia"/>
                <w:sz w:val="21"/>
                <w:szCs w:val="21"/>
              </w:rPr>
              <w:t>8,849.05</w:t>
            </w:r>
          </w:p>
        </w:tc>
        <w:tc>
          <w:tcPr>
            <w:tcW w:w="1133" w:type="pct"/>
            <w:shd w:val="clear" w:color="auto" w:fill="FFFFFF"/>
            <w:vAlign w:val="center"/>
          </w:tcPr>
          <w:p w14:paraId="3E07651C" w14:textId="77777777" w:rsidR="00811708" w:rsidRPr="00B170DF" w:rsidRDefault="00811708" w:rsidP="00811708">
            <w:pPr>
              <w:spacing w:beforeLines="0" w:before="0" w:afterLines="0" w:after="0" w:line="240" w:lineRule="auto"/>
              <w:ind w:firstLineChars="0" w:firstLine="0"/>
              <w:jc w:val="center"/>
              <w:rPr>
                <w:sz w:val="21"/>
                <w:szCs w:val="21"/>
              </w:rPr>
            </w:pPr>
            <w:r w:rsidRPr="00B170DF">
              <w:rPr>
                <w:sz w:val="21"/>
                <w:szCs w:val="21"/>
              </w:rPr>
              <w:t>是</w:t>
            </w:r>
          </w:p>
        </w:tc>
      </w:tr>
      <w:tr w:rsidR="00811708" w:rsidRPr="00B170DF" w14:paraId="4141BFED" w14:textId="77777777">
        <w:trPr>
          <w:trHeight w:val="397"/>
          <w:jc w:val="center"/>
        </w:trPr>
        <w:tc>
          <w:tcPr>
            <w:tcW w:w="2000" w:type="pct"/>
            <w:shd w:val="clear" w:color="auto" w:fill="FFFFFF"/>
            <w:tcMar>
              <w:top w:w="0" w:type="dxa"/>
              <w:left w:w="30" w:type="dxa"/>
              <w:bottom w:w="0" w:type="dxa"/>
              <w:right w:w="30" w:type="dxa"/>
            </w:tcMar>
            <w:vAlign w:val="center"/>
          </w:tcPr>
          <w:p w14:paraId="7CB66A23" w14:textId="77777777" w:rsidR="00811708" w:rsidRPr="00B170DF" w:rsidRDefault="00811708" w:rsidP="00811708">
            <w:pPr>
              <w:spacing w:beforeLines="0" w:before="0" w:afterLines="0" w:after="0" w:line="240" w:lineRule="auto"/>
              <w:ind w:firstLineChars="0" w:firstLine="0"/>
              <w:rPr>
                <w:b/>
                <w:bCs/>
                <w:sz w:val="21"/>
                <w:szCs w:val="21"/>
              </w:rPr>
            </w:pPr>
            <w:r w:rsidRPr="00B170DF">
              <w:rPr>
                <w:rFonts w:hint="eastAsia"/>
                <w:b/>
                <w:bCs/>
                <w:sz w:val="21"/>
                <w:szCs w:val="21"/>
              </w:rPr>
              <w:t>三、</w:t>
            </w:r>
            <w:r w:rsidRPr="00B170DF">
              <w:rPr>
                <w:b/>
                <w:bCs/>
                <w:sz w:val="21"/>
                <w:szCs w:val="21"/>
              </w:rPr>
              <w:t>补充流动资金</w:t>
            </w:r>
          </w:p>
        </w:tc>
        <w:tc>
          <w:tcPr>
            <w:tcW w:w="934" w:type="pct"/>
            <w:shd w:val="clear" w:color="auto" w:fill="FFFFFF"/>
            <w:tcMar>
              <w:top w:w="0" w:type="dxa"/>
              <w:left w:w="30" w:type="dxa"/>
              <w:bottom w:w="0" w:type="dxa"/>
              <w:right w:w="30" w:type="dxa"/>
            </w:tcMar>
            <w:vAlign w:val="center"/>
          </w:tcPr>
          <w:p w14:paraId="7D12C02A" w14:textId="77777777" w:rsidR="00811708" w:rsidRPr="00B170DF" w:rsidRDefault="00811708" w:rsidP="00811708">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933" w:type="pct"/>
            <w:shd w:val="clear" w:color="auto" w:fill="FFFFFF"/>
            <w:tcMar>
              <w:top w:w="0" w:type="dxa"/>
              <w:left w:w="30" w:type="dxa"/>
              <w:bottom w:w="0" w:type="dxa"/>
              <w:right w:w="30" w:type="dxa"/>
            </w:tcMar>
            <w:vAlign w:val="center"/>
          </w:tcPr>
          <w:p w14:paraId="53630A69" w14:textId="77777777" w:rsidR="00811708" w:rsidRPr="00B170DF" w:rsidRDefault="00811708" w:rsidP="00811708">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1133" w:type="pct"/>
            <w:shd w:val="clear" w:color="auto" w:fill="FFFFFF"/>
            <w:vAlign w:val="center"/>
          </w:tcPr>
          <w:p w14:paraId="1993416D" w14:textId="77777777" w:rsidR="00811708" w:rsidRPr="00B170DF" w:rsidRDefault="00811708" w:rsidP="00811708">
            <w:pPr>
              <w:spacing w:beforeLines="0" w:before="0" w:afterLines="0" w:after="0" w:line="240" w:lineRule="auto"/>
              <w:ind w:firstLineChars="0" w:firstLine="0"/>
              <w:jc w:val="center"/>
              <w:rPr>
                <w:sz w:val="21"/>
                <w:szCs w:val="21"/>
              </w:rPr>
            </w:pPr>
            <w:r w:rsidRPr="00B170DF">
              <w:rPr>
                <w:sz w:val="21"/>
                <w:szCs w:val="21"/>
              </w:rPr>
              <w:t>否</w:t>
            </w:r>
          </w:p>
        </w:tc>
      </w:tr>
      <w:tr w:rsidR="00811708" w:rsidRPr="00B170DF" w14:paraId="42D5B330" w14:textId="77777777">
        <w:trPr>
          <w:trHeight w:val="397"/>
          <w:jc w:val="center"/>
        </w:trPr>
        <w:tc>
          <w:tcPr>
            <w:tcW w:w="2000" w:type="pct"/>
            <w:shd w:val="clear" w:color="auto" w:fill="FFFFFF"/>
            <w:vAlign w:val="center"/>
          </w:tcPr>
          <w:p w14:paraId="126CABF6" w14:textId="77777777" w:rsidR="00811708" w:rsidRPr="00B170DF" w:rsidRDefault="00811708" w:rsidP="00811708">
            <w:pPr>
              <w:spacing w:beforeLines="0" w:before="0" w:afterLines="0" w:after="0" w:line="240" w:lineRule="auto"/>
              <w:ind w:firstLineChars="0" w:firstLine="0"/>
              <w:jc w:val="center"/>
              <w:rPr>
                <w:b/>
                <w:sz w:val="21"/>
                <w:szCs w:val="21"/>
              </w:rPr>
            </w:pPr>
            <w:r w:rsidRPr="00B170DF">
              <w:rPr>
                <w:b/>
                <w:sz w:val="21"/>
                <w:szCs w:val="21"/>
              </w:rPr>
              <w:t>合计：</w:t>
            </w:r>
          </w:p>
        </w:tc>
        <w:tc>
          <w:tcPr>
            <w:tcW w:w="934" w:type="pct"/>
            <w:shd w:val="clear" w:color="auto" w:fill="FFFFFF"/>
            <w:tcMar>
              <w:top w:w="0" w:type="dxa"/>
              <w:left w:w="30" w:type="dxa"/>
              <w:bottom w:w="0" w:type="dxa"/>
              <w:right w:w="30" w:type="dxa"/>
            </w:tcMar>
            <w:vAlign w:val="center"/>
          </w:tcPr>
          <w:p w14:paraId="6E0DAD11" w14:textId="77777777" w:rsidR="00811708" w:rsidRPr="00B170DF" w:rsidRDefault="00811708" w:rsidP="00811708">
            <w:pPr>
              <w:spacing w:beforeLines="0" w:before="0" w:afterLines="0" w:after="0" w:line="240" w:lineRule="auto"/>
              <w:ind w:firstLineChars="0" w:firstLine="0"/>
              <w:jc w:val="right"/>
              <w:rPr>
                <w:b/>
                <w:bCs/>
                <w:sz w:val="21"/>
                <w:szCs w:val="21"/>
              </w:rPr>
            </w:pPr>
            <w:r w:rsidRPr="00B170DF">
              <w:rPr>
                <w:b/>
                <w:bCs/>
                <w:sz w:val="21"/>
                <w:szCs w:val="21"/>
              </w:rPr>
              <w:t>102,625.89</w:t>
            </w:r>
          </w:p>
        </w:tc>
        <w:tc>
          <w:tcPr>
            <w:tcW w:w="933" w:type="pct"/>
            <w:shd w:val="clear" w:color="auto" w:fill="FFFFFF"/>
            <w:tcMar>
              <w:top w:w="0" w:type="dxa"/>
              <w:left w:w="30" w:type="dxa"/>
              <w:bottom w:w="0" w:type="dxa"/>
              <w:right w:w="30" w:type="dxa"/>
            </w:tcMar>
            <w:vAlign w:val="center"/>
          </w:tcPr>
          <w:p w14:paraId="1DB567EE" w14:textId="77777777" w:rsidR="00811708" w:rsidRPr="00B170DF" w:rsidRDefault="008E518B" w:rsidP="00811708">
            <w:pPr>
              <w:spacing w:beforeLines="0" w:before="0" w:afterLines="0" w:after="0" w:line="240" w:lineRule="auto"/>
              <w:ind w:firstLineChars="0" w:firstLine="0"/>
              <w:jc w:val="right"/>
              <w:rPr>
                <w:b/>
                <w:bCs/>
                <w:sz w:val="21"/>
                <w:szCs w:val="21"/>
              </w:rPr>
            </w:pPr>
            <w:r w:rsidRPr="00B170DF">
              <w:rPr>
                <w:rFonts w:hint="eastAsia"/>
                <w:b/>
                <w:bCs/>
                <w:sz w:val="21"/>
                <w:szCs w:val="21"/>
              </w:rPr>
              <w:t>97,686.65</w:t>
            </w:r>
            <w:r w:rsidR="00811708" w:rsidRPr="00B170DF">
              <w:rPr>
                <w:b/>
                <w:bCs/>
                <w:sz w:val="21"/>
                <w:szCs w:val="21"/>
              </w:rPr>
              <w:t xml:space="preserve"> </w:t>
            </w:r>
          </w:p>
        </w:tc>
        <w:tc>
          <w:tcPr>
            <w:tcW w:w="1133" w:type="pct"/>
            <w:shd w:val="clear" w:color="auto" w:fill="FFFFFF"/>
            <w:vAlign w:val="center"/>
          </w:tcPr>
          <w:p w14:paraId="5360C796" w14:textId="77777777" w:rsidR="00811708" w:rsidRPr="00B170DF" w:rsidRDefault="00811708" w:rsidP="00811708">
            <w:pPr>
              <w:spacing w:beforeLines="0" w:before="0" w:afterLines="0" w:after="0" w:line="240" w:lineRule="auto"/>
              <w:ind w:firstLineChars="0" w:firstLine="0"/>
              <w:jc w:val="center"/>
              <w:rPr>
                <w:b/>
                <w:sz w:val="21"/>
                <w:szCs w:val="21"/>
              </w:rPr>
            </w:pPr>
            <w:r w:rsidRPr="00B170DF">
              <w:rPr>
                <w:b/>
                <w:sz w:val="21"/>
                <w:szCs w:val="21"/>
              </w:rPr>
              <w:t>-</w:t>
            </w:r>
          </w:p>
        </w:tc>
      </w:tr>
    </w:tbl>
    <w:bookmarkEnd w:id="9"/>
    <w:p w14:paraId="1B480F48" w14:textId="77777777" w:rsidR="00BA73FA" w:rsidRPr="00B170DF" w:rsidRDefault="00BA73FA" w:rsidP="00811708">
      <w:pPr>
        <w:spacing w:before="163" w:after="163"/>
        <w:ind w:firstLine="480"/>
      </w:pPr>
      <w:r w:rsidRPr="00B170DF">
        <w:rPr>
          <w:rFonts w:hint="eastAsia"/>
        </w:rPr>
        <w:lastRenderedPageBreak/>
        <w:t>在本次发行募集资金到位前，公司将根据募集资金投资项目的实际情况，以自筹资金先行投入，并在募集资金到位后按照相关法规规定的程序予以置换。募集资金到位后，若扣除发行费用后的实际募集资金净额少于拟投入募集资金总额，在本次发行募集资金投资项目范围内，公司将根据实际募集资金净额，按照具体项目的轻重缓急等情况，调整并最终决定募集资金的具体投资项目、优先级及各项目的具体投资额，募集资金不足部分由公司以自有资金或通过其他融资方式解决。</w:t>
      </w:r>
    </w:p>
    <w:p w14:paraId="367F04A4" w14:textId="77777777" w:rsidR="00E8131B" w:rsidRPr="00B170DF" w:rsidRDefault="00E8131B" w:rsidP="00811708">
      <w:pPr>
        <w:spacing w:before="163" w:after="163"/>
        <w:ind w:firstLine="480"/>
      </w:pPr>
      <w:r w:rsidRPr="00B170DF">
        <w:rPr>
          <w:rFonts w:hint="eastAsia"/>
        </w:rPr>
        <w:t>7</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完成后，不会导致公司控股股东、实际控制人发生变化，亦不会导致公司股权分布不具备上市条件的情形。</w:t>
      </w:r>
    </w:p>
    <w:p w14:paraId="41E1C5FE" w14:textId="77777777" w:rsidR="00E8131B" w:rsidRPr="00B170DF" w:rsidRDefault="00E8131B" w:rsidP="00811708">
      <w:pPr>
        <w:spacing w:before="163" w:after="163"/>
        <w:ind w:firstLine="480"/>
      </w:pPr>
      <w:r w:rsidRPr="00B170DF">
        <w:rPr>
          <w:rFonts w:hint="eastAsia"/>
        </w:rPr>
        <w:t>8</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完成后，本次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前公司滚存的未分配利润</w:t>
      </w:r>
      <w:r w:rsidR="005B7FDD" w:rsidRPr="00B170DF">
        <w:rPr>
          <w:rFonts w:hint="eastAsia"/>
        </w:rPr>
        <w:t>或</w:t>
      </w:r>
      <w:r w:rsidR="001F1733" w:rsidRPr="00B170DF">
        <w:rPr>
          <w:rFonts w:hint="eastAsia"/>
        </w:rPr>
        <w:t>未</w:t>
      </w:r>
      <w:r w:rsidR="005B7FDD" w:rsidRPr="00B170DF">
        <w:rPr>
          <w:rFonts w:hint="eastAsia"/>
        </w:rPr>
        <w:t>弥补亏损</w:t>
      </w:r>
      <w:r w:rsidRPr="00B170DF">
        <w:rPr>
          <w:rFonts w:hint="eastAsia"/>
        </w:rPr>
        <w:t>，由本次发行完成后的新老股东共同享有。</w:t>
      </w:r>
    </w:p>
    <w:p w14:paraId="0D7586E1" w14:textId="77777777" w:rsidR="00E8131B" w:rsidRPr="00B170DF" w:rsidRDefault="00E8131B" w:rsidP="00811708">
      <w:pPr>
        <w:spacing w:before="163" w:after="163"/>
        <w:ind w:firstLine="480"/>
      </w:pPr>
      <w:r w:rsidRPr="00B170DF">
        <w:rPr>
          <w:rFonts w:hint="eastAsia"/>
        </w:rPr>
        <w:t>9</w:t>
      </w:r>
      <w:r w:rsidRPr="00B170DF">
        <w:rPr>
          <w:rFonts w:hint="eastAsia"/>
        </w:rPr>
        <w:t>、根据中国证监会《关于进一步落实上市公司现金分红有关事项的通知》（证监发</w:t>
      </w:r>
      <w:r w:rsidRPr="00B170DF">
        <w:rPr>
          <w:rFonts w:hint="eastAsia"/>
        </w:rPr>
        <w:t>[2012]37</w:t>
      </w:r>
      <w:r w:rsidRPr="00B170DF">
        <w:rPr>
          <w:rFonts w:hint="eastAsia"/>
        </w:rPr>
        <w:t>号）以及《上市公司监管指引第</w:t>
      </w:r>
      <w:r w:rsidRPr="00B170DF">
        <w:rPr>
          <w:rFonts w:hint="eastAsia"/>
        </w:rPr>
        <w:t>3</w:t>
      </w:r>
      <w:r w:rsidRPr="00B170DF">
        <w:rPr>
          <w:rFonts w:hint="eastAsia"/>
        </w:rPr>
        <w:t>号——上市公司现金分红》（证监会公告</w:t>
      </w:r>
      <w:r w:rsidRPr="00B170DF">
        <w:rPr>
          <w:rFonts w:hint="eastAsia"/>
        </w:rPr>
        <w:t>[2023]61</w:t>
      </w:r>
      <w:r w:rsidRPr="00B170DF">
        <w:rPr>
          <w:rFonts w:hint="eastAsia"/>
        </w:rPr>
        <w:t>号）等规定的有关要求，本预案“第四节</w:t>
      </w:r>
      <w:r w:rsidRPr="00B170DF">
        <w:rPr>
          <w:rFonts w:hint="eastAsia"/>
        </w:rPr>
        <w:t xml:space="preserve"> </w:t>
      </w:r>
      <w:r w:rsidRPr="00B170DF">
        <w:rPr>
          <w:rFonts w:hint="eastAsia"/>
        </w:rPr>
        <w:t>利润分配政策及执行情况”对公司现行的利润分配政策、最近三年的利润分配及现金分红情况、公司未来股东回报规划等进行了说明，提请广大投资者注意。</w:t>
      </w:r>
    </w:p>
    <w:p w14:paraId="70C424E6" w14:textId="77777777" w:rsidR="00E8131B" w:rsidRPr="00B170DF" w:rsidRDefault="00E8131B" w:rsidP="00811708">
      <w:pPr>
        <w:spacing w:before="163" w:after="163"/>
        <w:ind w:firstLine="480"/>
      </w:pPr>
      <w:r w:rsidRPr="00B170DF">
        <w:rPr>
          <w:rFonts w:hint="eastAsia"/>
        </w:rPr>
        <w:t>10</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后，公司的每股收益短期内存在下降的风险。特此提醒投资者关注本次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摊</w:t>
      </w:r>
      <w:proofErr w:type="gramStart"/>
      <w:r w:rsidRPr="00B170DF">
        <w:rPr>
          <w:rFonts w:hint="eastAsia"/>
        </w:rPr>
        <w:t>薄股东</w:t>
      </w:r>
      <w:proofErr w:type="gramEnd"/>
      <w:r w:rsidRPr="00B170DF">
        <w:rPr>
          <w:rFonts w:hint="eastAsia"/>
        </w:rPr>
        <w:t>即期回报的风险，虽然本公司为应对即期回报被摊</w:t>
      </w:r>
      <w:proofErr w:type="gramStart"/>
      <w:r w:rsidRPr="00B170DF">
        <w:rPr>
          <w:rFonts w:hint="eastAsia"/>
        </w:rPr>
        <w:t>薄风险</w:t>
      </w:r>
      <w:proofErr w:type="gramEnd"/>
      <w:r w:rsidRPr="00B170DF">
        <w:rPr>
          <w:rFonts w:hint="eastAsia"/>
        </w:rPr>
        <w:t>而制定了填补回报措施，但所制定的填补回报措施不等于对公司未来利润做出保证。投资者不应据此进行投资决策，投资者据此进行投资决策造成损失的，公司不承担赔偿责任。提请广大投资者注意。</w:t>
      </w:r>
    </w:p>
    <w:p w14:paraId="2FC8907B" w14:textId="77777777" w:rsidR="00E8131B" w:rsidRPr="00B170DF" w:rsidRDefault="00E8131B" w:rsidP="00811708">
      <w:pPr>
        <w:spacing w:before="163" w:after="163"/>
        <w:ind w:firstLine="480"/>
      </w:pPr>
      <w:r w:rsidRPr="00B170DF">
        <w:rPr>
          <w:rFonts w:hint="eastAsia"/>
        </w:rPr>
        <w:t>11</w:t>
      </w: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尚需深交所审核通过并经中国证监会同意注册。上述批准或注册均为本次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的前提条件，能否取得相关的批准或注册，以及最终取得批准或注册的时间存在不确定性，敬请投资者注意投资风险。</w:t>
      </w:r>
    </w:p>
    <w:p w14:paraId="3C5B7B27" w14:textId="77777777" w:rsidR="00983180" w:rsidRPr="00B170DF" w:rsidRDefault="00E8131B" w:rsidP="00811708">
      <w:pPr>
        <w:spacing w:before="163" w:after="163"/>
        <w:ind w:firstLine="480"/>
      </w:pPr>
      <w:r w:rsidRPr="00B170DF">
        <w:rPr>
          <w:rFonts w:hint="eastAsia"/>
        </w:rPr>
        <w:lastRenderedPageBreak/>
        <w:t>董事会特别提醒投资者仔细阅读本预案“第三节</w:t>
      </w:r>
      <w:r w:rsidRPr="00B170DF">
        <w:rPr>
          <w:rFonts w:hint="eastAsia"/>
        </w:rPr>
        <w:t xml:space="preserve"> </w:t>
      </w:r>
      <w:r w:rsidRPr="00B170DF">
        <w:rPr>
          <w:rFonts w:hint="eastAsia"/>
        </w:rPr>
        <w:t>董事会关于本次发行对公司影响的讨论与分析”之“六、本次发行的相关风险”，注意投资风险。</w:t>
      </w:r>
    </w:p>
    <w:p w14:paraId="1C90510D" w14:textId="77777777" w:rsidR="00E8131B" w:rsidRPr="00B170DF" w:rsidRDefault="00E8131B" w:rsidP="00983180">
      <w:pPr>
        <w:pStyle w:val="001"/>
        <w:spacing w:before="163" w:after="163"/>
        <w:rPr>
          <w:bCs w:val="0"/>
        </w:rPr>
      </w:pPr>
      <w:bookmarkStart w:id="10" w:name="_Toc194169709"/>
      <w:r w:rsidRPr="00B170DF">
        <w:rPr>
          <w:rFonts w:hint="eastAsia"/>
          <w:bCs w:val="0"/>
          <w:color w:val="000000"/>
        </w:rPr>
        <w:lastRenderedPageBreak/>
        <w:t>目录</w:t>
      </w:r>
      <w:bookmarkEnd w:id="10"/>
    </w:p>
    <w:p w14:paraId="678216F1" w14:textId="77777777" w:rsidR="00A17FA4" w:rsidRPr="00B170DF" w:rsidRDefault="00A17FA4" w:rsidP="001F1733">
      <w:pPr>
        <w:pStyle w:val="TOC1"/>
        <w:rPr>
          <w:rFonts w:hint="eastAsia"/>
          <w:sz w:val="22"/>
          <w:szCs w:val="24"/>
        </w:rPr>
      </w:pPr>
      <w:r w:rsidRPr="00B170DF">
        <w:rPr>
          <w:rFonts w:hint="eastAsia"/>
          <w:bCs/>
        </w:rPr>
        <w:fldChar w:fldCharType="begin"/>
      </w:r>
      <w:r w:rsidRPr="00B170DF">
        <w:rPr>
          <w:rFonts w:hint="eastAsia"/>
          <w:bCs/>
        </w:rPr>
        <w:instrText xml:space="preserve"> </w:instrText>
      </w:r>
      <w:r w:rsidRPr="00B170DF">
        <w:rPr>
          <w:bCs/>
        </w:rPr>
        <w:instrText>TOC \o "1-2" \h \z \u</w:instrText>
      </w:r>
      <w:r w:rsidRPr="00B170DF">
        <w:rPr>
          <w:rFonts w:hint="eastAsia"/>
          <w:bCs/>
        </w:rPr>
        <w:instrText xml:space="preserve"> </w:instrText>
      </w:r>
      <w:r w:rsidRPr="00B170DF">
        <w:rPr>
          <w:rFonts w:hint="eastAsia"/>
          <w:bCs/>
        </w:rPr>
        <w:fldChar w:fldCharType="separate"/>
      </w:r>
      <w:hyperlink w:anchor="_Toc194169707" w:history="1">
        <w:r w:rsidRPr="00B170DF">
          <w:rPr>
            <w:rStyle w:val="af2"/>
            <w:rFonts w:hint="eastAsia"/>
          </w:rPr>
          <w:t>声明</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_Toc194169707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2</w:t>
        </w:r>
        <w:r w:rsidRPr="00B170DF">
          <w:rPr>
            <w:rFonts w:hint="eastAsia"/>
            <w:webHidden/>
          </w:rPr>
          <w:fldChar w:fldCharType="end"/>
        </w:r>
      </w:hyperlink>
    </w:p>
    <w:p w14:paraId="04B716BD" w14:textId="77777777" w:rsidR="00A17FA4" w:rsidRPr="00B170DF" w:rsidRDefault="00A17FA4" w:rsidP="001F1733">
      <w:pPr>
        <w:pStyle w:val="TOC1"/>
        <w:rPr>
          <w:rFonts w:hint="eastAsia"/>
          <w:sz w:val="22"/>
          <w:szCs w:val="24"/>
        </w:rPr>
      </w:pPr>
      <w:hyperlink w:anchor="_Toc194169708" w:history="1">
        <w:r w:rsidRPr="00B170DF">
          <w:rPr>
            <w:rStyle w:val="af2"/>
            <w:rFonts w:hint="eastAsia"/>
          </w:rPr>
          <w:t>重大事项提示</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_Toc194169708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3</w:t>
        </w:r>
        <w:r w:rsidRPr="00B170DF">
          <w:rPr>
            <w:rFonts w:hint="eastAsia"/>
            <w:webHidden/>
          </w:rPr>
          <w:fldChar w:fldCharType="end"/>
        </w:r>
      </w:hyperlink>
    </w:p>
    <w:p w14:paraId="7EEFF572" w14:textId="77777777" w:rsidR="00A17FA4" w:rsidRPr="00B170DF" w:rsidRDefault="00A17FA4" w:rsidP="001F1733">
      <w:pPr>
        <w:pStyle w:val="TOC1"/>
        <w:rPr>
          <w:rFonts w:hint="eastAsia"/>
          <w:sz w:val="22"/>
          <w:szCs w:val="24"/>
        </w:rPr>
      </w:pPr>
      <w:hyperlink w:anchor="_Toc194169709" w:history="1">
        <w:r w:rsidRPr="00B170DF">
          <w:rPr>
            <w:rStyle w:val="af2"/>
            <w:rFonts w:hint="eastAsia"/>
          </w:rPr>
          <w:t>目录</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_Toc194169709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7</w:t>
        </w:r>
        <w:r w:rsidRPr="00B170DF">
          <w:rPr>
            <w:rFonts w:hint="eastAsia"/>
            <w:webHidden/>
          </w:rPr>
          <w:fldChar w:fldCharType="end"/>
        </w:r>
      </w:hyperlink>
    </w:p>
    <w:p w14:paraId="56A81DBC" w14:textId="77777777" w:rsidR="00A17FA4" w:rsidRPr="00B170DF" w:rsidRDefault="00A17FA4" w:rsidP="001F1733">
      <w:pPr>
        <w:pStyle w:val="TOC1"/>
        <w:rPr>
          <w:rFonts w:hint="eastAsia"/>
          <w:sz w:val="22"/>
          <w:szCs w:val="24"/>
        </w:rPr>
      </w:pPr>
      <w:hyperlink w:anchor="_Toc194169710" w:history="1">
        <w:r w:rsidRPr="00B170DF">
          <w:rPr>
            <w:rStyle w:val="af2"/>
            <w:rFonts w:hint="eastAsia"/>
          </w:rPr>
          <w:t>释义</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_Toc194169710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9</w:t>
        </w:r>
        <w:r w:rsidRPr="00B170DF">
          <w:rPr>
            <w:rFonts w:hint="eastAsia"/>
            <w:webHidden/>
          </w:rPr>
          <w:fldChar w:fldCharType="end"/>
        </w:r>
      </w:hyperlink>
    </w:p>
    <w:p w14:paraId="0A8990F0" w14:textId="77777777" w:rsidR="00A17FA4" w:rsidRPr="00B170DF" w:rsidRDefault="00A17FA4" w:rsidP="001F1733">
      <w:pPr>
        <w:pStyle w:val="TOC1"/>
        <w:rPr>
          <w:rFonts w:hint="eastAsia"/>
          <w:bCs/>
          <w:sz w:val="22"/>
          <w:szCs w:val="24"/>
        </w:rPr>
      </w:pPr>
      <w:hyperlink w:anchor="_Toc194169711" w:history="1">
        <w:r w:rsidRPr="00B170DF">
          <w:rPr>
            <w:rStyle w:val="af2"/>
            <w:rFonts w:hint="eastAsia"/>
          </w:rPr>
          <w:t>第一节 本次向特定对象发行A股股票方案概要</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_Toc194169711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11</w:t>
        </w:r>
        <w:r w:rsidRPr="00B170DF">
          <w:rPr>
            <w:rFonts w:hint="eastAsia"/>
            <w:webHidden/>
          </w:rPr>
          <w:fldChar w:fldCharType="end"/>
        </w:r>
      </w:hyperlink>
    </w:p>
    <w:p w14:paraId="5A8A0048" w14:textId="77777777" w:rsidR="00A17FA4" w:rsidRPr="00B170DF" w:rsidRDefault="00A17FA4">
      <w:pPr>
        <w:pStyle w:val="TOC2"/>
        <w:rPr>
          <w:rFonts w:ascii="宋体" w:hAnsi="宋体" w:hint="eastAsia"/>
          <w:bCs/>
          <w:sz w:val="22"/>
          <w:szCs w:val="24"/>
        </w:rPr>
      </w:pPr>
      <w:hyperlink w:anchor="_Toc194169712" w:history="1">
        <w:r w:rsidRPr="00B170DF">
          <w:rPr>
            <w:rStyle w:val="af2"/>
            <w:rFonts w:ascii="宋体" w:hAnsi="宋体" w:hint="eastAsia"/>
            <w:bCs/>
          </w:rPr>
          <w:t>一、公司基本情况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_Toc194169712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11</w:t>
        </w:r>
        <w:r w:rsidRPr="00B170DF">
          <w:rPr>
            <w:rFonts w:ascii="宋体" w:hAnsi="宋体" w:hint="eastAsia"/>
            <w:bCs/>
            <w:webHidden/>
          </w:rPr>
          <w:fldChar w:fldCharType="end"/>
        </w:r>
      </w:hyperlink>
    </w:p>
    <w:p w14:paraId="7B39B3BA" w14:textId="77777777" w:rsidR="00A17FA4" w:rsidRPr="00B170DF" w:rsidRDefault="00A17FA4">
      <w:pPr>
        <w:pStyle w:val="TOC2"/>
        <w:rPr>
          <w:rFonts w:ascii="宋体" w:hAnsi="宋体" w:hint="eastAsia"/>
          <w:bCs/>
          <w:sz w:val="22"/>
          <w:szCs w:val="24"/>
        </w:rPr>
      </w:pPr>
      <w:hyperlink w:anchor="_Toc194169713" w:history="1">
        <w:r w:rsidRPr="00B170DF">
          <w:rPr>
            <w:rStyle w:val="af2"/>
            <w:rFonts w:ascii="宋体" w:hAnsi="宋体" w:hint="eastAsia"/>
            <w:bCs/>
          </w:rPr>
          <w:t>二、本次向特定对象发行A股股票的背景和目的</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_Toc194169713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11</w:t>
        </w:r>
        <w:r w:rsidRPr="00B170DF">
          <w:rPr>
            <w:rFonts w:ascii="宋体" w:hAnsi="宋体" w:hint="eastAsia"/>
            <w:bCs/>
            <w:webHidden/>
          </w:rPr>
          <w:fldChar w:fldCharType="end"/>
        </w:r>
      </w:hyperlink>
    </w:p>
    <w:p w14:paraId="6FB0E426" w14:textId="77777777" w:rsidR="00A17FA4" w:rsidRPr="00B170DF" w:rsidRDefault="00A17FA4">
      <w:pPr>
        <w:pStyle w:val="TOC2"/>
        <w:rPr>
          <w:rFonts w:ascii="宋体" w:hAnsi="宋体" w:hint="eastAsia"/>
          <w:bCs/>
          <w:sz w:val="22"/>
          <w:szCs w:val="24"/>
        </w:rPr>
      </w:pPr>
      <w:hyperlink w:anchor="_Toc194169714" w:history="1">
        <w:r w:rsidRPr="00B170DF">
          <w:rPr>
            <w:rStyle w:val="af2"/>
            <w:rFonts w:ascii="宋体" w:hAnsi="宋体" w:hint="eastAsia"/>
            <w:bCs/>
          </w:rPr>
          <w:t>三、发行对象及其与公司的关系</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_Toc194169714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16</w:t>
        </w:r>
        <w:r w:rsidRPr="00B170DF">
          <w:rPr>
            <w:rFonts w:ascii="宋体" w:hAnsi="宋体" w:hint="eastAsia"/>
            <w:bCs/>
            <w:webHidden/>
          </w:rPr>
          <w:fldChar w:fldCharType="end"/>
        </w:r>
      </w:hyperlink>
    </w:p>
    <w:p w14:paraId="702D7020" w14:textId="77777777" w:rsidR="00A17FA4" w:rsidRPr="00B170DF" w:rsidRDefault="00A17FA4">
      <w:pPr>
        <w:pStyle w:val="TOC2"/>
        <w:rPr>
          <w:rFonts w:ascii="宋体" w:hAnsi="宋体" w:hint="eastAsia"/>
          <w:bCs/>
          <w:sz w:val="22"/>
          <w:szCs w:val="24"/>
        </w:rPr>
      </w:pPr>
      <w:hyperlink w:anchor="_Toc194169715" w:history="1">
        <w:r w:rsidRPr="00B170DF">
          <w:rPr>
            <w:rStyle w:val="af2"/>
            <w:rFonts w:ascii="宋体" w:hAnsi="宋体" w:hint="eastAsia"/>
            <w:bCs/>
          </w:rPr>
          <w:t>四、本次向特定对象发行A股股票方案概要</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_Toc194169715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16</w:t>
        </w:r>
        <w:r w:rsidRPr="00B170DF">
          <w:rPr>
            <w:rFonts w:ascii="宋体" w:hAnsi="宋体" w:hint="eastAsia"/>
            <w:bCs/>
            <w:webHidden/>
          </w:rPr>
          <w:fldChar w:fldCharType="end"/>
        </w:r>
      </w:hyperlink>
    </w:p>
    <w:p w14:paraId="1A33723D" w14:textId="77777777" w:rsidR="00A17FA4" w:rsidRPr="00B170DF" w:rsidRDefault="00A17FA4">
      <w:pPr>
        <w:pStyle w:val="TOC2"/>
        <w:rPr>
          <w:rFonts w:ascii="宋体" w:hAnsi="宋体" w:hint="eastAsia"/>
          <w:bCs/>
          <w:sz w:val="22"/>
          <w:szCs w:val="24"/>
        </w:rPr>
      </w:pPr>
      <w:hyperlink w:anchor="_Toc194169716" w:history="1">
        <w:r w:rsidRPr="00B170DF">
          <w:rPr>
            <w:rStyle w:val="af2"/>
            <w:rFonts w:ascii="宋体" w:hAnsi="宋体" w:hint="eastAsia"/>
            <w:bCs/>
          </w:rPr>
          <w:t>五、本次发行是否构成关联交易</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_Toc194169716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20</w:t>
        </w:r>
        <w:r w:rsidRPr="00B170DF">
          <w:rPr>
            <w:rFonts w:ascii="宋体" w:hAnsi="宋体" w:hint="eastAsia"/>
            <w:bCs/>
            <w:webHidden/>
          </w:rPr>
          <w:fldChar w:fldCharType="end"/>
        </w:r>
      </w:hyperlink>
    </w:p>
    <w:p w14:paraId="42B25651" w14:textId="77777777" w:rsidR="00A17FA4" w:rsidRPr="00B170DF" w:rsidRDefault="00A17FA4">
      <w:pPr>
        <w:pStyle w:val="TOC2"/>
        <w:rPr>
          <w:rFonts w:ascii="宋体" w:hAnsi="宋体" w:hint="eastAsia"/>
          <w:bCs/>
          <w:sz w:val="22"/>
          <w:szCs w:val="24"/>
        </w:rPr>
      </w:pPr>
      <w:hyperlink w:anchor="_Toc194169717" w:history="1">
        <w:r w:rsidRPr="00B170DF">
          <w:rPr>
            <w:rStyle w:val="af2"/>
            <w:rFonts w:ascii="宋体" w:hAnsi="宋体" w:hint="eastAsia"/>
            <w:bCs/>
          </w:rPr>
          <w:t>六、本次发行是否导致公司控制权发生变化</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_Toc194169717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20</w:t>
        </w:r>
        <w:r w:rsidRPr="00B170DF">
          <w:rPr>
            <w:rFonts w:ascii="宋体" w:hAnsi="宋体" w:hint="eastAsia"/>
            <w:bCs/>
            <w:webHidden/>
          </w:rPr>
          <w:fldChar w:fldCharType="end"/>
        </w:r>
      </w:hyperlink>
    </w:p>
    <w:p w14:paraId="4EA63831" w14:textId="77777777" w:rsidR="00A17FA4" w:rsidRPr="00B170DF" w:rsidRDefault="00A17FA4">
      <w:pPr>
        <w:pStyle w:val="TOC2"/>
        <w:rPr>
          <w:rFonts w:ascii="宋体" w:hAnsi="宋体" w:hint="eastAsia"/>
          <w:bCs/>
          <w:sz w:val="22"/>
          <w:szCs w:val="24"/>
        </w:rPr>
      </w:pPr>
      <w:hyperlink w:anchor="_Toc194169718" w:history="1">
        <w:r w:rsidRPr="00B170DF">
          <w:rPr>
            <w:rStyle w:val="af2"/>
            <w:rFonts w:ascii="宋体" w:hAnsi="宋体" w:hint="eastAsia"/>
            <w:bCs/>
          </w:rPr>
          <w:t>七、本次发行是否导致股权分布不具备上市条件</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_Toc194169718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20</w:t>
        </w:r>
        <w:r w:rsidRPr="00B170DF">
          <w:rPr>
            <w:rFonts w:ascii="宋体" w:hAnsi="宋体" w:hint="eastAsia"/>
            <w:bCs/>
            <w:webHidden/>
          </w:rPr>
          <w:fldChar w:fldCharType="end"/>
        </w:r>
      </w:hyperlink>
    </w:p>
    <w:p w14:paraId="59C696AD" w14:textId="77777777" w:rsidR="00A17FA4" w:rsidRPr="00B170DF" w:rsidRDefault="00A17FA4">
      <w:pPr>
        <w:pStyle w:val="TOC2"/>
        <w:rPr>
          <w:rFonts w:ascii="宋体" w:hAnsi="宋体" w:hint="eastAsia"/>
          <w:bCs/>
          <w:sz w:val="22"/>
          <w:szCs w:val="24"/>
        </w:rPr>
      </w:pPr>
      <w:hyperlink w:anchor="_Toc194169719" w:history="1">
        <w:r w:rsidRPr="00B170DF">
          <w:rPr>
            <w:rStyle w:val="af2"/>
            <w:rFonts w:ascii="宋体" w:hAnsi="宋体" w:hint="eastAsia"/>
            <w:bCs/>
          </w:rPr>
          <w:t>八、本次发行取得批准的情况以及尚需呈报批准的程序</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_Toc194169719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21</w:t>
        </w:r>
        <w:r w:rsidRPr="00B170DF">
          <w:rPr>
            <w:rFonts w:ascii="宋体" w:hAnsi="宋体" w:hint="eastAsia"/>
            <w:bCs/>
            <w:webHidden/>
          </w:rPr>
          <w:fldChar w:fldCharType="end"/>
        </w:r>
      </w:hyperlink>
    </w:p>
    <w:p w14:paraId="328F53C0" w14:textId="77777777" w:rsidR="00A17FA4" w:rsidRPr="00B170DF" w:rsidRDefault="00A17FA4" w:rsidP="001F1733">
      <w:pPr>
        <w:pStyle w:val="TOC1"/>
        <w:rPr>
          <w:rFonts w:hint="eastAsia"/>
          <w:sz w:val="22"/>
          <w:szCs w:val="24"/>
        </w:rPr>
      </w:pPr>
      <w:hyperlink w:anchor="_Toc194169720" w:history="1">
        <w:r w:rsidRPr="00B170DF">
          <w:rPr>
            <w:rStyle w:val="af2"/>
            <w:rFonts w:hint="eastAsia"/>
          </w:rPr>
          <w:t>第二节 董事会关于本次发行募集资金运用的可行性分析</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_Toc194169720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22</w:t>
        </w:r>
        <w:r w:rsidRPr="00B170DF">
          <w:rPr>
            <w:rFonts w:hint="eastAsia"/>
            <w:webHidden/>
          </w:rPr>
          <w:fldChar w:fldCharType="end"/>
        </w:r>
      </w:hyperlink>
    </w:p>
    <w:p w14:paraId="3F8CAB9D" w14:textId="77777777" w:rsidR="00A17FA4" w:rsidRPr="00B170DF" w:rsidRDefault="00A17FA4">
      <w:pPr>
        <w:pStyle w:val="TOC2"/>
        <w:rPr>
          <w:rFonts w:ascii="宋体" w:hAnsi="宋体" w:hint="eastAsia"/>
          <w:bCs/>
          <w:sz w:val="22"/>
          <w:szCs w:val="24"/>
        </w:rPr>
      </w:pPr>
      <w:hyperlink w:anchor="_Toc194169721" w:history="1">
        <w:r w:rsidRPr="00B170DF">
          <w:rPr>
            <w:rStyle w:val="af2"/>
            <w:rFonts w:ascii="宋体" w:hAnsi="宋体" w:hint="eastAsia"/>
            <w:bCs/>
          </w:rPr>
          <w:t>一、本次发行募集资金使用投资计划</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_Toc194169721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22</w:t>
        </w:r>
        <w:r w:rsidRPr="00B170DF">
          <w:rPr>
            <w:rFonts w:ascii="宋体" w:hAnsi="宋体" w:hint="eastAsia"/>
            <w:bCs/>
            <w:webHidden/>
          </w:rPr>
          <w:fldChar w:fldCharType="end"/>
        </w:r>
      </w:hyperlink>
    </w:p>
    <w:p w14:paraId="12A08F16" w14:textId="77777777" w:rsidR="00A17FA4" w:rsidRPr="00B170DF" w:rsidRDefault="00A17FA4">
      <w:pPr>
        <w:pStyle w:val="TOC2"/>
        <w:rPr>
          <w:rFonts w:ascii="宋体" w:hAnsi="宋体" w:hint="eastAsia"/>
          <w:bCs/>
          <w:sz w:val="22"/>
          <w:szCs w:val="24"/>
        </w:rPr>
      </w:pPr>
      <w:hyperlink w:anchor="_Toc194169722" w:history="1">
        <w:r w:rsidRPr="00B170DF">
          <w:rPr>
            <w:rStyle w:val="af2"/>
            <w:rFonts w:ascii="宋体" w:hAnsi="宋体" w:hint="eastAsia"/>
            <w:bCs/>
          </w:rPr>
          <w:t>二、本次发行募集资金投资项目的基本情况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_Toc194169722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22</w:t>
        </w:r>
        <w:r w:rsidRPr="00B170DF">
          <w:rPr>
            <w:rFonts w:ascii="宋体" w:hAnsi="宋体" w:hint="eastAsia"/>
            <w:bCs/>
            <w:webHidden/>
          </w:rPr>
          <w:fldChar w:fldCharType="end"/>
        </w:r>
      </w:hyperlink>
    </w:p>
    <w:p w14:paraId="349E0BCB" w14:textId="77777777" w:rsidR="00A17FA4" w:rsidRPr="00B170DF" w:rsidRDefault="00A17FA4">
      <w:pPr>
        <w:pStyle w:val="TOC2"/>
        <w:rPr>
          <w:rFonts w:ascii="宋体" w:hAnsi="宋体" w:hint="eastAsia"/>
          <w:bCs/>
          <w:sz w:val="22"/>
          <w:szCs w:val="24"/>
        </w:rPr>
      </w:pPr>
      <w:hyperlink w:anchor="_Toc194169723" w:history="1">
        <w:r w:rsidRPr="00B170DF">
          <w:rPr>
            <w:rStyle w:val="af2"/>
            <w:rFonts w:ascii="宋体" w:hAnsi="宋体" w:hint="eastAsia"/>
            <w:bCs/>
          </w:rPr>
          <w:t>三、本次发行募集资金对公司的影响分析</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_Toc194169723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36</w:t>
        </w:r>
        <w:r w:rsidRPr="00B170DF">
          <w:rPr>
            <w:rFonts w:ascii="宋体" w:hAnsi="宋体" w:hint="eastAsia"/>
            <w:bCs/>
            <w:webHidden/>
          </w:rPr>
          <w:fldChar w:fldCharType="end"/>
        </w:r>
      </w:hyperlink>
    </w:p>
    <w:p w14:paraId="2E374B8E" w14:textId="77777777" w:rsidR="00A17FA4" w:rsidRPr="00B170DF" w:rsidRDefault="00A17FA4" w:rsidP="001F1733">
      <w:pPr>
        <w:pStyle w:val="TOC1"/>
        <w:rPr>
          <w:rFonts w:hint="eastAsia"/>
          <w:sz w:val="22"/>
          <w:szCs w:val="24"/>
        </w:rPr>
      </w:pPr>
      <w:hyperlink w:anchor="_Toc194169724" w:history="1">
        <w:r w:rsidRPr="00B170DF">
          <w:rPr>
            <w:rStyle w:val="af2"/>
            <w:rFonts w:hint="eastAsia"/>
          </w:rPr>
          <w:t>第三节 董事会关于本次发行对公司影响的讨论与分析</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_Toc194169724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38</w:t>
        </w:r>
        <w:r w:rsidRPr="00B170DF">
          <w:rPr>
            <w:rFonts w:hint="eastAsia"/>
            <w:webHidden/>
          </w:rPr>
          <w:fldChar w:fldCharType="end"/>
        </w:r>
      </w:hyperlink>
    </w:p>
    <w:p w14:paraId="1A5A5424" w14:textId="77777777" w:rsidR="00A17FA4" w:rsidRPr="00B170DF" w:rsidRDefault="00A17FA4">
      <w:pPr>
        <w:pStyle w:val="TOC2"/>
        <w:rPr>
          <w:rFonts w:ascii="宋体" w:hAnsi="宋体" w:hint="eastAsia"/>
          <w:bCs/>
          <w:sz w:val="22"/>
          <w:szCs w:val="24"/>
        </w:rPr>
      </w:pPr>
      <w:hyperlink w:anchor="_Toc194169725" w:history="1">
        <w:r w:rsidRPr="00B170DF">
          <w:rPr>
            <w:rStyle w:val="af2"/>
            <w:rFonts w:ascii="宋体" w:hAnsi="宋体" w:hint="eastAsia"/>
            <w:bCs/>
          </w:rPr>
          <w:t>一、本次发行后公司业务、章程、股东结构、高管和业务结构的变动情况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_Toc194169725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38</w:t>
        </w:r>
        <w:r w:rsidRPr="00B170DF">
          <w:rPr>
            <w:rFonts w:ascii="宋体" w:hAnsi="宋体" w:hint="eastAsia"/>
            <w:bCs/>
            <w:webHidden/>
          </w:rPr>
          <w:fldChar w:fldCharType="end"/>
        </w:r>
      </w:hyperlink>
    </w:p>
    <w:p w14:paraId="165A9C7B" w14:textId="77777777" w:rsidR="00A17FA4" w:rsidRPr="00B170DF" w:rsidRDefault="00A17FA4">
      <w:pPr>
        <w:pStyle w:val="TOC2"/>
        <w:rPr>
          <w:rFonts w:ascii="宋体" w:hAnsi="宋体" w:hint="eastAsia"/>
          <w:bCs/>
          <w:sz w:val="22"/>
          <w:szCs w:val="24"/>
        </w:rPr>
      </w:pPr>
      <w:hyperlink w:anchor="_Toc194169726" w:history="1">
        <w:r w:rsidRPr="00B170DF">
          <w:rPr>
            <w:rStyle w:val="af2"/>
            <w:rFonts w:ascii="宋体" w:hAnsi="宋体" w:hint="eastAsia"/>
            <w:bCs/>
          </w:rPr>
          <w:t>二、本次发行后公司财务状况、盈利能力及现金流量的变动情况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_Toc194169726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39</w:t>
        </w:r>
        <w:r w:rsidRPr="00B170DF">
          <w:rPr>
            <w:rFonts w:ascii="宋体" w:hAnsi="宋体" w:hint="eastAsia"/>
            <w:bCs/>
            <w:webHidden/>
          </w:rPr>
          <w:fldChar w:fldCharType="end"/>
        </w:r>
      </w:hyperlink>
    </w:p>
    <w:p w14:paraId="2D31E563" w14:textId="77777777" w:rsidR="00A17FA4" w:rsidRPr="00B170DF" w:rsidRDefault="00A17FA4">
      <w:pPr>
        <w:pStyle w:val="TOC2"/>
        <w:rPr>
          <w:rFonts w:ascii="宋体" w:hAnsi="宋体" w:hint="eastAsia"/>
          <w:bCs/>
          <w:sz w:val="22"/>
          <w:szCs w:val="24"/>
        </w:rPr>
      </w:pPr>
      <w:hyperlink w:anchor="_Toc194169727" w:history="1">
        <w:r w:rsidRPr="00B170DF">
          <w:rPr>
            <w:rStyle w:val="af2"/>
            <w:rFonts w:ascii="宋体" w:hAnsi="宋体" w:hint="eastAsia"/>
            <w:bCs/>
          </w:rPr>
          <w:t>三、公司与控股股东、实际控制人及其关联人之间的业务关系、管理关系、同业竞争及关联交易等变化情况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_Toc194169727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40</w:t>
        </w:r>
        <w:r w:rsidRPr="00B170DF">
          <w:rPr>
            <w:rFonts w:ascii="宋体" w:hAnsi="宋体" w:hint="eastAsia"/>
            <w:bCs/>
            <w:webHidden/>
          </w:rPr>
          <w:fldChar w:fldCharType="end"/>
        </w:r>
      </w:hyperlink>
    </w:p>
    <w:p w14:paraId="6E39E479" w14:textId="77777777" w:rsidR="00A17FA4" w:rsidRPr="00B170DF" w:rsidRDefault="00A17FA4">
      <w:pPr>
        <w:pStyle w:val="TOC2"/>
        <w:rPr>
          <w:rFonts w:ascii="宋体" w:hAnsi="宋体" w:hint="eastAsia"/>
          <w:bCs/>
          <w:sz w:val="22"/>
          <w:szCs w:val="24"/>
        </w:rPr>
      </w:pPr>
      <w:hyperlink w:anchor="_Toc194169728" w:history="1">
        <w:r w:rsidRPr="00B170DF">
          <w:rPr>
            <w:rStyle w:val="af2"/>
            <w:rFonts w:ascii="宋体" w:hAnsi="宋体" w:hint="eastAsia"/>
            <w:bCs/>
          </w:rPr>
          <w:t>四、本次发行完成后，公司是否存在资金、资产被控股股东、实际控制人及其关联人占用的情形，或公司为控股股东、实际控制人及其关联人提供担保的情形</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_Toc194169728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40</w:t>
        </w:r>
        <w:r w:rsidRPr="00B170DF">
          <w:rPr>
            <w:rFonts w:ascii="宋体" w:hAnsi="宋体" w:hint="eastAsia"/>
            <w:bCs/>
            <w:webHidden/>
          </w:rPr>
          <w:fldChar w:fldCharType="end"/>
        </w:r>
      </w:hyperlink>
    </w:p>
    <w:p w14:paraId="3DFEEA2C" w14:textId="77777777" w:rsidR="00A17FA4" w:rsidRPr="00B170DF" w:rsidRDefault="00A17FA4">
      <w:pPr>
        <w:pStyle w:val="TOC2"/>
        <w:rPr>
          <w:rFonts w:ascii="宋体" w:hAnsi="宋体" w:hint="eastAsia"/>
          <w:bCs/>
          <w:sz w:val="22"/>
          <w:szCs w:val="24"/>
        </w:rPr>
      </w:pPr>
      <w:hyperlink w:anchor="_Toc194169729" w:history="1">
        <w:r w:rsidRPr="00B170DF">
          <w:rPr>
            <w:rStyle w:val="af2"/>
            <w:rFonts w:ascii="宋体" w:hAnsi="宋体" w:hint="eastAsia"/>
            <w:bCs/>
          </w:rPr>
          <w:t>五、本次发行对公司负债情况的影响</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_Toc194169729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40</w:t>
        </w:r>
        <w:r w:rsidRPr="00B170DF">
          <w:rPr>
            <w:rFonts w:ascii="宋体" w:hAnsi="宋体" w:hint="eastAsia"/>
            <w:bCs/>
            <w:webHidden/>
          </w:rPr>
          <w:fldChar w:fldCharType="end"/>
        </w:r>
      </w:hyperlink>
    </w:p>
    <w:p w14:paraId="776A6955" w14:textId="77777777" w:rsidR="00A17FA4" w:rsidRPr="00B170DF" w:rsidRDefault="00A17FA4">
      <w:pPr>
        <w:pStyle w:val="TOC2"/>
        <w:rPr>
          <w:rFonts w:ascii="宋体" w:hAnsi="宋体" w:hint="eastAsia"/>
          <w:bCs/>
          <w:sz w:val="22"/>
          <w:szCs w:val="24"/>
        </w:rPr>
      </w:pPr>
      <w:hyperlink w:anchor="_Toc194169730" w:history="1">
        <w:r w:rsidRPr="00B170DF">
          <w:rPr>
            <w:rStyle w:val="af2"/>
            <w:rFonts w:ascii="宋体" w:hAnsi="宋体" w:hint="eastAsia"/>
            <w:bCs/>
          </w:rPr>
          <w:t>六、本次发行的相关风险</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_Toc194169730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41</w:t>
        </w:r>
        <w:r w:rsidRPr="00B170DF">
          <w:rPr>
            <w:rFonts w:ascii="宋体" w:hAnsi="宋体" w:hint="eastAsia"/>
            <w:bCs/>
            <w:webHidden/>
          </w:rPr>
          <w:fldChar w:fldCharType="end"/>
        </w:r>
      </w:hyperlink>
    </w:p>
    <w:p w14:paraId="4857C96E" w14:textId="77777777" w:rsidR="00A17FA4" w:rsidRPr="00B170DF" w:rsidRDefault="00A17FA4" w:rsidP="001F1733">
      <w:pPr>
        <w:pStyle w:val="TOC1"/>
        <w:rPr>
          <w:rFonts w:hint="eastAsia"/>
          <w:sz w:val="22"/>
          <w:szCs w:val="24"/>
        </w:rPr>
      </w:pPr>
      <w:hyperlink w:anchor="_Toc194169731" w:history="1">
        <w:r w:rsidRPr="00B170DF">
          <w:rPr>
            <w:rStyle w:val="af2"/>
            <w:rFonts w:hint="eastAsia"/>
          </w:rPr>
          <w:t>第四节 利润分配政策及执行情况</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_Toc194169731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49</w:t>
        </w:r>
        <w:r w:rsidRPr="00B170DF">
          <w:rPr>
            <w:rFonts w:hint="eastAsia"/>
            <w:webHidden/>
          </w:rPr>
          <w:fldChar w:fldCharType="end"/>
        </w:r>
      </w:hyperlink>
    </w:p>
    <w:p w14:paraId="6AD75BFF" w14:textId="77777777" w:rsidR="00A17FA4" w:rsidRPr="00B170DF" w:rsidRDefault="00A17FA4">
      <w:pPr>
        <w:pStyle w:val="TOC2"/>
        <w:rPr>
          <w:rFonts w:ascii="宋体" w:hAnsi="宋体" w:hint="eastAsia"/>
          <w:bCs/>
          <w:sz w:val="22"/>
          <w:szCs w:val="24"/>
        </w:rPr>
      </w:pPr>
      <w:hyperlink w:anchor="_Toc194169732" w:history="1">
        <w:r w:rsidRPr="00B170DF">
          <w:rPr>
            <w:rStyle w:val="af2"/>
            <w:rFonts w:ascii="宋体" w:hAnsi="宋体" w:hint="eastAsia"/>
            <w:bCs/>
          </w:rPr>
          <w:t>一、公司利润分配政策和现金分红政策</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_Toc194169732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49</w:t>
        </w:r>
        <w:r w:rsidRPr="00B170DF">
          <w:rPr>
            <w:rFonts w:ascii="宋体" w:hAnsi="宋体" w:hint="eastAsia"/>
            <w:bCs/>
            <w:webHidden/>
          </w:rPr>
          <w:fldChar w:fldCharType="end"/>
        </w:r>
      </w:hyperlink>
    </w:p>
    <w:p w14:paraId="62F13A13" w14:textId="77777777" w:rsidR="00A17FA4" w:rsidRPr="00B170DF" w:rsidRDefault="00A17FA4">
      <w:pPr>
        <w:pStyle w:val="TOC2"/>
        <w:rPr>
          <w:rFonts w:ascii="宋体" w:hAnsi="宋体" w:hint="eastAsia"/>
          <w:bCs/>
          <w:sz w:val="22"/>
          <w:szCs w:val="24"/>
        </w:rPr>
      </w:pPr>
      <w:hyperlink w:anchor="_Toc194169733" w:history="1">
        <w:r w:rsidRPr="00B170DF">
          <w:rPr>
            <w:rStyle w:val="af2"/>
            <w:rFonts w:ascii="宋体" w:hAnsi="宋体" w:hint="eastAsia"/>
            <w:bCs/>
          </w:rPr>
          <w:t>二、公司近三年的现金分红及利润分配政策执行情况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_Toc194169733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52</w:t>
        </w:r>
        <w:r w:rsidRPr="00B170DF">
          <w:rPr>
            <w:rFonts w:ascii="宋体" w:hAnsi="宋体" w:hint="eastAsia"/>
            <w:bCs/>
            <w:webHidden/>
          </w:rPr>
          <w:fldChar w:fldCharType="end"/>
        </w:r>
      </w:hyperlink>
    </w:p>
    <w:p w14:paraId="5B4DCF3B" w14:textId="77777777" w:rsidR="00A17FA4" w:rsidRPr="00B170DF" w:rsidRDefault="00A17FA4">
      <w:pPr>
        <w:pStyle w:val="TOC2"/>
        <w:rPr>
          <w:rFonts w:ascii="宋体" w:hAnsi="宋体" w:hint="eastAsia"/>
          <w:bCs/>
          <w:sz w:val="22"/>
          <w:szCs w:val="24"/>
        </w:rPr>
      </w:pPr>
      <w:hyperlink w:anchor="_Toc194169734" w:history="1">
        <w:r w:rsidRPr="00B170DF">
          <w:rPr>
            <w:rStyle w:val="af2"/>
            <w:rFonts w:ascii="宋体" w:hAnsi="宋体" w:hint="eastAsia"/>
            <w:bCs/>
          </w:rPr>
          <w:t>三、公司未来三年（2025年-2027年）股东回报规划</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_Toc194169734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52</w:t>
        </w:r>
        <w:r w:rsidRPr="00B170DF">
          <w:rPr>
            <w:rFonts w:ascii="宋体" w:hAnsi="宋体" w:hint="eastAsia"/>
            <w:bCs/>
            <w:webHidden/>
          </w:rPr>
          <w:fldChar w:fldCharType="end"/>
        </w:r>
      </w:hyperlink>
    </w:p>
    <w:p w14:paraId="5313EC97" w14:textId="77777777" w:rsidR="00A17FA4" w:rsidRPr="00B170DF" w:rsidRDefault="00A17FA4" w:rsidP="001F1733">
      <w:pPr>
        <w:pStyle w:val="TOC1"/>
        <w:rPr>
          <w:rFonts w:hint="eastAsia"/>
          <w:sz w:val="22"/>
          <w:szCs w:val="24"/>
        </w:rPr>
      </w:pPr>
      <w:hyperlink w:anchor="_Toc194169735" w:history="1">
        <w:r w:rsidRPr="00B170DF">
          <w:rPr>
            <w:rStyle w:val="af2"/>
            <w:rFonts w:hint="eastAsia"/>
          </w:rPr>
          <w:t>第五节 与本次发行相关的董事会声明及承诺事项</w:t>
        </w:r>
        <w:r w:rsidRPr="00B170DF">
          <w:rPr>
            <w:rFonts w:hint="eastAsia"/>
            <w:webHidden/>
          </w:rPr>
          <w:tab/>
        </w:r>
        <w:r w:rsidRPr="00B170DF">
          <w:rPr>
            <w:rFonts w:hint="eastAsia"/>
            <w:webHidden/>
          </w:rPr>
          <w:fldChar w:fldCharType="begin"/>
        </w:r>
        <w:r w:rsidRPr="00B170DF">
          <w:rPr>
            <w:rFonts w:hint="eastAsia"/>
            <w:webHidden/>
          </w:rPr>
          <w:instrText xml:space="preserve"> </w:instrText>
        </w:r>
        <w:r w:rsidRPr="00B170DF">
          <w:rPr>
            <w:webHidden/>
          </w:rPr>
          <w:instrText>PAGEREF _Toc194169735 \h</w:instrText>
        </w:r>
        <w:r w:rsidRPr="00B170DF">
          <w:rPr>
            <w:rFonts w:hint="eastAsia"/>
            <w:webHidden/>
          </w:rPr>
          <w:instrText xml:space="preserve"> </w:instrText>
        </w:r>
        <w:r w:rsidRPr="00B170DF">
          <w:rPr>
            <w:rFonts w:hint="eastAsia"/>
            <w:webHidden/>
          </w:rPr>
        </w:r>
        <w:r w:rsidRPr="00B170DF">
          <w:rPr>
            <w:rFonts w:hint="eastAsia"/>
            <w:webHidden/>
          </w:rPr>
          <w:fldChar w:fldCharType="separate"/>
        </w:r>
        <w:r w:rsidRPr="00B170DF">
          <w:rPr>
            <w:rFonts w:hint="eastAsia"/>
            <w:webHidden/>
          </w:rPr>
          <w:t>56</w:t>
        </w:r>
        <w:r w:rsidRPr="00B170DF">
          <w:rPr>
            <w:rFonts w:hint="eastAsia"/>
            <w:webHidden/>
          </w:rPr>
          <w:fldChar w:fldCharType="end"/>
        </w:r>
      </w:hyperlink>
    </w:p>
    <w:p w14:paraId="3E6834BF" w14:textId="77777777" w:rsidR="00A17FA4" w:rsidRPr="00B170DF" w:rsidRDefault="00A17FA4">
      <w:pPr>
        <w:pStyle w:val="TOC2"/>
        <w:rPr>
          <w:rFonts w:ascii="宋体" w:hAnsi="宋体" w:hint="eastAsia"/>
          <w:bCs/>
          <w:sz w:val="22"/>
          <w:szCs w:val="24"/>
        </w:rPr>
      </w:pPr>
      <w:hyperlink w:anchor="_Toc194169736" w:history="1">
        <w:r w:rsidRPr="00B170DF">
          <w:rPr>
            <w:rStyle w:val="af2"/>
            <w:rFonts w:ascii="宋体" w:hAnsi="宋体" w:hint="eastAsia"/>
            <w:bCs/>
          </w:rPr>
          <w:t>一、董事会关于除本次发行外未来十二个月内是否有其他股权融资计划的声明</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_Toc194169736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56</w:t>
        </w:r>
        <w:r w:rsidRPr="00B170DF">
          <w:rPr>
            <w:rFonts w:ascii="宋体" w:hAnsi="宋体" w:hint="eastAsia"/>
            <w:bCs/>
            <w:webHidden/>
          </w:rPr>
          <w:fldChar w:fldCharType="end"/>
        </w:r>
      </w:hyperlink>
    </w:p>
    <w:p w14:paraId="3EBC5FB3" w14:textId="77777777" w:rsidR="00A17FA4" w:rsidRPr="00B170DF" w:rsidRDefault="00A17FA4">
      <w:pPr>
        <w:pStyle w:val="TOC2"/>
        <w:rPr>
          <w:rFonts w:ascii="宋体" w:hAnsi="宋体" w:hint="eastAsia"/>
          <w:bCs/>
          <w:sz w:val="22"/>
          <w:szCs w:val="24"/>
        </w:rPr>
      </w:pPr>
      <w:hyperlink w:anchor="_Toc194169737" w:history="1">
        <w:r w:rsidRPr="00B170DF">
          <w:rPr>
            <w:rStyle w:val="af2"/>
            <w:rFonts w:ascii="宋体" w:hAnsi="宋体" w:hint="eastAsia"/>
            <w:bCs/>
          </w:rPr>
          <w:t>二、本次向特定对象发行摊薄即期回报对公司主要财务指标的影响测算</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_Toc194169737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56</w:t>
        </w:r>
        <w:r w:rsidRPr="00B170DF">
          <w:rPr>
            <w:rFonts w:ascii="宋体" w:hAnsi="宋体" w:hint="eastAsia"/>
            <w:bCs/>
            <w:webHidden/>
          </w:rPr>
          <w:fldChar w:fldCharType="end"/>
        </w:r>
      </w:hyperlink>
    </w:p>
    <w:p w14:paraId="5BB02779" w14:textId="77777777" w:rsidR="00A17FA4" w:rsidRPr="00B170DF" w:rsidRDefault="00A17FA4">
      <w:pPr>
        <w:pStyle w:val="TOC2"/>
        <w:rPr>
          <w:rFonts w:ascii="宋体" w:hAnsi="宋体" w:hint="eastAsia"/>
          <w:bCs/>
          <w:sz w:val="22"/>
          <w:szCs w:val="24"/>
        </w:rPr>
      </w:pPr>
      <w:hyperlink w:anchor="_Toc194169738" w:history="1">
        <w:r w:rsidRPr="00B170DF">
          <w:rPr>
            <w:rStyle w:val="af2"/>
            <w:rFonts w:ascii="宋体" w:hAnsi="宋体" w:hint="eastAsia"/>
            <w:bCs/>
          </w:rPr>
          <w:t>三、本次向特定对象发行A股股票摊薄即期回报的风险提示</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_Toc194169738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58</w:t>
        </w:r>
        <w:r w:rsidRPr="00B170DF">
          <w:rPr>
            <w:rFonts w:ascii="宋体" w:hAnsi="宋体" w:hint="eastAsia"/>
            <w:bCs/>
            <w:webHidden/>
          </w:rPr>
          <w:fldChar w:fldCharType="end"/>
        </w:r>
      </w:hyperlink>
    </w:p>
    <w:p w14:paraId="0FE737CF" w14:textId="77777777" w:rsidR="00A17FA4" w:rsidRPr="00B170DF" w:rsidRDefault="00A17FA4">
      <w:pPr>
        <w:pStyle w:val="TOC2"/>
        <w:rPr>
          <w:rFonts w:ascii="宋体" w:hAnsi="宋体" w:hint="eastAsia"/>
          <w:bCs/>
          <w:sz w:val="22"/>
          <w:szCs w:val="24"/>
        </w:rPr>
      </w:pPr>
      <w:hyperlink w:anchor="_Toc194169739" w:history="1">
        <w:r w:rsidRPr="00B170DF">
          <w:rPr>
            <w:rStyle w:val="af2"/>
            <w:rFonts w:ascii="宋体" w:hAnsi="宋体" w:hint="eastAsia"/>
            <w:bCs/>
          </w:rPr>
          <w:t>四、关于本次向特定对象发行的必要性、合理性及与公司现有业务相关性的分析</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_Toc194169739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59</w:t>
        </w:r>
        <w:r w:rsidRPr="00B170DF">
          <w:rPr>
            <w:rFonts w:ascii="宋体" w:hAnsi="宋体" w:hint="eastAsia"/>
            <w:bCs/>
            <w:webHidden/>
          </w:rPr>
          <w:fldChar w:fldCharType="end"/>
        </w:r>
      </w:hyperlink>
    </w:p>
    <w:p w14:paraId="3454B46D" w14:textId="77777777" w:rsidR="00A17FA4" w:rsidRPr="00B170DF" w:rsidRDefault="00A17FA4">
      <w:pPr>
        <w:pStyle w:val="TOC2"/>
        <w:rPr>
          <w:rFonts w:ascii="宋体" w:hAnsi="宋体" w:hint="eastAsia"/>
          <w:bCs/>
          <w:sz w:val="22"/>
          <w:szCs w:val="24"/>
        </w:rPr>
      </w:pPr>
      <w:hyperlink w:anchor="_Toc194169740" w:history="1">
        <w:r w:rsidRPr="00B170DF">
          <w:rPr>
            <w:rStyle w:val="af2"/>
            <w:rFonts w:ascii="宋体" w:hAnsi="宋体" w:hint="eastAsia"/>
            <w:bCs/>
          </w:rPr>
          <w:t>五、本次募集资金投资项目与公司现有业务的关系、公司从事募投项目在人员、市场等方面的储备情况</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_Toc194169740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59</w:t>
        </w:r>
        <w:r w:rsidRPr="00B170DF">
          <w:rPr>
            <w:rFonts w:ascii="宋体" w:hAnsi="宋体" w:hint="eastAsia"/>
            <w:bCs/>
            <w:webHidden/>
          </w:rPr>
          <w:fldChar w:fldCharType="end"/>
        </w:r>
      </w:hyperlink>
    </w:p>
    <w:p w14:paraId="309A843A" w14:textId="77777777" w:rsidR="00A17FA4" w:rsidRPr="00B170DF" w:rsidRDefault="00A17FA4">
      <w:pPr>
        <w:pStyle w:val="TOC2"/>
        <w:rPr>
          <w:rFonts w:ascii="宋体" w:hAnsi="宋体" w:hint="eastAsia"/>
          <w:bCs/>
          <w:sz w:val="22"/>
          <w:szCs w:val="24"/>
        </w:rPr>
      </w:pPr>
      <w:hyperlink w:anchor="_Toc194169741" w:history="1">
        <w:r w:rsidRPr="00B170DF">
          <w:rPr>
            <w:rStyle w:val="af2"/>
            <w:rFonts w:ascii="宋体" w:hAnsi="宋体" w:hint="eastAsia"/>
            <w:bCs/>
          </w:rPr>
          <w:t>六、公司应对本次发行摊薄即期回报采取的措施</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_Toc194169741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61</w:t>
        </w:r>
        <w:r w:rsidRPr="00B170DF">
          <w:rPr>
            <w:rFonts w:ascii="宋体" w:hAnsi="宋体" w:hint="eastAsia"/>
            <w:bCs/>
            <w:webHidden/>
          </w:rPr>
          <w:fldChar w:fldCharType="end"/>
        </w:r>
      </w:hyperlink>
    </w:p>
    <w:p w14:paraId="32CF7B9D" w14:textId="77777777" w:rsidR="00A17FA4" w:rsidRPr="00B170DF" w:rsidRDefault="00A17FA4">
      <w:pPr>
        <w:pStyle w:val="TOC2"/>
        <w:rPr>
          <w:rFonts w:ascii="等线" w:eastAsia="等线" w:hAnsi="等线" w:hint="eastAsia"/>
          <w:sz w:val="22"/>
          <w:szCs w:val="24"/>
        </w:rPr>
      </w:pPr>
      <w:hyperlink w:anchor="_Toc194169742" w:history="1">
        <w:r w:rsidRPr="00B170DF">
          <w:rPr>
            <w:rStyle w:val="af2"/>
            <w:rFonts w:ascii="宋体" w:hAnsi="宋体" w:hint="eastAsia"/>
            <w:bCs/>
          </w:rPr>
          <w:t>七、相关主体对本次发行摊薄即期回报的相关承诺</w:t>
        </w:r>
        <w:r w:rsidRPr="00B170DF">
          <w:rPr>
            <w:rFonts w:ascii="宋体" w:hAnsi="宋体" w:hint="eastAsia"/>
            <w:bCs/>
            <w:webHidden/>
          </w:rPr>
          <w:tab/>
        </w:r>
        <w:r w:rsidRPr="00B170DF">
          <w:rPr>
            <w:rFonts w:ascii="宋体" w:hAnsi="宋体" w:hint="eastAsia"/>
            <w:bCs/>
            <w:webHidden/>
          </w:rPr>
          <w:fldChar w:fldCharType="begin"/>
        </w:r>
        <w:r w:rsidRPr="00B170DF">
          <w:rPr>
            <w:rFonts w:ascii="宋体" w:hAnsi="宋体" w:hint="eastAsia"/>
            <w:bCs/>
            <w:webHidden/>
          </w:rPr>
          <w:instrText xml:space="preserve"> </w:instrText>
        </w:r>
        <w:r w:rsidRPr="00B170DF">
          <w:rPr>
            <w:rFonts w:ascii="宋体" w:hAnsi="宋体"/>
            <w:bCs/>
            <w:webHidden/>
          </w:rPr>
          <w:instrText>PAGEREF _Toc194169742 \h</w:instrText>
        </w:r>
        <w:r w:rsidRPr="00B170DF">
          <w:rPr>
            <w:rFonts w:ascii="宋体" w:hAnsi="宋体" w:hint="eastAsia"/>
            <w:bCs/>
            <w:webHidden/>
          </w:rPr>
          <w:instrText xml:space="preserve"> </w:instrText>
        </w:r>
        <w:r w:rsidRPr="00B170DF">
          <w:rPr>
            <w:rFonts w:ascii="宋体" w:hAnsi="宋体" w:hint="eastAsia"/>
            <w:bCs/>
            <w:webHidden/>
          </w:rPr>
        </w:r>
        <w:r w:rsidRPr="00B170DF">
          <w:rPr>
            <w:rFonts w:ascii="宋体" w:hAnsi="宋体" w:hint="eastAsia"/>
            <w:bCs/>
            <w:webHidden/>
          </w:rPr>
          <w:fldChar w:fldCharType="separate"/>
        </w:r>
        <w:r w:rsidRPr="00B170DF">
          <w:rPr>
            <w:rFonts w:ascii="宋体" w:hAnsi="宋体"/>
            <w:bCs/>
            <w:webHidden/>
          </w:rPr>
          <w:t>62</w:t>
        </w:r>
        <w:r w:rsidRPr="00B170DF">
          <w:rPr>
            <w:rFonts w:ascii="宋体" w:hAnsi="宋体" w:hint="eastAsia"/>
            <w:bCs/>
            <w:webHidden/>
          </w:rPr>
          <w:fldChar w:fldCharType="end"/>
        </w:r>
      </w:hyperlink>
    </w:p>
    <w:p w14:paraId="5CC60801" w14:textId="77777777" w:rsidR="00E8131B" w:rsidRPr="00B170DF" w:rsidRDefault="00A17FA4" w:rsidP="00E8131B">
      <w:pPr>
        <w:spacing w:beforeLines="0" w:before="0" w:afterLines="0" w:after="0"/>
        <w:ind w:firstLineChars="0" w:firstLine="0"/>
      </w:pPr>
      <w:r w:rsidRPr="00B170DF">
        <w:rPr>
          <w:rFonts w:ascii="宋体" w:hAnsi="宋体" w:hint="eastAsia"/>
          <w:b/>
          <w:bCs/>
          <w:noProof/>
        </w:rPr>
        <w:fldChar w:fldCharType="end"/>
      </w:r>
    </w:p>
    <w:p w14:paraId="342E03A1" w14:textId="77777777" w:rsidR="009708BF" w:rsidRPr="00B170DF" w:rsidRDefault="009708BF" w:rsidP="00886BF0">
      <w:pPr>
        <w:pStyle w:val="001"/>
        <w:spacing w:before="163" w:after="163"/>
        <w:rPr>
          <w:bCs w:val="0"/>
          <w:color w:val="000000"/>
        </w:rPr>
      </w:pPr>
      <w:bookmarkStart w:id="11" w:name="_Toc98774487"/>
      <w:bookmarkStart w:id="12" w:name="_Toc153791411"/>
      <w:bookmarkStart w:id="13" w:name="_Toc194169710"/>
      <w:r w:rsidRPr="00B170DF">
        <w:rPr>
          <w:bCs w:val="0"/>
          <w:color w:val="000000"/>
        </w:rPr>
        <w:lastRenderedPageBreak/>
        <w:t>释义</w:t>
      </w:r>
      <w:bookmarkEnd w:id="11"/>
      <w:bookmarkEnd w:id="12"/>
      <w:bookmarkEnd w:id="13"/>
    </w:p>
    <w:p w14:paraId="644DF53A" w14:textId="77777777" w:rsidR="009708BF" w:rsidRPr="00B170DF" w:rsidRDefault="009708BF">
      <w:pPr>
        <w:spacing w:before="163" w:after="163"/>
        <w:ind w:firstLine="480"/>
      </w:pPr>
      <w:r w:rsidRPr="00B170DF">
        <w:t>在本预案中，除非文义另有所指，下列简称具有如下含义：</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50"/>
        <w:gridCol w:w="456"/>
        <w:gridCol w:w="9"/>
        <w:gridCol w:w="5361"/>
      </w:tblGrid>
      <w:tr w:rsidR="00985518" w:rsidRPr="00B170DF" w14:paraId="6BEDC4E6" w14:textId="77777777" w:rsidTr="002552D5">
        <w:trPr>
          <w:trHeight w:val="397"/>
          <w:jc w:val="center"/>
        </w:trPr>
        <w:tc>
          <w:tcPr>
            <w:tcW w:w="1481" w:type="pct"/>
            <w:tcMar>
              <w:left w:w="108" w:type="dxa"/>
            </w:tcMar>
            <w:vAlign w:val="center"/>
          </w:tcPr>
          <w:p w14:paraId="1DC5A5B0"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发行人</w:t>
            </w:r>
            <w:r w:rsidRPr="00B170DF">
              <w:rPr>
                <w:sz w:val="21"/>
                <w:szCs w:val="21"/>
              </w:rPr>
              <w:t>、</w:t>
            </w:r>
            <w:r w:rsidRPr="00B170DF">
              <w:rPr>
                <w:rFonts w:hint="eastAsia"/>
                <w:sz w:val="21"/>
                <w:szCs w:val="21"/>
              </w:rPr>
              <w:t>公司</w:t>
            </w:r>
            <w:r w:rsidRPr="00B170DF">
              <w:rPr>
                <w:sz w:val="21"/>
                <w:szCs w:val="21"/>
              </w:rPr>
              <w:t>、</w:t>
            </w:r>
            <w:r w:rsidRPr="00B170DF">
              <w:rPr>
                <w:rFonts w:hint="eastAsia"/>
                <w:sz w:val="21"/>
                <w:szCs w:val="21"/>
              </w:rPr>
              <w:t>本公司、广生堂</w:t>
            </w:r>
          </w:p>
        </w:tc>
        <w:tc>
          <w:tcPr>
            <w:tcW w:w="276" w:type="pct"/>
            <w:tcMar>
              <w:left w:w="108" w:type="dxa"/>
            </w:tcMar>
            <w:vAlign w:val="center"/>
          </w:tcPr>
          <w:p w14:paraId="42720ED4"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2CAFB634" w14:textId="77777777" w:rsidR="00983180" w:rsidRPr="00B170DF" w:rsidRDefault="00983180" w:rsidP="00983180">
            <w:pPr>
              <w:tabs>
                <w:tab w:val="left" w:pos="2937"/>
              </w:tabs>
              <w:adjustRightInd w:val="0"/>
              <w:snapToGrid w:val="0"/>
              <w:spacing w:beforeLines="0" w:before="0" w:afterLines="0" w:after="0" w:line="240" w:lineRule="auto"/>
              <w:ind w:firstLineChars="0" w:firstLine="0"/>
              <w:rPr>
                <w:snapToGrid w:val="0"/>
                <w:kern w:val="0"/>
                <w:sz w:val="21"/>
                <w:szCs w:val="21"/>
              </w:rPr>
            </w:pPr>
            <w:r w:rsidRPr="00B170DF">
              <w:rPr>
                <w:rFonts w:hint="eastAsia"/>
                <w:sz w:val="21"/>
                <w:szCs w:val="21"/>
              </w:rPr>
              <w:t>福建广生堂药业股份有限公司</w:t>
            </w:r>
          </w:p>
        </w:tc>
      </w:tr>
      <w:tr w:rsidR="00985518" w:rsidRPr="00B170DF" w14:paraId="522855F5" w14:textId="77777777" w:rsidTr="002552D5">
        <w:trPr>
          <w:trHeight w:val="397"/>
          <w:jc w:val="center"/>
        </w:trPr>
        <w:tc>
          <w:tcPr>
            <w:tcW w:w="1481" w:type="pct"/>
            <w:tcMar>
              <w:left w:w="108" w:type="dxa"/>
            </w:tcMar>
            <w:vAlign w:val="center"/>
          </w:tcPr>
          <w:p w14:paraId="1BA7ADDC"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奥华集团</w:t>
            </w:r>
          </w:p>
        </w:tc>
        <w:tc>
          <w:tcPr>
            <w:tcW w:w="276" w:type="pct"/>
            <w:tcMar>
              <w:left w:w="108" w:type="dxa"/>
            </w:tcMar>
            <w:vAlign w:val="center"/>
          </w:tcPr>
          <w:p w14:paraId="0AC57F9B"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55BD1701"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福建奥华集团有限公司</w:t>
            </w:r>
          </w:p>
        </w:tc>
      </w:tr>
      <w:tr w:rsidR="00985518" w:rsidRPr="00B170DF" w14:paraId="0080AC32" w14:textId="77777777" w:rsidTr="002552D5">
        <w:trPr>
          <w:trHeight w:val="397"/>
          <w:jc w:val="center"/>
        </w:trPr>
        <w:tc>
          <w:tcPr>
            <w:tcW w:w="1481" w:type="pct"/>
            <w:tcMar>
              <w:left w:w="108" w:type="dxa"/>
            </w:tcMar>
            <w:vAlign w:val="center"/>
          </w:tcPr>
          <w:p w14:paraId="7076749D"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奥泰投资</w:t>
            </w:r>
          </w:p>
        </w:tc>
        <w:tc>
          <w:tcPr>
            <w:tcW w:w="276" w:type="pct"/>
            <w:tcMar>
              <w:left w:w="108" w:type="dxa"/>
            </w:tcMar>
            <w:vAlign w:val="center"/>
          </w:tcPr>
          <w:p w14:paraId="0B64985C"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2D35B580"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福建平潭奥泰科技投资中心（有限合伙）</w:t>
            </w:r>
          </w:p>
        </w:tc>
      </w:tr>
      <w:tr w:rsidR="00985518" w:rsidRPr="00B170DF" w14:paraId="482B3966" w14:textId="77777777" w:rsidTr="00DA5D20">
        <w:trPr>
          <w:trHeight w:val="397"/>
          <w:jc w:val="center"/>
        </w:trPr>
        <w:tc>
          <w:tcPr>
            <w:tcW w:w="1481" w:type="pct"/>
            <w:tcMar>
              <w:left w:w="108" w:type="dxa"/>
            </w:tcMar>
            <w:vAlign w:val="center"/>
          </w:tcPr>
          <w:p w14:paraId="635AB295"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sz w:val="21"/>
                <w:szCs w:val="21"/>
              </w:rPr>
              <w:t>中兴</w:t>
            </w:r>
            <w:r w:rsidRPr="00B170DF">
              <w:rPr>
                <w:rFonts w:hint="eastAsia"/>
                <w:sz w:val="21"/>
                <w:szCs w:val="21"/>
              </w:rPr>
              <w:t>药业、江苏中兴</w:t>
            </w:r>
          </w:p>
        </w:tc>
        <w:tc>
          <w:tcPr>
            <w:tcW w:w="280" w:type="pct"/>
            <w:gridSpan w:val="2"/>
            <w:tcMar>
              <w:left w:w="108" w:type="dxa"/>
            </w:tcMar>
            <w:vAlign w:val="center"/>
          </w:tcPr>
          <w:p w14:paraId="2981F5B8"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sz w:val="21"/>
                <w:szCs w:val="21"/>
              </w:rPr>
              <w:t>指</w:t>
            </w:r>
          </w:p>
        </w:tc>
        <w:tc>
          <w:tcPr>
            <w:tcW w:w="3239" w:type="pct"/>
            <w:tcMar>
              <w:left w:w="108" w:type="dxa"/>
            </w:tcMar>
            <w:vAlign w:val="center"/>
          </w:tcPr>
          <w:p w14:paraId="79BC4EE2"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sz w:val="21"/>
                <w:szCs w:val="21"/>
              </w:rPr>
              <w:t>江苏中兴药业有限公司，本公司</w:t>
            </w:r>
            <w:r w:rsidRPr="00B170DF">
              <w:rPr>
                <w:rFonts w:hint="eastAsia"/>
                <w:sz w:val="21"/>
                <w:szCs w:val="21"/>
              </w:rPr>
              <w:t>全资</w:t>
            </w:r>
            <w:r w:rsidRPr="00B170DF">
              <w:rPr>
                <w:sz w:val="21"/>
                <w:szCs w:val="21"/>
              </w:rPr>
              <w:t>子公司</w:t>
            </w:r>
          </w:p>
        </w:tc>
      </w:tr>
      <w:tr w:rsidR="00985518" w:rsidRPr="00B170DF" w14:paraId="346AE9AC" w14:textId="77777777" w:rsidTr="00DA5D20">
        <w:trPr>
          <w:trHeight w:val="397"/>
          <w:jc w:val="center"/>
        </w:trPr>
        <w:tc>
          <w:tcPr>
            <w:tcW w:w="1481" w:type="pct"/>
            <w:tcMar>
              <w:left w:w="108" w:type="dxa"/>
            </w:tcMar>
            <w:vAlign w:val="center"/>
          </w:tcPr>
          <w:p w14:paraId="3D45DD4A"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rFonts w:ascii="宋体" w:hAnsi="宋体" w:cs="宋体" w:hint="eastAsia"/>
                <w:snapToGrid w:val="0"/>
                <w:kern w:val="0"/>
                <w:sz w:val="21"/>
                <w:szCs w:val="21"/>
              </w:rPr>
              <w:t>广生中</w:t>
            </w:r>
            <w:proofErr w:type="gramStart"/>
            <w:r w:rsidRPr="00B170DF">
              <w:rPr>
                <w:rFonts w:ascii="宋体" w:hAnsi="宋体" w:cs="宋体" w:hint="eastAsia"/>
                <w:snapToGrid w:val="0"/>
                <w:kern w:val="0"/>
                <w:sz w:val="21"/>
                <w:szCs w:val="21"/>
              </w:rPr>
              <w:t>霖</w:t>
            </w:r>
            <w:proofErr w:type="gramEnd"/>
          </w:p>
        </w:tc>
        <w:tc>
          <w:tcPr>
            <w:tcW w:w="280" w:type="pct"/>
            <w:gridSpan w:val="2"/>
            <w:tcMar>
              <w:left w:w="108" w:type="dxa"/>
            </w:tcMar>
            <w:vAlign w:val="center"/>
          </w:tcPr>
          <w:p w14:paraId="3C47348D"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sz w:val="21"/>
                <w:szCs w:val="21"/>
              </w:rPr>
              <w:t>指</w:t>
            </w:r>
          </w:p>
        </w:tc>
        <w:tc>
          <w:tcPr>
            <w:tcW w:w="3239" w:type="pct"/>
            <w:tcMar>
              <w:left w:w="108" w:type="dxa"/>
            </w:tcMar>
            <w:vAlign w:val="center"/>
          </w:tcPr>
          <w:p w14:paraId="12B7E8CE" w14:textId="77777777" w:rsidR="004131E8" w:rsidRPr="00B170DF" w:rsidRDefault="004131E8" w:rsidP="004131E8">
            <w:pPr>
              <w:adjustRightInd w:val="0"/>
              <w:snapToGrid w:val="0"/>
              <w:spacing w:beforeLines="0" w:before="0" w:afterLines="0" w:after="0" w:line="240" w:lineRule="auto"/>
              <w:ind w:firstLineChars="0" w:firstLine="0"/>
              <w:rPr>
                <w:sz w:val="21"/>
                <w:szCs w:val="21"/>
              </w:rPr>
            </w:pPr>
            <w:r w:rsidRPr="00B170DF">
              <w:rPr>
                <w:sz w:val="21"/>
                <w:szCs w:val="21"/>
              </w:rPr>
              <w:t>福建广生中</w:t>
            </w:r>
            <w:proofErr w:type="gramStart"/>
            <w:r w:rsidRPr="00B170DF">
              <w:rPr>
                <w:sz w:val="21"/>
                <w:szCs w:val="21"/>
              </w:rPr>
              <w:t>霖</w:t>
            </w:r>
            <w:proofErr w:type="gramEnd"/>
            <w:r w:rsidRPr="00B170DF">
              <w:rPr>
                <w:sz w:val="21"/>
                <w:szCs w:val="21"/>
              </w:rPr>
              <w:t>生物科技有限公司，本公司</w:t>
            </w:r>
            <w:r w:rsidRPr="00B170DF">
              <w:rPr>
                <w:rFonts w:hint="eastAsia"/>
                <w:sz w:val="21"/>
                <w:szCs w:val="21"/>
              </w:rPr>
              <w:t>控股子公司</w:t>
            </w:r>
          </w:p>
        </w:tc>
      </w:tr>
      <w:tr w:rsidR="00985518" w:rsidRPr="00B170DF" w14:paraId="2A3330A8" w14:textId="77777777" w:rsidTr="00DA5D20">
        <w:trPr>
          <w:trHeight w:val="397"/>
          <w:jc w:val="center"/>
        </w:trPr>
        <w:tc>
          <w:tcPr>
            <w:tcW w:w="1481" w:type="pct"/>
            <w:tcMar>
              <w:left w:w="108" w:type="dxa"/>
            </w:tcMar>
            <w:vAlign w:val="center"/>
          </w:tcPr>
          <w:p w14:paraId="0493463A" w14:textId="77777777" w:rsidR="00BB60D7" w:rsidRPr="00B170DF" w:rsidRDefault="00BB60D7" w:rsidP="00BB60D7">
            <w:pPr>
              <w:adjustRightInd w:val="0"/>
              <w:snapToGrid w:val="0"/>
              <w:spacing w:beforeLines="0" w:before="0" w:afterLines="0" w:after="0" w:line="240" w:lineRule="auto"/>
              <w:ind w:firstLineChars="0" w:firstLine="0"/>
              <w:rPr>
                <w:rFonts w:ascii="宋体" w:hAnsi="宋体" w:cs="宋体" w:hint="eastAsia"/>
                <w:snapToGrid w:val="0"/>
                <w:kern w:val="0"/>
                <w:sz w:val="21"/>
                <w:szCs w:val="21"/>
              </w:rPr>
            </w:pPr>
            <w:proofErr w:type="gramStart"/>
            <w:r w:rsidRPr="00B170DF">
              <w:rPr>
                <w:rFonts w:ascii="宋体" w:hAnsi="宋体" w:cs="宋体" w:hint="eastAsia"/>
                <w:snapToGrid w:val="0"/>
                <w:kern w:val="0"/>
                <w:sz w:val="21"/>
                <w:szCs w:val="21"/>
              </w:rPr>
              <w:t>漳州广</w:t>
            </w:r>
            <w:proofErr w:type="gramEnd"/>
            <w:r w:rsidRPr="00B170DF">
              <w:rPr>
                <w:rFonts w:ascii="宋体" w:hAnsi="宋体" w:cs="宋体" w:hint="eastAsia"/>
                <w:snapToGrid w:val="0"/>
                <w:kern w:val="0"/>
                <w:sz w:val="21"/>
                <w:szCs w:val="21"/>
              </w:rPr>
              <w:t>生堂</w:t>
            </w:r>
          </w:p>
        </w:tc>
        <w:tc>
          <w:tcPr>
            <w:tcW w:w="280" w:type="pct"/>
            <w:gridSpan w:val="2"/>
            <w:tcMar>
              <w:left w:w="108" w:type="dxa"/>
            </w:tcMar>
            <w:vAlign w:val="center"/>
          </w:tcPr>
          <w:p w14:paraId="20F9D146"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39" w:type="pct"/>
            <w:tcMar>
              <w:left w:w="108" w:type="dxa"/>
            </w:tcMar>
            <w:vAlign w:val="center"/>
          </w:tcPr>
          <w:p w14:paraId="2ADE38BB"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ascii="宋体" w:hAnsi="宋体" w:cs="宋体" w:hint="eastAsia"/>
                <w:sz w:val="21"/>
                <w:szCs w:val="21"/>
              </w:rPr>
              <w:t>广生堂药业（漳州）有限公司</w:t>
            </w:r>
            <w:r w:rsidRPr="00B170DF">
              <w:rPr>
                <w:rFonts w:ascii="宋体" w:hAnsi="宋体" w:cs="宋体" w:hint="eastAsia"/>
                <w:sz w:val="21"/>
                <w:szCs w:val="21"/>
                <w:lang w:val="zh-CN"/>
              </w:rPr>
              <w:t>，</w:t>
            </w:r>
            <w:r w:rsidRPr="00B170DF">
              <w:rPr>
                <w:rFonts w:hint="eastAsia"/>
                <w:sz w:val="21"/>
                <w:szCs w:val="21"/>
              </w:rPr>
              <w:t>本公司全资子公司</w:t>
            </w:r>
          </w:p>
        </w:tc>
      </w:tr>
      <w:tr w:rsidR="00985518" w:rsidRPr="00B170DF" w14:paraId="25A5954B" w14:textId="77777777" w:rsidTr="002552D5">
        <w:trPr>
          <w:trHeight w:val="397"/>
          <w:jc w:val="center"/>
        </w:trPr>
        <w:tc>
          <w:tcPr>
            <w:tcW w:w="1481" w:type="pct"/>
            <w:tcMar>
              <w:left w:w="108" w:type="dxa"/>
            </w:tcMar>
            <w:vAlign w:val="center"/>
          </w:tcPr>
          <w:p w14:paraId="08DE64E4" w14:textId="77777777" w:rsidR="00983180" w:rsidRPr="00B170DF" w:rsidRDefault="00983180" w:rsidP="00983180">
            <w:pPr>
              <w:adjustRightInd w:val="0"/>
              <w:snapToGrid w:val="0"/>
              <w:spacing w:beforeLines="0" w:before="0" w:afterLines="0" w:after="0" w:line="240" w:lineRule="auto"/>
              <w:ind w:firstLineChars="0" w:firstLine="0"/>
              <w:rPr>
                <w:rFonts w:ascii="宋体" w:hAnsi="宋体" w:cs="宋体" w:hint="eastAsia"/>
                <w:snapToGrid w:val="0"/>
                <w:kern w:val="0"/>
                <w:sz w:val="21"/>
                <w:szCs w:val="21"/>
              </w:rPr>
            </w:pPr>
            <w:r w:rsidRPr="00B170DF">
              <w:rPr>
                <w:rFonts w:ascii="宋体" w:hAnsi="宋体" w:cs="宋体" w:hint="eastAsia"/>
                <w:sz w:val="21"/>
                <w:szCs w:val="21"/>
              </w:rPr>
              <w:t>本</w:t>
            </w:r>
            <w:r w:rsidRPr="00B170DF">
              <w:rPr>
                <w:rFonts w:ascii="宋体" w:hAnsi="宋体" w:cs="宋体" w:hint="eastAsia"/>
                <w:kern w:val="0"/>
                <w:sz w:val="21"/>
                <w:szCs w:val="21"/>
              </w:rPr>
              <w:t>次发行、本次向特定对象发行、向特定对象发行</w:t>
            </w:r>
          </w:p>
        </w:tc>
        <w:tc>
          <w:tcPr>
            <w:tcW w:w="276" w:type="pct"/>
            <w:tcMar>
              <w:left w:w="108" w:type="dxa"/>
            </w:tcMar>
            <w:vAlign w:val="center"/>
          </w:tcPr>
          <w:p w14:paraId="56D139B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33A03F35"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发行人向特定对象发行</w:t>
            </w:r>
            <w:r w:rsidRPr="00B170DF">
              <w:rPr>
                <w:rFonts w:hint="eastAsia"/>
                <w:sz w:val="21"/>
                <w:szCs w:val="21"/>
              </w:rPr>
              <w:t>A</w:t>
            </w:r>
            <w:r w:rsidRPr="00B170DF">
              <w:rPr>
                <w:rFonts w:hint="eastAsia"/>
                <w:sz w:val="21"/>
                <w:szCs w:val="21"/>
              </w:rPr>
              <w:t>股股票的行为</w:t>
            </w:r>
          </w:p>
        </w:tc>
      </w:tr>
      <w:tr w:rsidR="00985518" w:rsidRPr="00B170DF" w14:paraId="02ACA13C" w14:textId="77777777" w:rsidTr="002552D5">
        <w:trPr>
          <w:trHeight w:val="397"/>
          <w:jc w:val="center"/>
        </w:trPr>
        <w:tc>
          <w:tcPr>
            <w:tcW w:w="1481" w:type="pct"/>
            <w:tcMar>
              <w:left w:w="108" w:type="dxa"/>
            </w:tcMar>
            <w:vAlign w:val="center"/>
          </w:tcPr>
          <w:p w14:paraId="5C5D2B32" w14:textId="77777777" w:rsidR="00983180" w:rsidRPr="00B170DF" w:rsidRDefault="00983180" w:rsidP="00983180">
            <w:pPr>
              <w:adjustRightInd w:val="0"/>
              <w:snapToGrid w:val="0"/>
              <w:spacing w:beforeLines="0" w:before="0" w:afterLines="0" w:after="0" w:line="240" w:lineRule="auto"/>
              <w:ind w:firstLineChars="0" w:firstLine="0"/>
              <w:rPr>
                <w:rFonts w:ascii="宋体" w:hAnsi="宋体" w:cs="宋体" w:hint="eastAsia"/>
                <w:snapToGrid w:val="0"/>
                <w:kern w:val="0"/>
                <w:sz w:val="21"/>
                <w:szCs w:val="21"/>
              </w:rPr>
            </w:pPr>
            <w:r w:rsidRPr="00B170DF">
              <w:rPr>
                <w:rFonts w:ascii="宋体" w:hAnsi="宋体" w:cs="宋体" w:hint="eastAsia"/>
                <w:sz w:val="21"/>
                <w:szCs w:val="21"/>
              </w:rPr>
              <w:t>国务院</w:t>
            </w:r>
          </w:p>
        </w:tc>
        <w:tc>
          <w:tcPr>
            <w:tcW w:w="276" w:type="pct"/>
            <w:tcMar>
              <w:left w:w="108" w:type="dxa"/>
            </w:tcMar>
            <w:vAlign w:val="center"/>
          </w:tcPr>
          <w:p w14:paraId="7D4F0BE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5C88AEF4"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sz w:val="21"/>
                <w:szCs w:val="21"/>
              </w:rPr>
              <w:t>中华人民共和国国务院</w:t>
            </w:r>
          </w:p>
        </w:tc>
      </w:tr>
      <w:tr w:rsidR="00985518" w:rsidRPr="00B170DF" w14:paraId="5E6FB21A" w14:textId="77777777" w:rsidTr="002552D5">
        <w:trPr>
          <w:trHeight w:val="397"/>
          <w:jc w:val="center"/>
        </w:trPr>
        <w:tc>
          <w:tcPr>
            <w:tcW w:w="1481" w:type="pct"/>
            <w:tcMar>
              <w:left w:w="108" w:type="dxa"/>
            </w:tcMar>
            <w:vAlign w:val="center"/>
          </w:tcPr>
          <w:p w14:paraId="33B21F10" w14:textId="77777777" w:rsidR="00983180" w:rsidRPr="00B170DF" w:rsidRDefault="00983180" w:rsidP="00983180">
            <w:pPr>
              <w:adjustRightInd w:val="0"/>
              <w:snapToGrid w:val="0"/>
              <w:spacing w:beforeLines="0" w:before="0" w:afterLines="0" w:after="0" w:line="240" w:lineRule="auto"/>
              <w:ind w:firstLineChars="0" w:firstLine="0"/>
              <w:rPr>
                <w:rFonts w:ascii="宋体" w:hAnsi="宋体" w:cs="宋体" w:hint="eastAsia"/>
                <w:snapToGrid w:val="0"/>
                <w:kern w:val="0"/>
                <w:sz w:val="21"/>
                <w:szCs w:val="21"/>
              </w:rPr>
            </w:pPr>
            <w:r w:rsidRPr="00B170DF">
              <w:rPr>
                <w:rFonts w:ascii="宋体" w:hAnsi="宋体" w:cs="宋体" w:hint="eastAsia"/>
                <w:sz w:val="21"/>
                <w:szCs w:val="21"/>
              </w:rPr>
              <w:t>中国证监会、证监会</w:t>
            </w:r>
          </w:p>
        </w:tc>
        <w:tc>
          <w:tcPr>
            <w:tcW w:w="276" w:type="pct"/>
            <w:tcMar>
              <w:left w:w="108" w:type="dxa"/>
            </w:tcMar>
            <w:vAlign w:val="center"/>
          </w:tcPr>
          <w:p w14:paraId="535E7F5B"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6B48AF0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sz w:val="21"/>
                <w:szCs w:val="21"/>
              </w:rPr>
              <w:t>中国证券监督管理委员会</w:t>
            </w:r>
          </w:p>
        </w:tc>
      </w:tr>
      <w:tr w:rsidR="00985518" w:rsidRPr="00B170DF" w14:paraId="3A0F6FC7" w14:textId="77777777" w:rsidTr="002552D5">
        <w:trPr>
          <w:trHeight w:val="397"/>
          <w:jc w:val="center"/>
        </w:trPr>
        <w:tc>
          <w:tcPr>
            <w:tcW w:w="1481" w:type="pct"/>
            <w:tcMar>
              <w:left w:w="108" w:type="dxa"/>
            </w:tcMar>
            <w:vAlign w:val="center"/>
          </w:tcPr>
          <w:p w14:paraId="7E10745F" w14:textId="77777777" w:rsidR="00983180" w:rsidRPr="00B170DF" w:rsidRDefault="00983180" w:rsidP="00983180">
            <w:pPr>
              <w:adjustRightInd w:val="0"/>
              <w:snapToGrid w:val="0"/>
              <w:spacing w:beforeLines="0" w:before="0" w:afterLines="0" w:after="0" w:line="240" w:lineRule="auto"/>
              <w:ind w:firstLineChars="0" w:firstLine="0"/>
              <w:rPr>
                <w:rFonts w:ascii="宋体" w:hAnsi="宋体" w:cs="宋体" w:hint="eastAsia"/>
                <w:snapToGrid w:val="0"/>
                <w:kern w:val="0"/>
                <w:sz w:val="21"/>
                <w:szCs w:val="21"/>
              </w:rPr>
            </w:pPr>
            <w:r w:rsidRPr="00B170DF">
              <w:rPr>
                <w:sz w:val="21"/>
                <w:szCs w:val="21"/>
              </w:rPr>
              <w:t>WHO</w:t>
            </w:r>
          </w:p>
        </w:tc>
        <w:tc>
          <w:tcPr>
            <w:tcW w:w="276" w:type="pct"/>
            <w:tcMar>
              <w:left w:w="108" w:type="dxa"/>
            </w:tcMar>
            <w:vAlign w:val="center"/>
          </w:tcPr>
          <w:p w14:paraId="584D540D"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299E5429"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世界</w:t>
            </w:r>
            <w:r w:rsidRPr="00B170DF">
              <w:rPr>
                <w:sz w:val="21"/>
                <w:szCs w:val="21"/>
              </w:rPr>
              <w:t>卫生组织</w:t>
            </w:r>
          </w:p>
        </w:tc>
      </w:tr>
      <w:tr w:rsidR="00985518" w:rsidRPr="00B170DF" w14:paraId="0D22D5D4" w14:textId="77777777" w:rsidTr="002552D5">
        <w:trPr>
          <w:trHeight w:val="397"/>
          <w:jc w:val="center"/>
        </w:trPr>
        <w:tc>
          <w:tcPr>
            <w:tcW w:w="1481" w:type="pct"/>
            <w:tcMar>
              <w:left w:w="108" w:type="dxa"/>
            </w:tcMar>
            <w:vAlign w:val="center"/>
          </w:tcPr>
          <w:p w14:paraId="7D3FF8AF"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proofErr w:type="gramStart"/>
            <w:r w:rsidRPr="00B170DF">
              <w:rPr>
                <w:rFonts w:hint="eastAsia"/>
                <w:sz w:val="21"/>
                <w:szCs w:val="21"/>
              </w:rPr>
              <w:t>国家</w:t>
            </w:r>
            <w:r w:rsidRPr="00B170DF">
              <w:rPr>
                <w:sz w:val="21"/>
                <w:szCs w:val="21"/>
              </w:rPr>
              <w:t>发改委</w:t>
            </w:r>
            <w:proofErr w:type="gramEnd"/>
          </w:p>
        </w:tc>
        <w:tc>
          <w:tcPr>
            <w:tcW w:w="276" w:type="pct"/>
            <w:tcMar>
              <w:left w:w="108" w:type="dxa"/>
            </w:tcMar>
            <w:vAlign w:val="center"/>
          </w:tcPr>
          <w:p w14:paraId="1A345826"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652665F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中华人民共和国国家发展和改革委员会</w:t>
            </w:r>
          </w:p>
        </w:tc>
      </w:tr>
      <w:tr w:rsidR="00985518" w:rsidRPr="00B170DF" w14:paraId="2BA781CF" w14:textId="77777777" w:rsidTr="002552D5">
        <w:trPr>
          <w:trHeight w:val="397"/>
          <w:jc w:val="center"/>
        </w:trPr>
        <w:tc>
          <w:tcPr>
            <w:tcW w:w="1481" w:type="pct"/>
            <w:tcMar>
              <w:left w:w="108" w:type="dxa"/>
            </w:tcMar>
            <w:vAlign w:val="center"/>
          </w:tcPr>
          <w:p w14:paraId="0C71EDBA"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国家</w:t>
            </w:r>
            <w:proofErr w:type="gramStart"/>
            <w:r w:rsidRPr="00B170DF">
              <w:rPr>
                <w:rFonts w:hint="eastAsia"/>
                <w:sz w:val="21"/>
                <w:szCs w:val="21"/>
              </w:rPr>
              <w:t>卫健委</w:t>
            </w:r>
            <w:proofErr w:type="gramEnd"/>
          </w:p>
        </w:tc>
        <w:tc>
          <w:tcPr>
            <w:tcW w:w="276" w:type="pct"/>
            <w:tcMar>
              <w:left w:w="108" w:type="dxa"/>
            </w:tcMar>
            <w:vAlign w:val="center"/>
          </w:tcPr>
          <w:p w14:paraId="09B9A58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32100549"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中华人民共和国国家卫生健康委员会</w:t>
            </w:r>
          </w:p>
        </w:tc>
      </w:tr>
      <w:tr w:rsidR="00985518" w:rsidRPr="00B170DF" w14:paraId="18ED47FB" w14:textId="77777777" w:rsidTr="002552D5">
        <w:trPr>
          <w:trHeight w:val="397"/>
          <w:jc w:val="center"/>
        </w:trPr>
        <w:tc>
          <w:tcPr>
            <w:tcW w:w="1481" w:type="pct"/>
            <w:tcMar>
              <w:left w:w="108" w:type="dxa"/>
            </w:tcMar>
            <w:vAlign w:val="center"/>
          </w:tcPr>
          <w:p w14:paraId="542BB631"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国家药</w:t>
            </w:r>
            <w:r w:rsidRPr="00B170DF">
              <w:rPr>
                <w:sz w:val="21"/>
                <w:szCs w:val="21"/>
              </w:rPr>
              <w:t>监局</w:t>
            </w:r>
          </w:p>
        </w:tc>
        <w:tc>
          <w:tcPr>
            <w:tcW w:w="276" w:type="pct"/>
            <w:tcMar>
              <w:left w:w="108" w:type="dxa"/>
            </w:tcMar>
            <w:vAlign w:val="center"/>
          </w:tcPr>
          <w:p w14:paraId="2BF96765"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1A004F42"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国家药品监督管理局，或原国家食品药品监督管理总局</w:t>
            </w:r>
          </w:p>
        </w:tc>
      </w:tr>
      <w:tr w:rsidR="00985518" w:rsidRPr="00B170DF" w14:paraId="00C7003A" w14:textId="77777777" w:rsidTr="002552D5">
        <w:trPr>
          <w:trHeight w:val="397"/>
          <w:jc w:val="center"/>
        </w:trPr>
        <w:tc>
          <w:tcPr>
            <w:tcW w:w="1481" w:type="pct"/>
            <w:tcMar>
              <w:left w:w="108" w:type="dxa"/>
            </w:tcMar>
            <w:vAlign w:val="center"/>
          </w:tcPr>
          <w:p w14:paraId="61EF3A1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CDE</w:t>
            </w:r>
            <w:r w:rsidR="004131E8" w:rsidRPr="00B170DF">
              <w:rPr>
                <w:rFonts w:hint="eastAsia"/>
                <w:sz w:val="21"/>
                <w:szCs w:val="21"/>
              </w:rPr>
              <w:t>、</w:t>
            </w:r>
            <w:proofErr w:type="gramStart"/>
            <w:r w:rsidR="004131E8" w:rsidRPr="00B170DF">
              <w:rPr>
                <w:rFonts w:hint="eastAsia"/>
                <w:sz w:val="21"/>
                <w:szCs w:val="21"/>
              </w:rPr>
              <w:t>药审中心</w:t>
            </w:r>
            <w:proofErr w:type="gramEnd"/>
          </w:p>
        </w:tc>
        <w:tc>
          <w:tcPr>
            <w:tcW w:w="276" w:type="pct"/>
            <w:tcMar>
              <w:left w:w="108" w:type="dxa"/>
            </w:tcMar>
            <w:vAlign w:val="center"/>
          </w:tcPr>
          <w:p w14:paraId="3193FF90"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15BFF92D"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国家药品监督管理局药品审评中心</w:t>
            </w:r>
          </w:p>
        </w:tc>
      </w:tr>
      <w:tr w:rsidR="00985518" w:rsidRPr="00B170DF" w14:paraId="1E2D8423" w14:textId="77777777" w:rsidTr="002552D5">
        <w:trPr>
          <w:trHeight w:val="397"/>
          <w:jc w:val="center"/>
        </w:trPr>
        <w:tc>
          <w:tcPr>
            <w:tcW w:w="1481" w:type="pct"/>
            <w:tcMar>
              <w:left w:w="108" w:type="dxa"/>
            </w:tcMar>
            <w:vAlign w:val="center"/>
          </w:tcPr>
          <w:p w14:paraId="6D60727B"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国家生态环境部</w:t>
            </w:r>
          </w:p>
        </w:tc>
        <w:tc>
          <w:tcPr>
            <w:tcW w:w="276" w:type="pct"/>
            <w:tcMar>
              <w:left w:w="108" w:type="dxa"/>
            </w:tcMar>
            <w:vAlign w:val="center"/>
          </w:tcPr>
          <w:p w14:paraId="2814C87B"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405BD600"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中华人民共和国生态环境部</w:t>
            </w:r>
          </w:p>
        </w:tc>
      </w:tr>
      <w:tr w:rsidR="00985518" w:rsidRPr="00B170DF" w14:paraId="5AC7842E" w14:textId="77777777" w:rsidTr="002552D5">
        <w:trPr>
          <w:trHeight w:val="397"/>
          <w:jc w:val="center"/>
        </w:trPr>
        <w:tc>
          <w:tcPr>
            <w:tcW w:w="1481" w:type="pct"/>
            <w:tcMar>
              <w:left w:w="108" w:type="dxa"/>
            </w:tcMar>
            <w:vAlign w:val="center"/>
          </w:tcPr>
          <w:p w14:paraId="5332E6CA"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国家应急管理部</w:t>
            </w:r>
          </w:p>
        </w:tc>
        <w:tc>
          <w:tcPr>
            <w:tcW w:w="276" w:type="pct"/>
            <w:tcMar>
              <w:left w:w="108" w:type="dxa"/>
            </w:tcMar>
            <w:vAlign w:val="center"/>
          </w:tcPr>
          <w:p w14:paraId="62CCB670"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627FC57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中华人民共和国应急管理部</w:t>
            </w:r>
          </w:p>
        </w:tc>
      </w:tr>
      <w:tr w:rsidR="00985518" w:rsidRPr="00B170DF" w14:paraId="2C2395E3" w14:textId="77777777" w:rsidTr="002552D5">
        <w:trPr>
          <w:trHeight w:val="397"/>
          <w:jc w:val="center"/>
        </w:trPr>
        <w:tc>
          <w:tcPr>
            <w:tcW w:w="1481" w:type="pct"/>
            <w:tcMar>
              <w:left w:w="108" w:type="dxa"/>
            </w:tcMar>
            <w:vAlign w:val="center"/>
          </w:tcPr>
          <w:p w14:paraId="3326AEA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国家</w:t>
            </w:r>
            <w:proofErr w:type="gramStart"/>
            <w:r w:rsidRPr="00B170DF">
              <w:rPr>
                <w:rFonts w:hint="eastAsia"/>
                <w:sz w:val="21"/>
                <w:szCs w:val="21"/>
              </w:rPr>
              <w:t>医</w:t>
            </w:r>
            <w:proofErr w:type="gramEnd"/>
            <w:r w:rsidRPr="00B170DF">
              <w:rPr>
                <w:rFonts w:hint="eastAsia"/>
                <w:sz w:val="21"/>
                <w:szCs w:val="21"/>
              </w:rPr>
              <w:t>保局</w:t>
            </w:r>
          </w:p>
        </w:tc>
        <w:tc>
          <w:tcPr>
            <w:tcW w:w="276" w:type="pct"/>
            <w:tcMar>
              <w:left w:w="108" w:type="dxa"/>
            </w:tcMar>
            <w:vAlign w:val="center"/>
          </w:tcPr>
          <w:p w14:paraId="6E07239E"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22EE5445"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sz w:val="21"/>
                <w:szCs w:val="21"/>
              </w:rPr>
            </w:pPr>
            <w:r w:rsidRPr="00B170DF">
              <w:rPr>
                <w:rFonts w:hint="eastAsia"/>
                <w:sz w:val="21"/>
                <w:szCs w:val="21"/>
              </w:rPr>
              <w:t>国家医疗保障局</w:t>
            </w:r>
          </w:p>
        </w:tc>
      </w:tr>
      <w:tr w:rsidR="00985518" w:rsidRPr="00B170DF" w14:paraId="202AED36" w14:textId="77777777" w:rsidTr="002552D5">
        <w:trPr>
          <w:trHeight w:val="397"/>
          <w:jc w:val="center"/>
        </w:trPr>
        <w:tc>
          <w:tcPr>
            <w:tcW w:w="1481" w:type="pct"/>
            <w:tcMar>
              <w:left w:w="108" w:type="dxa"/>
            </w:tcMar>
            <w:vAlign w:val="center"/>
          </w:tcPr>
          <w:p w14:paraId="6C39EF7E"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工信部</w:t>
            </w:r>
          </w:p>
        </w:tc>
        <w:tc>
          <w:tcPr>
            <w:tcW w:w="276" w:type="pct"/>
            <w:tcMar>
              <w:left w:w="108" w:type="dxa"/>
            </w:tcMar>
            <w:vAlign w:val="center"/>
          </w:tcPr>
          <w:p w14:paraId="05A5A04D"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3E035043"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中华人民共和国工业和信息化部</w:t>
            </w:r>
          </w:p>
        </w:tc>
      </w:tr>
      <w:tr w:rsidR="00985518" w:rsidRPr="00B170DF" w14:paraId="2FF5ECF0" w14:textId="77777777" w:rsidTr="002552D5">
        <w:trPr>
          <w:trHeight w:val="397"/>
          <w:jc w:val="center"/>
        </w:trPr>
        <w:tc>
          <w:tcPr>
            <w:tcW w:w="1481" w:type="pct"/>
            <w:tcMar>
              <w:left w:w="108" w:type="dxa"/>
            </w:tcMar>
            <w:vAlign w:val="center"/>
          </w:tcPr>
          <w:p w14:paraId="29DB0669"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深交所</w:t>
            </w:r>
            <w:r w:rsidRPr="00B170DF">
              <w:rPr>
                <w:sz w:val="21"/>
                <w:szCs w:val="21"/>
              </w:rPr>
              <w:t>、</w:t>
            </w:r>
            <w:r w:rsidRPr="00B170DF">
              <w:rPr>
                <w:rFonts w:hint="eastAsia"/>
                <w:sz w:val="21"/>
                <w:szCs w:val="21"/>
              </w:rPr>
              <w:t>交易所</w:t>
            </w:r>
          </w:p>
        </w:tc>
        <w:tc>
          <w:tcPr>
            <w:tcW w:w="276" w:type="pct"/>
            <w:tcMar>
              <w:left w:w="108" w:type="dxa"/>
            </w:tcMar>
            <w:vAlign w:val="center"/>
          </w:tcPr>
          <w:p w14:paraId="5291C329"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3CF8CDA4"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深圳证券交易所</w:t>
            </w:r>
          </w:p>
        </w:tc>
      </w:tr>
      <w:tr w:rsidR="00985518" w:rsidRPr="00B170DF" w14:paraId="0353AA29" w14:textId="77777777" w:rsidTr="002552D5">
        <w:trPr>
          <w:trHeight w:val="397"/>
          <w:jc w:val="center"/>
        </w:trPr>
        <w:tc>
          <w:tcPr>
            <w:tcW w:w="1481" w:type="pct"/>
            <w:tcMar>
              <w:left w:w="108" w:type="dxa"/>
            </w:tcMar>
            <w:vAlign w:val="center"/>
          </w:tcPr>
          <w:p w14:paraId="088F7D4C"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《公司法》</w:t>
            </w:r>
          </w:p>
        </w:tc>
        <w:tc>
          <w:tcPr>
            <w:tcW w:w="276" w:type="pct"/>
            <w:tcMar>
              <w:left w:w="108" w:type="dxa"/>
            </w:tcMar>
            <w:vAlign w:val="center"/>
          </w:tcPr>
          <w:p w14:paraId="03C67261"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6F1E9554"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《中华人民共和国公司法》</w:t>
            </w:r>
          </w:p>
        </w:tc>
      </w:tr>
      <w:tr w:rsidR="00985518" w:rsidRPr="00B170DF" w14:paraId="73EB26D4" w14:textId="77777777" w:rsidTr="002552D5">
        <w:trPr>
          <w:trHeight w:val="397"/>
          <w:jc w:val="center"/>
        </w:trPr>
        <w:tc>
          <w:tcPr>
            <w:tcW w:w="1481" w:type="pct"/>
            <w:tcMar>
              <w:left w:w="108" w:type="dxa"/>
            </w:tcMar>
            <w:vAlign w:val="center"/>
          </w:tcPr>
          <w:p w14:paraId="3BB39713"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《证券法》</w:t>
            </w:r>
          </w:p>
        </w:tc>
        <w:tc>
          <w:tcPr>
            <w:tcW w:w="276" w:type="pct"/>
            <w:tcMar>
              <w:left w:w="108" w:type="dxa"/>
            </w:tcMar>
            <w:vAlign w:val="center"/>
          </w:tcPr>
          <w:p w14:paraId="73B785E0"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6297C847"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《中华人民共和国证券法》</w:t>
            </w:r>
          </w:p>
        </w:tc>
      </w:tr>
      <w:tr w:rsidR="00985518" w:rsidRPr="00B170DF" w14:paraId="5B4C7FA4" w14:textId="77777777" w:rsidTr="002552D5">
        <w:trPr>
          <w:trHeight w:val="397"/>
          <w:jc w:val="center"/>
        </w:trPr>
        <w:tc>
          <w:tcPr>
            <w:tcW w:w="1481" w:type="pct"/>
            <w:tcMar>
              <w:left w:w="108" w:type="dxa"/>
            </w:tcMar>
            <w:vAlign w:val="center"/>
          </w:tcPr>
          <w:p w14:paraId="1F3D8775"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《注册</w:t>
            </w:r>
            <w:r w:rsidRPr="00B170DF">
              <w:rPr>
                <w:sz w:val="21"/>
                <w:szCs w:val="21"/>
              </w:rPr>
              <w:t>管理办法</w:t>
            </w:r>
            <w:r w:rsidRPr="00B170DF">
              <w:rPr>
                <w:rFonts w:hint="eastAsia"/>
                <w:sz w:val="21"/>
                <w:szCs w:val="21"/>
              </w:rPr>
              <w:t>》</w:t>
            </w:r>
          </w:p>
        </w:tc>
        <w:tc>
          <w:tcPr>
            <w:tcW w:w="276" w:type="pct"/>
            <w:tcMar>
              <w:left w:w="108" w:type="dxa"/>
            </w:tcMar>
            <w:vAlign w:val="center"/>
          </w:tcPr>
          <w:p w14:paraId="16825179"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207C4AC1"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《上市公司证券发行注册管理办法》</w:t>
            </w:r>
          </w:p>
        </w:tc>
      </w:tr>
      <w:tr w:rsidR="00985518" w:rsidRPr="00B170DF" w14:paraId="6BF7FC87" w14:textId="77777777" w:rsidTr="002552D5">
        <w:trPr>
          <w:trHeight w:val="397"/>
          <w:jc w:val="center"/>
        </w:trPr>
        <w:tc>
          <w:tcPr>
            <w:tcW w:w="1481" w:type="pct"/>
            <w:tcMar>
              <w:left w:w="108" w:type="dxa"/>
            </w:tcMar>
            <w:vAlign w:val="center"/>
          </w:tcPr>
          <w:p w14:paraId="20C992E4"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《上市规则》</w:t>
            </w:r>
          </w:p>
        </w:tc>
        <w:tc>
          <w:tcPr>
            <w:tcW w:w="276" w:type="pct"/>
            <w:tcMar>
              <w:left w:w="108" w:type="dxa"/>
            </w:tcMar>
            <w:vAlign w:val="center"/>
          </w:tcPr>
          <w:p w14:paraId="70150646"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指</w:t>
            </w:r>
          </w:p>
        </w:tc>
        <w:tc>
          <w:tcPr>
            <w:tcW w:w="3243" w:type="pct"/>
            <w:gridSpan w:val="2"/>
            <w:tcMar>
              <w:left w:w="108" w:type="dxa"/>
            </w:tcMar>
            <w:vAlign w:val="center"/>
          </w:tcPr>
          <w:p w14:paraId="719E9646"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rFonts w:hint="eastAsia"/>
                <w:sz w:val="21"/>
                <w:szCs w:val="21"/>
              </w:rPr>
              <w:t>《深圳证券交易所创业板股票上市规则》</w:t>
            </w:r>
          </w:p>
        </w:tc>
      </w:tr>
      <w:tr w:rsidR="00985518" w:rsidRPr="00B170DF" w14:paraId="4263BE7A" w14:textId="77777777" w:rsidTr="002552D5">
        <w:trPr>
          <w:trHeight w:val="397"/>
          <w:jc w:val="center"/>
        </w:trPr>
        <w:tc>
          <w:tcPr>
            <w:tcW w:w="1481" w:type="pct"/>
            <w:tcMar>
              <w:left w:w="108" w:type="dxa"/>
            </w:tcMar>
            <w:vAlign w:val="center"/>
          </w:tcPr>
          <w:p w14:paraId="239FC60C"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公司章程</w:t>
            </w:r>
          </w:p>
        </w:tc>
        <w:tc>
          <w:tcPr>
            <w:tcW w:w="276" w:type="pct"/>
            <w:tcMar>
              <w:left w:w="108" w:type="dxa"/>
            </w:tcMar>
            <w:vAlign w:val="center"/>
          </w:tcPr>
          <w:p w14:paraId="437D8FB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42FEC1F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福建广生堂药业股份有限公司章程</w:t>
            </w:r>
          </w:p>
        </w:tc>
      </w:tr>
      <w:tr w:rsidR="00985518" w:rsidRPr="00B170DF" w14:paraId="1521E7F6" w14:textId="77777777" w:rsidTr="002552D5">
        <w:trPr>
          <w:trHeight w:val="397"/>
          <w:jc w:val="center"/>
        </w:trPr>
        <w:tc>
          <w:tcPr>
            <w:tcW w:w="1481" w:type="pct"/>
            <w:tcMar>
              <w:left w:w="108" w:type="dxa"/>
            </w:tcMar>
            <w:vAlign w:val="center"/>
          </w:tcPr>
          <w:p w14:paraId="078F2C6F"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股东大会</w:t>
            </w:r>
          </w:p>
        </w:tc>
        <w:tc>
          <w:tcPr>
            <w:tcW w:w="276" w:type="pct"/>
            <w:tcMar>
              <w:left w:w="108" w:type="dxa"/>
            </w:tcMar>
            <w:vAlign w:val="center"/>
          </w:tcPr>
          <w:p w14:paraId="1AA85733"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4725EDD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福建广生堂药业股份有限公司股东大会</w:t>
            </w:r>
          </w:p>
        </w:tc>
      </w:tr>
      <w:tr w:rsidR="00985518" w:rsidRPr="00B170DF" w14:paraId="0210A064" w14:textId="77777777" w:rsidTr="002552D5">
        <w:trPr>
          <w:trHeight w:val="397"/>
          <w:jc w:val="center"/>
        </w:trPr>
        <w:tc>
          <w:tcPr>
            <w:tcW w:w="1481" w:type="pct"/>
            <w:tcMar>
              <w:left w:w="108" w:type="dxa"/>
            </w:tcMar>
            <w:vAlign w:val="center"/>
          </w:tcPr>
          <w:p w14:paraId="50CC8B3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董事会</w:t>
            </w:r>
          </w:p>
        </w:tc>
        <w:tc>
          <w:tcPr>
            <w:tcW w:w="276" w:type="pct"/>
            <w:tcMar>
              <w:left w:w="108" w:type="dxa"/>
            </w:tcMar>
            <w:vAlign w:val="center"/>
          </w:tcPr>
          <w:p w14:paraId="520524A1"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2A5B0D0E"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福建广生堂药业股份有限公司董事会</w:t>
            </w:r>
          </w:p>
        </w:tc>
      </w:tr>
      <w:tr w:rsidR="00985518" w:rsidRPr="00B170DF" w14:paraId="37EDEFA9" w14:textId="77777777" w:rsidTr="002552D5">
        <w:trPr>
          <w:trHeight w:val="397"/>
          <w:jc w:val="center"/>
        </w:trPr>
        <w:tc>
          <w:tcPr>
            <w:tcW w:w="1481" w:type="pct"/>
            <w:tcMar>
              <w:left w:w="108" w:type="dxa"/>
            </w:tcMar>
            <w:vAlign w:val="center"/>
          </w:tcPr>
          <w:p w14:paraId="52E5C8AF"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监事会</w:t>
            </w:r>
          </w:p>
        </w:tc>
        <w:tc>
          <w:tcPr>
            <w:tcW w:w="276" w:type="pct"/>
            <w:tcMar>
              <w:left w:w="108" w:type="dxa"/>
            </w:tcMar>
            <w:vAlign w:val="center"/>
          </w:tcPr>
          <w:p w14:paraId="5450CFCC"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3B409702"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福建广生堂药业股份有限公司监事会</w:t>
            </w:r>
          </w:p>
        </w:tc>
      </w:tr>
      <w:tr w:rsidR="00985518" w:rsidRPr="00B170DF" w14:paraId="6EBBDBE3" w14:textId="77777777" w:rsidTr="002552D5">
        <w:trPr>
          <w:trHeight w:val="397"/>
          <w:jc w:val="center"/>
        </w:trPr>
        <w:tc>
          <w:tcPr>
            <w:tcW w:w="1481" w:type="pct"/>
            <w:tcMar>
              <w:left w:w="108" w:type="dxa"/>
            </w:tcMar>
            <w:vAlign w:val="center"/>
          </w:tcPr>
          <w:p w14:paraId="3E0FE842" w14:textId="77777777" w:rsidR="00983180" w:rsidRPr="00B170DF" w:rsidRDefault="00983180" w:rsidP="00983180">
            <w:pPr>
              <w:autoSpaceDE w:val="0"/>
              <w:autoSpaceDN w:val="0"/>
              <w:adjustRightInd w:val="0"/>
              <w:spacing w:beforeLines="0" w:before="0" w:afterLines="0" w:after="0" w:line="240" w:lineRule="auto"/>
              <w:ind w:firstLineChars="0" w:firstLine="0"/>
              <w:rPr>
                <w:snapToGrid w:val="0"/>
                <w:kern w:val="0"/>
                <w:sz w:val="21"/>
                <w:szCs w:val="21"/>
              </w:rPr>
            </w:pPr>
            <w:r w:rsidRPr="00B170DF">
              <w:rPr>
                <w:rFonts w:hAnsi="宋体" w:hint="eastAsia"/>
                <w:sz w:val="21"/>
                <w:szCs w:val="21"/>
              </w:rPr>
              <w:t>交易日</w:t>
            </w:r>
          </w:p>
        </w:tc>
        <w:tc>
          <w:tcPr>
            <w:tcW w:w="276" w:type="pct"/>
            <w:tcMar>
              <w:left w:w="108" w:type="dxa"/>
            </w:tcMar>
            <w:vAlign w:val="center"/>
          </w:tcPr>
          <w:p w14:paraId="034DF8DB" w14:textId="77777777" w:rsidR="00983180" w:rsidRPr="00B170DF" w:rsidRDefault="00983180" w:rsidP="00983180">
            <w:pPr>
              <w:autoSpaceDE w:val="0"/>
              <w:autoSpaceDN w:val="0"/>
              <w:adjustRightInd w:val="0"/>
              <w:spacing w:beforeLines="0" w:before="0" w:afterLines="0" w:after="0" w:line="240" w:lineRule="auto"/>
              <w:ind w:firstLineChars="0" w:firstLine="0"/>
              <w:rPr>
                <w:rFonts w:ascii="宋体" w:cs="宋体"/>
                <w:snapToGrid w:val="0"/>
                <w:color w:val="000000"/>
                <w:kern w:val="0"/>
                <w:sz w:val="21"/>
                <w:szCs w:val="21"/>
              </w:rPr>
            </w:pPr>
            <w:r w:rsidRPr="00B170DF">
              <w:rPr>
                <w:rFonts w:hAnsi="宋体" w:cs="宋体" w:hint="eastAsia"/>
                <w:kern w:val="0"/>
                <w:sz w:val="21"/>
                <w:szCs w:val="21"/>
              </w:rPr>
              <w:t>指</w:t>
            </w:r>
          </w:p>
        </w:tc>
        <w:tc>
          <w:tcPr>
            <w:tcW w:w="3243" w:type="pct"/>
            <w:gridSpan w:val="2"/>
            <w:tcMar>
              <w:left w:w="108" w:type="dxa"/>
            </w:tcMar>
            <w:vAlign w:val="center"/>
          </w:tcPr>
          <w:p w14:paraId="6150AAF8" w14:textId="77777777" w:rsidR="00983180" w:rsidRPr="00B170DF" w:rsidRDefault="00983180" w:rsidP="00983180">
            <w:pPr>
              <w:autoSpaceDE w:val="0"/>
              <w:autoSpaceDN w:val="0"/>
              <w:adjustRightInd w:val="0"/>
              <w:spacing w:beforeLines="0" w:before="0" w:afterLines="0" w:after="0" w:line="240" w:lineRule="auto"/>
              <w:ind w:firstLineChars="0" w:firstLine="0"/>
              <w:rPr>
                <w:rFonts w:ascii="宋体" w:cs="宋体"/>
                <w:snapToGrid w:val="0"/>
                <w:color w:val="000000"/>
                <w:kern w:val="0"/>
                <w:sz w:val="21"/>
                <w:szCs w:val="21"/>
              </w:rPr>
            </w:pPr>
            <w:r w:rsidRPr="00B170DF">
              <w:rPr>
                <w:rFonts w:hAnsi="宋体" w:cs="宋体" w:hint="eastAsia"/>
                <w:kern w:val="0"/>
                <w:sz w:val="21"/>
                <w:szCs w:val="21"/>
              </w:rPr>
              <w:t>深圳证券交易所的正常营业日</w:t>
            </w:r>
          </w:p>
        </w:tc>
      </w:tr>
      <w:tr w:rsidR="00985518" w:rsidRPr="00B170DF" w14:paraId="18CB911E" w14:textId="77777777" w:rsidTr="002552D5">
        <w:trPr>
          <w:trHeight w:val="397"/>
          <w:jc w:val="center"/>
        </w:trPr>
        <w:tc>
          <w:tcPr>
            <w:tcW w:w="1481" w:type="pct"/>
            <w:tcMar>
              <w:left w:w="108" w:type="dxa"/>
            </w:tcMar>
            <w:vAlign w:val="center"/>
          </w:tcPr>
          <w:p w14:paraId="37EF849B" w14:textId="77777777" w:rsidR="00983180" w:rsidRPr="00B170DF" w:rsidRDefault="00983180" w:rsidP="00983180">
            <w:pPr>
              <w:spacing w:beforeLines="0" w:before="0" w:afterLines="0" w:after="0" w:line="240" w:lineRule="auto"/>
              <w:ind w:firstLineChars="0" w:firstLine="0"/>
              <w:rPr>
                <w:snapToGrid w:val="0"/>
                <w:kern w:val="0"/>
                <w:sz w:val="21"/>
                <w:szCs w:val="21"/>
              </w:rPr>
            </w:pPr>
            <w:r w:rsidRPr="00B170DF">
              <w:rPr>
                <w:rFonts w:hAnsi="宋体" w:hint="eastAsia"/>
                <w:sz w:val="21"/>
                <w:szCs w:val="21"/>
              </w:rPr>
              <w:t>A</w:t>
            </w:r>
            <w:r w:rsidRPr="00B170DF">
              <w:rPr>
                <w:rFonts w:hAnsi="宋体" w:hint="eastAsia"/>
                <w:sz w:val="21"/>
                <w:szCs w:val="21"/>
              </w:rPr>
              <w:t>股</w:t>
            </w:r>
          </w:p>
        </w:tc>
        <w:tc>
          <w:tcPr>
            <w:tcW w:w="276" w:type="pct"/>
            <w:tcMar>
              <w:left w:w="108" w:type="dxa"/>
            </w:tcMar>
            <w:vAlign w:val="center"/>
          </w:tcPr>
          <w:p w14:paraId="7ABF12EF" w14:textId="77777777" w:rsidR="00983180" w:rsidRPr="00B170DF" w:rsidRDefault="00983180" w:rsidP="00983180">
            <w:pPr>
              <w:spacing w:beforeLines="0" w:before="0" w:afterLines="0" w:after="0" w:line="240" w:lineRule="auto"/>
              <w:ind w:firstLineChars="0" w:firstLine="0"/>
              <w:rPr>
                <w:snapToGrid w:val="0"/>
                <w:kern w:val="0"/>
                <w:sz w:val="21"/>
                <w:szCs w:val="21"/>
              </w:rPr>
            </w:pPr>
            <w:r w:rsidRPr="00B170DF">
              <w:rPr>
                <w:rFonts w:hAnsi="宋体" w:hint="eastAsia"/>
                <w:sz w:val="21"/>
                <w:szCs w:val="21"/>
              </w:rPr>
              <w:t>指</w:t>
            </w:r>
          </w:p>
        </w:tc>
        <w:tc>
          <w:tcPr>
            <w:tcW w:w="3243" w:type="pct"/>
            <w:gridSpan w:val="2"/>
            <w:tcMar>
              <w:left w:w="108" w:type="dxa"/>
            </w:tcMar>
            <w:vAlign w:val="center"/>
          </w:tcPr>
          <w:p w14:paraId="0F4658DB" w14:textId="77777777" w:rsidR="00983180" w:rsidRPr="00B170DF" w:rsidRDefault="00983180" w:rsidP="00983180">
            <w:pPr>
              <w:spacing w:beforeLines="0" w:before="0" w:afterLines="0" w:after="0" w:line="240" w:lineRule="auto"/>
              <w:ind w:firstLineChars="0" w:firstLine="0"/>
              <w:rPr>
                <w:snapToGrid w:val="0"/>
                <w:kern w:val="0"/>
                <w:sz w:val="21"/>
                <w:szCs w:val="21"/>
              </w:rPr>
            </w:pPr>
            <w:r w:rsidRPr="00B170DF">
              <w:rPr>
                <w:rFonts w:hAnsi="宋体" w:hint="eastAsia"/>
                <w:sz w:val="21"/>
                <w:szCs w:val="21"/>
              </w:rPr>
              <w:t>获准在境内证券交易所发行上市、以人民币认购和进行交</w:t>
            </w:r>
            <w:r w:rsidRPr="00B170DF">
              <w:rPr>
                <w:rFonts w:hAnsi="宋体" w:hint="eastAsia"/>
                <w:sz w:val="21"/>
                <w:szCs w:val="21"/>
              </w:rPr>
              <w:lastRenderedPageBreak/>
              <w:t>易的普通股股票，每股面值人民币</w:t>
            </w:r>
            <w:r w:rsidRPr="00B170DF">
              <w:rPr>
                <w:rFonts w:hint="eastAsia"/>
                <w:sz w:val="21"/>
                <w:szCs w:val="21"/>
              </w:rPr>
              <w:t>1</w:t>
            </w:r>
            <w:r w:rsidRPr="00B170DF">
              <w:rPr>
                <w:rFonts w:hAnsi="宋体" w:hint="eastAsia"/>
                <w:sz w:val="21"/>
                <w:szCs w:val="21"/>
              </w:rPr>
              <w:t>.</w:t>
            </w:r>
            <w:r w:rsidRPr="00B170DF">
              <w:rPr>
                <w:rFonts w:hint="eastAsia"/>
                <w:sz w:val="21"/>
                <w:szCs w:val="21"/>
              </w:rPr>
              <w:t>00</w:t>
            </w:r>
            <w:r w:rsidRPr="00B170DF">
              <w:rPr>
                <w:rFonts w:hAnsi="宋体" w:hint="eastAsia"/>
                <w:sz w:val="21"/>
                <w:szCs w:val="21"/>
              </w:rPr>
              <w:t>元</w:t>
            </w:r>
          </w:p>
        </w:tc>
      </w:tr>
      <w:tr w:rsidR="00985518" w:rsidRPr="00B170DF" w14:paraId="2BC578F0" w14:textId="77777777" w:rsidTr="002552D5">
        <w:trPr>
          <w:trHeight w:val="397"/>
          <w:jc w:val="center"/>
        </w:trPr>
        <w:tc>
          <w:tcPr>
            <w:tcW w:w="1481" w:type="pct"/>
            <w:tcMar>
              <w:left w:w="108" w:type="dxa"/>
            </w:tcMar>
            <w:vAlign w:val="center"/>
          </w:tcPr>
          <w:p w14:paraId="548AF148"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lastRenderedPageBreak/>
              <w:t>元、万元</w:t>
            </w:r>
            <w:r w:rsidRPr="00B170DF">
              <w:rPr>
                <w:rFonts w:hint="eastAsia"/>
                <w:sz w:val="21"/>
                <w:szCs w:val="21"/>
              </w:rPr>
              <w:t>、</w:t>
            </w:r>
            <w:r w:rsidRPr="00B170DF">
              <w:rPr>
                <w:sz w:val="21"/>
                <w:szCs w:val="21"/>
              </w:rPr>
              <w:t>亿元</w:t>
            </w:r>
          </w:p>
        </w:tc>
        <w:tc>
          <w:tcPr>
            <w:tcW w:w="276" w:type="pct"/>
            <w:tcMar>
              <w:left w:w="108" w:type="dxa"/>
            </w:tcMar>
            <w:vAlign w:val="center"/>
          </w:tcPr>
          <w:p w14:paraId="715738A3"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指</w:t>
            </w:r>
          </w:p>
        </w:tc>
        <w:tc>
          <w:tcPr>
            <w:tcW w:w="3243" w:type="pct"/>
            <w:gridSpan w:val="2"/>
            <w:tcMar>
              <w:left w:w="108" w:type="dxa"/>
            </w:tcMar>
            <w:vAlign w:val="center"/>
          </w:tcPr>
          <w:p w14:paraId="3A24AB1E" w14:textId="77777777" w:rsidR="00983180" w:rsidRPr="00B170DF" w:rsidRDefault="00983180" w:rsidP="00983180">
            <w:pPr>
              <w:adjustRightInd w:val="0"/>
              <w:snapToGrid w:val="0"/>
              <w:spacing w:beforeLines="0" w:before="0" w:afterLines="0" w:after="0" w:line="240" w:lineRule="auto"/>
              <w:ind w:firstLineChars="0" w:firstLine="0"/>
              <w:rPr>
                <w:rFonts w:eastAsia="黑体"/>
                <w:snapToGrid w:val="0"/>
                <w:kern w:val="0"/>
                <w:sz w:val="21"/>
                <w:szCs w:val="21"/>
              </w:rPr>
            </w:pPr>
            <w:r w:rsidRPr="00B170DF">
              <w:rPr>
                <w:sz w:val="21"/>
                <w:szCs w:val="21"/>
              </w:rPr>
              <w:t>人民币元、人民币万元</w:t>
            </w:r>
            <w:r w:rsidRPr="00B170DF">
              <w:rPr>
                <w:rFonts w:hint="eastAsia"/>
                <w:sz w:val="21"/>
                <w:szCs w:val="21"/>
              </w:rPr>
              <w:t>、人民币</w:t>
            </w:r>
            <w:r w:rsidRPr="00B170DF">
              <w:rPr>
                <w:sz w:val="21"/>
                <w:szCs w:val="21"/>
              </w:rPr>
              <w:t>亿元</w:t>
            </w:r>
          </w:p>
        </w:tc>
      </w:tr>
      <w:tr w:rsidR="00985518" w:rsidRPr="00B170DF" w14:paraId="47E590E7" w14:textId="77777777" w:rsidTr="002552D5">
        <w:trPr>
          <w:trHeight w:val="397"/>
          <w:jc w:val="center"/>
        </w:trPr>
        <w:tc>
          <w:tcPr>
            <w:tcW w:w="1481" w:type="pct"/>
            <w:tcMar>
              <w:left w:w="108" w:type="dxa"/>
            </w:tcMar>
            <w:vAlign w:val="center"/>
          </w:tcPr>
          <w:p w14:paraId="51BD5D43"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乙肝</w:t>
            </w:r>
          </w:p>
        </w:tc>
        <w:tc>
          <w:tcPr>
            <w:tcW w:w="276" w:type="pct"/>
            <w:tcMar>
              <w:left w:w="108" w:type="dxa"/>
            </w:tcMar>
            <w:vAlign w:val="center"/>
          </w:tcPr>
          <w:p w14:paraId="68AFB78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38203D89"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乙型病毒性肝炎</w:t>
            </w:r>
          </w:p>
        </w:tc>
      </w:tr>
      <w:tr w:rsidR="00985518" w:rsidRPr="00B170DF" w14:paraId="1BC5E70E" w14:textId="77777777" w:rsidTr="002552D5">
        <w:trPr>
          <w:trHeight w:val="397"/>
          <w:jc w:val="center"/>
        </w:trPr>
        <w:tc>
          <w:tcPr>
            <w:tcW w:w="1481" w:type="pct"/>
            <w:tcMar>
              <w:left w:w="108" w:type="dxa"/>
            </w:tcMar>
            <w:vAlign w:val="center"/>
          </w:tcPr>
          <w:p w14:paraId="4CF4C97B"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丙肝</w:t>
            </w:r>
          </w:p>
        </w:tc>
        <w:tc>
          <w:tcPr>
            <w:tcW w:w="276" w:type="pct"/>
            <w:tcMar>
              <w:left w:w="108" w:type="dxa"/>
            </w:tcMar>
            <w:vAlign w:val="center"/>
          </w:tcPr>
          <w:p w14:paraId="65E24C2C"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359121AE"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丙型病毒性肝炎</w:t>
            </w:r>
          </w:p>
        </w:tc>
      </w:tr>
      <w:tr w:rsidR="00985518" w:rsidRPr="00B170DF" w14:paraId="6511F78D" w14:textId="77777777" w:rsidTr="002552D5">
        <w:trPr>
          <w:trHeight w:val="397"/>
          <w:jc w:val="center"/>
        </w:trPr>
        <w:tc>
          <w:tcPr>
            <w:tcW w:w="1481" w:type="pct"/>
            <w:tcMar>
              <w:left w:w="108" w:type="dxa"/>
            </w:tcMar>
            <w:vAlign w:val="center"/>
          </w:tcPr>
          <w:p w14:paraId="123DCB92"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核苷（酸）类药物</w:t>
            </w:r>
            <w:r w:rsidR="00BB60D7" w:rsidRPr="00B170DF">
              <w:rPr>
                <w:rFonts w:hint="eastAsia"/>
                <w:sz w:val="21"/>
                <w:szCs w:val="21"/>
              </w:rPr>
              <w:t>、</w:t>
            </w:r>
            <w:r w:rsidR="00BB60D7" w:rsidRPr="00B170DF">
              <w:rPr>
                <w:rFonts w:hint="eastAsia"/>
                <w:sz w:val="21"/>
                <w:szCs w:val="21"/>
              </w:rPr>
              <w:t>N</w:t>
            </w:r>
            <w:r w:rsidR="00BB60D7" w:rsidRPr="00B170DF">
              <w:rPr>
                <w:sz w:val="21"/>
                <w:szCs w:val="21"/>
              </w:rPr>
              <w:t>A</w:t>
            </w:r>
            <w:r w:rsidR="00BB60D7" w:rsidRPr="00B170DF">
              <w:rPr>
                <w:rFonts w:hint="eastAsia"/>
                <w:sz w:val="21"/>
                <w:szCs w:val="21"/>
              </w:rPr>
              <w:t>s</w:t>
            </w:r>
            <w:r w:rsidR="00BB60D7" w:rsidRPr="00B170DF">
              <w:rPr>
                <w:rFonts w:hint="eastAsia"/>
                <w:sz w:val="21"/>
                <w:szCs w:val="21"/>
              </w:rPr>
              <w:t>、</w:t>
            </w:r>
            <w:r w:rsidR="00BB60D7" w:rsidRPr="00B170DF">
              <w:rPr>
                <w:rFonts w:hint="eastAsia"/>
                <w:sz w:val="21"/>
                <w:szCs w:val="21"/>
              </w:rPr>
              <w:t>N</w:t>
            </w:r>
            <w:r w:rsidR="00BB60D7" w:rsidRPr="00B170DF">
              <w:rPr>
                <w:sz w:val="21"/>
                <w:szCs w:val="21"/>
              </w:rPr>
              <w:t>UC</w:t>
            </w:r>
          </w:p>
        </w:tc>
        <w:tc>
          <w:tcPr>
            <w:tcW w:w="276" w:type="pct"/>
            <w:tcMar>
              <w:left w:w="108" w:type="dxa"/>
            </w:tcMar>
            <w:vAlign w:val="center"/>
          </w:tcPr>
          <w:p w14:paraId="67B75E7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00AF6DBF"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具有（脱氧）核苷（酸）类似结构的药物。该类药物可以在病毒核酸复制过程中掺入到核酸链中，中止后续的核酸链延伸，从而达到阻止病毒核酸复制或转录的目的</w:t>
            </w:r>
          </w:p>
        </w:tc>
      </w:tr>
      <w:tr w:rsidR="00985518" w:rsidRPr="00B170DF" w14:paraId="6E1A0FB2" w14:textId="77777777" w:rsidTr="00DA5D20">
        <w:trPr>
          <w:trHeight w:val="397"/>
          <w:jc w:val="center"/>
        </w:trPr>
        <w:tc>
          <w:tcPr>
            <w:tcW w:w="1481" w:type="pct"/>
            <w:tcMar>
              <w:left w:w="108" w:type="dxa"/>
            </w:tcMar>
            <w:vAlign w:val="center"/>
          </w:tcPr>
          <w:p w14:paraId="7D52BAC8"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sz w:val="21"/>
                <w:szCs w:val="21"/>
              </w:rPr>
              <w:t>丙</w:t>
            </w:r>
            <w:proofErr w:type="gramStart"/>
            <w:r w:rsidRPr="00B170DF">
              <w:rPr>
                <w:sz w:val="21"/>
                <w:szCs w:val="21"/>
              </w:rPr>
              <w:t>酚替诺</w:t>
            </w:r>
            <w:proofErr w:type="gramEnd"/>
            <w:r w:rsidRPr="00B170DF">
              <w:rPr>
                <w:sz w:val="21"/>
                <w:szCs w:val="21"/>
              </w:rPr>
              <w:t>福韦</w:t>
            </w:r>
            <w:r w:rsidRPr="00B170DF">
              <w:rPr>
                <w:rFonts w:hint="eastAsia"/>
                <w:sz w:val="21"/>
                <w:szCs w:val="21"/>
              </w:rPr>
              <w:t>、</w:t>
            </w:r>
            <w:r w:rsidRPr="00B170DF">
              <w:rPr>
                <w:rFonts w:hint="eastAsia"/>
                <w:sz w:val="21"/>
                <w:szCs w:val="21"/>
              </w:rPr>
              <w:t>TAF</w:t>
            </w:r>
          </w:p>
        </w:tc>
        <w:tc>
          <w:tcPr>
            <w:tcW w:w="280" w:type="pct"/>
            <w:gridSpan w:val="2"/>
            <w:tcMar>
              <w:left w:w="108" w:type="dxa"/>
            </w:tcMar>
            <w:vAlign w:val="center"/>
          </w:tcPr>
          <w:p w14:paraId="69D478CC"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39" w:type="pct"/>
            <w:tcMar>
              <w:left w:w="108" w:type="dxa"/>
            </w:tcMar>
            <w:vAlign w:val="center"/>
          </w:tcPr>
          <w:p w14:paraId="172B2AEA"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富马酸丙</w:t>
            </w:r>
            <w:proofErr w:type="gramStart"/>
            <w:r w:rsidRPr="00B170DF">
              <w:rPr>
                <w:rFonts w:hint="eastAsia"/>
                <w:sz w:val="21"/>
                <w:szCs w:val="21"/>
              </w:rPr>
              <w:t>酚替诺</w:t>
            </w:r>
            <w:proofErr w:type="gramEnd"/>
            <w:r w:rsidRPr="00B170DF">
              <w:rPr>
                <w:rFonts w:hint="eastAsia"/>
                <w:sz w:val="21"/>
                <w:szCs w:val="21"/>
              </w:rPr>
              <w:t>福韦、富马酸替诺福韦艾拉</w:t>
            </w:r>
            <w:proofErr w:type="gramStart"/>
            <w:r w:rsidRPr="00B170DF">
              <w:rPr>
                <w:rFonts w:hint="eastAsia"/>
                <w:sz w:val="21"/>
                <w:szCs w:val="21"/>
              </w:rPr>
              <w:t>酚</w:t>
            </w:r>
            <w:proofErr w:type="gramEnd"/>
            <w:r w:rsidRPr="00B170DF">
              <w:rPr>
                <w:rFonts w:hint="eastAsia"/>
                <w:sz w:val="21"/>
                <w:szCs w:val="21"/>
              </w:rPr>
              <w:t>胺，抗乙肝病毒治疗的一线用药</w:t>
            </w:r>
          </w:p>
        </w:tc>
      </w:tr>
      <w:tr w:rsidR="00985518" w:rsidRPr="00B170DF" w14:paraId="47404214" w14:textId="77777777" w:rsidTr="002552D5">
        <w:trPr>
          <w:trHeight w:val="397"/>
          <w:jc w:val="center"/>
        </w:trPr>
        <w:tc>
          <w:tcPr>
            <w:tcW w:w="1481" w:type="pct"/>
            <w:tcMar>
              <w:left w:w="108" w:type="dxa"/>
            </w:tcMar>
            <w:vAlign w:val="center"/>
          </w:tcPr>
          <w:p w14:paraId="78D924CF"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原料药</w:t>
            </w:r>
          </w:p>
        </w:tc>
        <w:tc>
          <w:tcPr>
            <w:tcW w:w="276" w:type="pct"/>
            <w:tcMar>
              <w:left w:w="108" w:type="dxa"/>
            </w:tcMar>
            <w:vAlign w:val="center"/>
          </w:tcPr>
          <w:p w14:paraId="3D6610DC"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0FA1A4E9"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药物活性成分，具有药理活性，可用于药品制剂生产的物质</w:t>
            </w:r>
          </w:p>
        </w:tc>
      </w:tr>
      <w:tr w:rsidR="00985518" w:rsidRPr="00B170DF" w14:paraId="5F1AE4AD" w14:textId="77777777" w:rsidTr="002552D5">
        <w:trPr>
          <w:trHeight w:val="397"/>
          <w:jc w:val="center"/>
        </w:trPr>
        <w:tc>
          <w:tcPr>
            <w:tcW w:w="1481" w:type="pct"/>
            <w:tcMar>
              <w:left w:w="108" w:type="dxa"/>
            </w:tcMar>
            <w:vAlign w:val="center"/>
          </w:tcPr>
          <w:p w14:paraId="0733E56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仿制药</w:t>
            </w:r>
          </w:p>
        </w:tc>
        <w:tc>
          <w:tcPr>
            <w:tcW w:w="276" w:type="pct"/>
            <w:tcMar>
              <w:left w:w="108" w:type="dxa"/>
            </w:tcMar>
            <w:vAlign w:val="center"/>
          </w:tcPr>
          <w:p w14:paraId="6CF3E4EC"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63A2296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与原研药具有相同的活性成分、剂型、给药途径和治疗作用的药品</w:t>
            </w:r>
          </w:p>
        </w:tc>
      </w:tr>
      <w:tr w:rsidR="00985518" w:rsidRPr="00B170DF" w14:paraId="61677C3A" w14:textId="77777777" w:rsidTr="002552D5">
        <w:trPr>
          <w:trHeight w:val="397"/>
          <w:jc w:val="center"/>
        </w:trPr>
        <w:tc>
          <w:tcPr>
            <w:tcW w:w="1481" w:type="pct"/>
            <w:tcMar>
              <w:left w:w="108" w:type="dxa"/>
            </w:tcMar>
            <w:vAlign w:val="center"/>
          </w:tcPr>
          <w:p w14:paraId="25C3AAA6"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仿制药一致性评价</w:t>
            </w:r>
          </w:p>
        </w:tc>
        <w:tc>
          <w:tcPr>
            <w:tcW w:w="276" w:type="pct"/>
            <w:tcMar>
              <w:left w:w="108" w:type="dxa"/>
            </w:tcMar>
            <w:vAlign w:val="center"/>
          </w:tcPr>
          <w:p w14:paraId="5E766810"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7F830BC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仿制药质量和疗效一致性评价，要求已经批准上市的仿制药品，要在质量和疗效上与原研药品能够一致，临床上与原研药品可以相互替代</w:t>
            </w:r>
          </w:p>
        </w:tc>
      </w:tr>
      <w:tr w:rsidR="00985518" w:rsidRPr="00B170DF" w14:paraId="4F0F5EAB" w14:textId="77777777" w:rsidTr="002552D5">
        <w:trPr>
          <w:trHeight w:val="397"/>
          <w:jc w:val="center"/>
        </w:trPr>
        <w:tc>
          <w:tcPr>
            <w:tcW w:w="1481" w:type="pct"/>
            <w:tcMar>
              <w:left w:w="108" w:type="dxa"/>
            </w:tcMar>
            <w:vAlign w:val="center"/>
          </w:tcPr>
          <w:p w14:paraId="5A159A0E"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两票制</w:t>
            </w:r>
          </w:p>
        </w:tc>
        <w:tc>
          <w:tcPr>
            <w:tcW w:w="276" w:type="pct"/>
            <w:tcMar>
              <w:left w:w="108" w:type="dxa"/>
            </w:tcMar>
            <w:vAlign w:val="center"/>
          </w:tcPr>
          <w:p w14:paraId="09C3F4E3"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3D966E39"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生产企业到流通企业开一次发票，流通企业到医疗机构开一次发票</w:t>
            </w:r>
          </w:p>
        </w:tc>
      </w:tr>
      <w:tr w:rsidR="00985518" w:rsidRPr="00B170DF" w14:paraId="7D59D449" w14:textId="77777777" w:rsidTr="002552D5">
        <w:trPr>
          <w:trHeight w:val="397"/>
          <w:jc w:val="center"/>
        </w:trPr>
        <w:tc>
          <w:tcPr>
            <w:tcW w:w="1481" w:type="pct"/>
            <w:tcMar>
              <w:left w:w="108" w:type="dxa"/>
            </w:tcMar>
            <w:vAlign w:val="center"/>
          </w:tcPr>
          <w:p w14:paraId="1BAF976C"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带量采购</w:t>
            </w:r>
          </w:p>
        </w:tc>
        <w:tc>
          <w:tcPr>
            <w:tcW w:w="276" w:type="pct"/>
            <w:tcMar>
              <w:left w:w="108" w:type="dxa"/>
            </w:tcMar>
            <w:vAlign w:val="center"/>
          </w:tcPr>
          <w:p w14:paraId="3A50C0C8"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47009B7D"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在招标公告中，招标方在招标公告中会公示所需的采购量，投标方在投标过程中除了要考虑价格，还要考虑自身产能能否承担起相应的采购供应量，促使投标方在竞标过程中采用以</w:t>
            </w:r>
            <w:proofErr w:type="gramStart"/>
            <w:r w:rsidRPr="00B170DF">
              <w:rPr>
                <w:rFonts w:hint="eastAsia"/>
                <w:sz w:val="21"/>
                <w:szCs w:val="21"/>
              </w:rPr>
              <w:t>价换量</w:t>
            </w:r>
            <w:proofErr w:type="gramEnd"/>
            <w:r w:rsidRPr="00B170DF">
              <w:rPr>
                <w:rFonts w:hint="eastAsia"/>
                <w:sz w:val="21"/>
                <w:szCs w:val="21"/>
              </w:rPr>
              <w:t>的方式降低药品价格。</w:t>
            </w:r>
          </w:p>
        </w:tc>
      </w:tr>
      <w:tr w:rsidR="00985518" w:rsidRPr="00B170DF" w14:paraId="34037F1D" w14:textId="77777777" w:rsidTr="002552D5">
        <w:trPr>
          <w:trHeight w:val="397"/>
          <w:jc w:val="center"/>
        </w:trPr>
        <w:tc>
          <w:tcPr>
            <w:tcW w:w="1481" w:type="pct"/>
            <w:tcMar>
              <w:left w:w="108" w:type="dxa"/>
            </w:tcMar>
            <w:vAlign w:val="center"/>
          </w:tcPr>
          <w:p w14:paraId="7A31F877"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水飞</w:t>
            </w:r>
            <w:proofErr w:type="gramStart"/>
            <w:r w:rsidRPr="00B170DF">
              <w:rPr>
                <w:rFonts w:hint="eastAsia"/>
                <w:sz w:val="21"/>
                <w:szCs w:val="21"/>
              </w:rPr>
              <w:t>蓟宾葡</w:t>
            </w:r>
            <w:proofErr w:type="gramEnd"/>
            <w:r w:rsidRPr="00B170DF">
              <w:rPr>
                <w:rFonts w:hint="eastAsia"/>
                <w:sz w:val="21"/>
                <w:szCs w:val="21"/>
              </w:rPr>
              <w:t>甲胺片</w:t>
            </w:r>
          </w:p>
        </w:tc>
        <w:tc>
          <w:tcPr>
            <w:tcW w:w="276" w:type="pct"/>
            <w:tcMar>
              <w:left w:w="108" w:type="dxa"/>
            </w:tcMar>
            <w:vAlign w:val="center"/>
          </w:tcPr>
          <w:p w14:paraId="6A15E87C"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6584D59B"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由纯天然植物水飞</w:t>
            </w:r>
            <w:proofErr w:type="gramStart"/>
            <w:r w:rsidRPr="00B170DF">
              <w:rPr>
                <w:rFonts w:hint="eastAsia"/>
                <w:sz w:val="21"/>
                <w:szCs w:val="21"/>
              </w:rPr>
              <w:t>蓟</w:t>
            </w:r>
            <w:proofErr w:type="gramEnd"/>
            <w:r w:rsidRPr="00B170DF">
              <w:rPr>
                <w:rFonts w:hint="eastAsia"/>
                <w:sz w:val="21"/>
                <w:szCs w:val="21"/>
              </w:rPr>
              <w:t>经提取精制得水飞</w:t>
            </w:r>
            <w:proofErr w:type="gramStart"/>
            <w:r w:rsidRPr="00B170DF">
              <w:rPr>
                <w:rFonts w:hint="eastAsia"/>
                <w:sz w:val="21"/>
                <w:szCs w:val="21"/>
              </w:rPr>
              <w:t>蓟</w:t>
            </w:r>
            <w:proofErr w:type="gramEnd"/>
            <w:r w:rsidRPr="00B170DF">
              <w:rPr>
                <w:rFonts w:hint="eastAsia"/>
                <w:sz w:val="21"/>
                <w:szCs w:val="21"/>
              </w:rPr>
              <w:t>宾和葡甲胺合成制得的衍生物，广泛应用于保肝护肝领域</w:t>
            </w:r>
          </w:p>
        </w:tc>
      </w:tr>
      <w:tr w:rsidR="00985518" w:rsidRPr="00B170DF" w14:paraId="349920CC" w14:textId="77777777" w:rsidTr="002552D5">
        <w:trPr>
          <w:trHeight w:val="397"/>
          <w:jc w:val="center"/>
        </w:trPr>
        <w:tc>
          <w:tcPr>
            <w:tcW w:w="1481" w:type="pct"/>
            <w:tcMar>
              <w:left w:w="108" w:type="dxa"/>
            </w:tcMar>
            <w:vAlign w:val="center"/>
          </w:tcPr>
          <w:p w14:paraId="05305348"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proofErr w:type="spellStart"/>
            <w:r w:rsidRPr="00B170DF">
              <w:rPr>
                <w:rFonts w:hint="eastAsia"/>
                <w:sz w:val="21"/>
                <w:szCs w:val="21"/>
              </w:rPr>
              <w:t>cccDNA</w:t>
            </w:r>
            <w:proofErr w:type="spellEnd"/>
          </w:p>
        </w:tc>
        <w:tc>
          <w:tcPr>
            <w:tcW w:w="276" w:type="pct"/>
            <w:tcMar>
              <w:left w:w="108" w:type="dxa"/>
            </w:tcMar>
            <w:vAlign w:val="center"/>
          </w:tcPr>
          <w:p w14:paraId="29F7992B"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1ABBE050" w14:textId="77777777" w:rsidR="00BB60D7" w:rsidRPr="00B170DF" w:rsidRDefault="00BB60D7" w:rsidP="00BB60D7">
            <w:pPr>
              <w:adjustRightInd w:val="0"/>
              <w:snapToGrid w:val="0"/>
              <w:spacing w:beforeLines="0" w:before="0" w:afterLines="0" w:after="0" w:line="240" w:lineRule="auto"/>
              <w:ind w:firstLineChars="0" w:firstLine="0"/>
              <w:rPr>
                <w:sz w:val="21"/>
                <w:szCs w:val="21"/>
              </w:rPr>
            </w:pPr>
            <w:r w:rsidRPr="00B170DF">
              <w:rPr>
                <w:rFonts w:hint="eastAsia"/>
                <w:sz w:val="21"/>
                <w:szCs w:val="21"/>
              </w:rPr>
              <w:t>共价、闭合、环状</w:t>
            </w:r>
            <w:r w:rsidRPr="00B170DF">
              <w:rPr>
                <w:rFonts w:hint="eastAsia"/>
                <w:sz w:val="21"/>
                <w:szCs w:val="21"/>
              </w:rPr>
              <w:t>DNA</w:t>
            </w:r>
            <w:r w:rsidRPr="00B170DF">
              <w:rPr>
                <w:rFonts w:hint="eastAsia"/>
                <w:sz w:val="21"/>
                <w:szCs w:val="21"/>
              </w:rPr>
              <w:t>分子（</w:t>
            </w:r>
            <w:r w:rsidRPr="00B170DF">
              <w:rPr>
                <w:rFonts w:hint="eastAsia"/>
                <w:sz w:val="21"/>
                <w:szCs w:val="21"/>
              </w:rPr>
              <w:t>covalently closed circular DNA</w:t>
            </w:r>
            <w:r w:rsidRPr="00B170DF">
              <w:rPr>
                <w:rFonts w:hint="eastAsia"/>
                <w:sz w:val="21"/>
                <w:szCs w:val="21"/>
              </w:rPr>
              <w:t>），为乙肝病毒前基因组</w:t>
            </w:r>
            <w:r w:rsidRPr="00B170DF">
              <w:rPr>
                <w:rFonts w:hint="eastAsia"/>
                <w:sz w:val="21"/>
                <w:szCs w:val="21"/>
              </w:rPr>
              <w:t>RNA</w:t>
            </w:r>
            <w:r w:rsidRPr="00B170DF">
              <w:rPr>
                <w:rFonts w:hint="eastAsia"/>
                <w:sz w:val="21"/>
                <w:szCs w:val="21"/>
              </w:rPr>
              <w:t>复制的原始模板，对乙肝病毒的复制具有重要意义</w:t>
            </w:r>
          </w:p>
        </w:tc>
      </w:tr>
      <w:tr w:rsidR="00985518" w:rsidRPr="00B170DF" w14:paraId="0B8EA42E" w14:textId="77777777" w:rsidTr="002552D5">
        <w:trPr>
          <w:trHeight w:val="397"/>
          <w:jc w:val="center"/>
        </w:trPr>
        <w:tc>
          <w:tcPr>
            <w:tcW w:w="1481" w:type="pct"/>
            <w:tcMar>
              <w:left w:w="108" w:type="dxa"/>
            </w:tcMar>
            <w:vAlign w:val="center"/>
          </w:tcPr>
          <w:p w14:paraId="718C13BD" w14:textId="77777777" w:rsidR="008E55BB" w:rsidRPr="00B170DF" w:rsidRDefault="008E55BB" w:rsidP="008E55BB">
            <w:pPr>
              <w:adjustRightInd w:val="0"/>
              <w:snapToGrid w:val="0"/>
              <w:spacing w:beforeLines="0" w:before="0" w:afterLines="0" w:after="0" w:line="240" w:lineRule="auto"/>
              <w:ind w:firstLineChars="0" w:firstLine="0"/>
              <w:rPr>
                <w:sz w:val="21"/>
                <w:szCs w:val="21"/>
              </w:rPr>
            </w:pPr>
            <w:r w:rsidRPr="00B170DF">
              <w:rPr>
                <w:rFonts w:hint="eastAsia"/>
                <w:sz w:val="21"/>
                <w:szCs w:val="21"/>
              </w:rPr>
              <w:t>HBV</w:t>
            </w:r>
          </w:p>
        </w:tc>
        <w:tc>
          <w:tcPr>
            <w:tcW w:w="276" w:type="pct"/>
            <w:tcMar>
              <w:left w:w="108" w:type="dxa"/>
            </w:tcMar>
            <w:vAlign w:val="center"/>
          </w:tcPr>
          <w:p w14:paraId="25DE2D80" w14:textId="77777777" w:rsidR="008E55BB" w:rsidRPr="00B170DF" w:rsidRDefault="008E55BB" w:rsidP="008E55BB">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57845A72" w14:textId="77777777" w:rsidR="008E55BB" w:rsidRPr="00B170DF" w:rsidRDefault="008E55BB" w:rsidP="008E55BB">
            <w:pPr>
              <w:adjustRightInd w:val="0"/>
              <w:snapToGrid w:val="0"/>
              <w:spacing w:beforeLines="0" w:before="0" w:afterLines="0" w:after="0" w:line="240" w:lineRule="auto"/>
              <w:ind w:firstLineChars="0" w:firstLine="0"/>
              <w:rPr>
                <w:sz w:val="21"/>
                <w:szCs w:val="21"/>
              </w:rPr>
            </w:pPr>
            <w:r w:rsidRPr="00B170DF">
              <w:rPr>
                <w:rFonts w:hint="eastAsia"/>
                <w:sz w:val="21"/>
                <w:szCs w:val="21"/>
              </w:rPr>
              <w:t>乙型肝炎病毒</w:t>
            </w:r>
          </w:p>
        </w:tc>
      </w:tr>
      <w:tr w:rsidR="00985518" w:rsidRPr="00B170DF" w14:paraId="55C7EB27" w14:textId="77777777" w:rsidTr="002552D5">
        <w:trPr>
          <w:trHeight w:val="397"/>
          <w:jc w:val="center"/>
        </w:trPr>
        <w:tc>
          <w:tcPr>
            <w:tcW w:w="1481" w:type="pct"/>
            <w:tcMar>
              <w:left w:w="108" w:type="dxa"/>
            </w:tcMar>
            <w:vAlign w:val="center"/>
          </w:tcPr>
          <w:p w14:paraId="7A3D273D"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sz w:val="21"/>
                <w:szCs w:val="21"/>
              </w:rPr>
              <w:t>HCC</w:t>
            </w:r>
          </w:p>
        </w:tc>
        <w:tc>
          <w:tcPr>
            <w:tcW w:w="276" w:type="pct"/>
            <w:tcMar>
              <w:left w:w="108" w:type="dxa"/>
            </w:tcMar>
            <w:vAlign w:val="center"/>
          </w:tcPr>
          <w:p w14:paraId="171747A6"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732461C6"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sz w:val="21"/>
                <w:szCs w:val="21"/>
              </w:rPr>
              <w:t>H</w:t>
            </w:r>
            <w:r w:rsidRPr="00B170DF">
              <w:rPr>
                <w:rFonts w:hint="eastAsia"/>
                <w:sz w:val="21"/>
                <w:szCs w:val="21"/>
              </w:rPr>
              <w:t xml:space="preserve">epatocellular </w:t>
            </w:r>
            <w:r w:rsidRPr="00B170DF">
              <w:rPr>
                <w:sz w:val="21"/>
                <w:szCs w:val="21"/>
              </w:rPr>
              <w:t>C</w:t>
            </w:r>
            <w:r w:rsidRPr="00B170DF">
              <w:rPr>
                <w:rFonts w:hint="eastAsia"/>
                <w:sz w:val="21"/>
                <w:szCs w:val="21"/>
              </w:rPr>
              <w:t>ancer</w:t>
            </w:r>
            <w:r w:rsidRPr="00B170DF">
              <w:rPr>
                <w:rFonts w:hint="eastAsia"/>
                <w:sz w:val="21"/>
                <w:szCs w:val="21"/>
              </w:rPr>
              <w:t>，肝细胞性肝癌</w:t>
            </w:r>
          </w:p>
        </w:tc>
      </w:tr>
      <w:tr w:rsidR="00985518" w:rsidRPr="00B170DF" w14:paraId="362B6892" w14:textId="77777777" w:rsidTr="002552D5">
        <w:trPr>
          <w:trHeight w:val="397"/>
          <w:jc w:val="center"/>
        </w:trPr>
        <w:tc>
          <w:tcPr>
            <w:tcW w:w="1481" w:type="pct"/>
            <w:tcMar>
              <w:left w:w="108" w:type="dxa"/>
            </w:tcMar>
            <w:vAlign w:val="center"/>
          </w:tcPr>
          <w:p w14:paraId="71952BAE"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sz w:val="21"/>
                <w:szCs w:val="21"/>
              </w:rPr>
              <w:t>HBsAg</w:t>
            </w:r>
          </w:p>
        </w:tc>
        <w:tc>
          <w:tcPr>
            <w:tcW w:w="276" w:type="pct"/>
            <w:tcMar>
              <w:left w:w="108" w:type="dxa"/>
            </w:tcMar>
            <w:vAlign w:val="center"/>
          </w:tcPr>
          <w:p w14:paraId="02B99D5D"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25D6A2AC"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乙肝</w:t>
            </w:r>
            <w:r w:rsidRPr="00B170DF">
              <w:rPr>
                <w:sz w:val="21"/>
                <w:szCs w:val="21"/>
              </w:rPr>
              <w:t>表面抗原</w:t>
            </w:r>
            <w:r w:rsidRPr="00B170DF">
              <w:rPr>
                <w:rFonts w:hint="eastAsia"/>
                <w:sz w:val="21"/>
                <w:szCs w:val="21"/>
              </w:rPr>
              <w:t>，为乙肝病毒的外壳蛋白，本身不具有传染性，但它的出现常伴随乙肝病毒的存在，所以可以作为乙肝病毒感染的标志</w:t>
            </w:r>
          </w:p>
        </w:tc>
      </w:tr>
      <w:tr w:rsidR="00985518" w:rsidRPr="00B170DF" w14:paraId="65875D41" w14:textId="77777777" w:rsidTr="002552D5">
        <w:trPr>
          <w:trHeight w:val="397"/>
          <w:jc w:val="center"/>
        </w:trPr>
        <w:tc>
          <w:tcPr>
            <w:tcW w:w="1481" w:type="pct"/>
            <w:tcMar>
              <w:left w:w="108" w:type="dxa"/>
            </w:tcMar>
            <w:vAlign w:val="center"/>
          </w:tcPr>
          <w:p w14:paraId="3A57697A"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proofErr w:type="spellStart"/>
            <w:r w:rsidRPr="00B170DF">
              <w:rPr>
                <w:rFonts w:hint="eastAsia"/>
                <w:sz w:val="21"/>
                <w:szCs w:val="21"/>
              </w:rPr>
              <w:t>HBeAg</w:t>
            </w:r>
            <w:proofErr w:type="spellEnd"/>
          </w:p>
        </w:tc>
        <w:tc>
          <w:tcPr>
            <w:tcW w:w="276" w:type="pct"/>
            <w:tcMar>
              <w:left w:w="108" w:type="dxa"/>
            </w:tcMar>
            <w:vAlign w:val="center"/>
          </w:tcPr>
          <w:p w14:paraId="46764F40"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43CB3399"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乙肝</w:t>
            </w:r>
            <w:r w:rsidRPr="00B170DF">
              <w:rPr>
                <w:rFonts w:hint="eastAsia"/>
                <w:sz w:val="21"/>
                <w:szCs w:val="21"/>
              </w:rPr>
              <w:t>e</w:t>
            </w:r>
            <w:r w:rsidRPr="00B170DF">
              <w:rPr>
                <w:rFonts w:hint="eastAsia"/>
                <w:sz w:val="21"/>
                <w:szCs w:val="21"/>
              </w:rPr>
              <w:t>抗原，该项指标阳性表明乙肝病毒在体内复制活跃，具有较强的传染性</w:t>
            </w:r>
          </w:p>
        </w:tc>
      </w:tr>
      <w:tr w:rsidR="00985518" w:rsidRPr="00B170DF" w14:paraId="383F5BEE" w14:textId="77777777" w:rsidTr="002552D5">
        <w:trPr>
          <w:trHeight w:val="397"/>
          <w:jc w:val="center"/>
        </w:trPr>
        <w:tc>
          <w:tcPr>
            <w:tcW w:w="1481" w:type="pct"/>
            <w:tcMar>
              <w:left w:w="108" w:type="dxa"/>
            </w:tcMar>
            <w:vAlign w:val="center"/>
          </w:tcPr>
          <w:p w14:paraId="15117D4D"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ALT</w:t>
            </w:r>
          </w:p>
        </w:tc>
        <w:tc>
          <w:tcPr>
            <w:tcW w:w="276" w:type="pct"/>
            <w:tcMar>
              <w:left w:w="108" w:type="dxa"/>
            </w:tcMar>
            <w:vAlign w:val="center"/>
          </w:tcPr>
          <w:p w14:paraId="5B00C205"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47202BDB"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谷丙转氨酶，主要存在于肝脏细胞中，是诊断病毒性肝炎的重要指标</w:t>
            </w:r>
          </w:p>
        </w:tc>
      </w:tr>
      <w:tr w:rsidR="00985518" w:rsidRPr="00B170DF" w14:paraId="21B6D230" w14:textId="77777777" w:rsidTr="002552D5">
        <w:trPr>
          <w:trHeight w:val="397"/>
          <w:jc w:val="center"/>
        </w:trPr>
        <w:tc>
          <w:tcPr>
            <w:tcW w:w="1481" w:type="pct"/>
            <w:tcMar>
              <w:left w:w="108" w:type="dxa"/>
            </w:tcMar>
            <w:vAlign w:val="center"/>
          </w:tcPr>
          <w:p w14:paraId="71B69E76"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sz w:val="21"/>
                <w:szCs w:val="21"/>
              </w:rPr>
              <w:t>NTCP</w:t>
            </w:r>
          </w:p>
        </w:tc>
        <w:tc>
          <w:tcPr>
            <w:tcW w:w="276" w:type="pct"/>
            <w:tcMar>
              <w:left w:w="108" w:type="dxa"/>
            </w:tcMar>
            <w:vAlign w:val="center"/>
          </w:tcPr>
          <w:p w14:paraId="05EA0F61"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7F5CAF1C"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钠离子</w:t>
            </w:r>
            <w:r w:rsidRPr="00B170DF">
              <w:rPr>
                <w:sz w:val="21"/>
                <w:szCs w:val="21"/>
              </w:rPr>
              <w:t>-</w:t>
            </w:r>
            <w:r w:rsidRPr="00B170DF">
              <w:rPr>
                <w:rFonts w:hint="eastAsia"/>
                <w:sz w:val="21"/>
                <w:szCs w:val="21"/>
              </w:rPr>
              <w:t>牛</w:t>
            </w:r>
            <w:proofErr w:type="gramStart"/>
            <w:r w:rsidRPr="00B170DF">
              <w:rPr>
                <w:rFonts w:hint="eastAsia"/>
                <w:sz w:val="21"/>
                <w:szCs w:val="21"/>
              </w:rPr>
              <w:t>磺</w:t>
            </w:r>
            <w:proofErr w:type="gramEnd"/>
            <w:r w:rsidRPr="00B170DF">
              <w:rPr>
                <w:rFonts w:hint="eastAsia"/>
                <w:sz w:val="21"/>
                <w:szCs w:val="21"/>
              </w:rPr>
              <w:t>胆酸共转运多肽</w:t>
            </w:r>
          </w:p>
        </w:tc>
      </w:tr>
      <w:tr w:rsidR="00985518" w:rsidRPr="00B170DF" w14:paraId="00034E52" w14:textId="77777777" w:rsidTr="002552D5">
        <w:trPr>
          <w:trHeight w:val="397"/>
          <w:jc w:val="center"/>
        </w:trPr>
        <w:tc>
          <w:tcPr>
            <w:tcW w:w="1481" w:type="pct"/>
            <w:tcMar>
              <w:left w:w="108" w:type="dxa"/>
            </w:tcMar>
            <w:vAlign w:val="center"/>
          </w:tcPr>
          <w:p w14:paraId="7DAA4F94"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proofErr w:type="spellStart"/>
            <w:r w:rsidRPr="00B170DF">
              <w:rPr>
                <w:sz w:val="21"/>
                <w:szCs w:val="21"/>
              </w:rPr>
              <w:t>pgRNA</w:t>
            </w:r>
            <w:proofErr w:type="spellEnd"/>
          </w:p>
        </w:tc>
        <w:tc>
          <w:tcPr>
            <w:tcW w:w="276" w:type="pct"/>
            <w:tcMar>
              <w:left w:w="108" w:type="dxa"/>
            </w:tcMar>
            <w:vAlign w:val="center"/>
          </w:tcPr>
          <w:p w14:paraId="09BBE04C"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07987D15"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前基因组</w:t>
            </w:r>
            <w:r w:rsidRPr="00B170DF">
              <w:rPr>
                <w:sz w:val="21"/>
                <w:szCs w:val="21"/>
              </w:rPr>
              <w:t>RNA</w:t>
            </w:r>
          </w:p>
        </w:tc>
      </w:tr>
      <w:tr w:rsidR="00985518" w:rsidRPr="00B170DF" w14:paraId="05F19CFE" w14:textId="77777777" w:rsidTr="002552D5">
        <w:trPr>
          <w:trHeight w:val="397"/>
          <w:jc w:val="center"/>
        </w:trPr>
        <w:tc>
          <w:tcPr>
            <w:tcW w:w="1481" w:type="pct"/>
            <w:tcMar>
              <w:left w:w="108" w:type="dxa"/>
            </w:tcMar>
            <w:vAlign w:val="center"/>
          </w:tcPr>
          <w:p w14:paraId="19E06267"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bookmarkStart w:id="14" w:name="OLE_LINK11"/>
            <w:proofErr w:type="spellStart"/>
            <w:r w:rsidRPr="00B170DF">
              <w:rPr>
                <w:rFonts w:hint="eastAsia"/>
                <w:sz w:val="21"/>
                <w:szCs w:val="21"/>
              </w:rPr>
              <w:t>CpAMs</w:t>
            </w:r>
            <w:bookmarkEnd w:id="14"/>
            <w:proofErr w:type="spellEnd"/>
          </w:p>
        </w:tc>
        <w:tc>
          <w:tcPr>
            <w:tcW w:w="276" w:type="pct"/>
            <w:tcMar>
              <w:left w:w="108" w:type="dxa"/>
            </w:tcMar>
            <w:vAlign w:val="center"/>
          </w:tcPr>
          <w:p w14:paraId="502BCF40"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3BBABD01" w14:textId="77777777" w:rsidR="002552D5" w:rsidRPr="00B170DF" w:rsidRDefault="002552D5" w:rsidP="002552D5">
            <w:pPr>
              <w:adjustRightInd w:val="0"/>
              <w:snapToGrid w:val="0"/>
              <w:spacing w:beforeLines="0" w:before="0" w:afterLines="0" w:after="0" w:line="240" w:lineRule="auto"/>
              <w:ind w:firstLineChars="0" w:firstLine="0"/>
              <w:rPr>
                <w:sz w:val="21"/>
                <w:szCs w:val="21"/>
              </w:rPr>
            </w:pPr>
            <w:r w:rsidRPr="00B170DF">
              <w:rPr>
                <w:rFonts w:hint="eastAsia"/>
                <w:sz w:val="21"/>
                <w:szCs w:val="21"/>
              </w:rPr>
              <w:t>衣壳抑制剂，又</w:t>
            </w:r>
            <w:proofErr w:type="gramStart"/>
            <w:r w:rsidRPr="00B170DF">
              <w:rPr>
                <w:rFonts w:hint="eastAsia"/>
                <w:sz w:val="21"/>
                <w:szCs w:val="21"/>
              </w:rPr>
              <w:t>称核心</w:t>
            </w:r>
            <w:proofErr w:type="gramEnd"/>
            <w:r w:rsidRPr="00B170DF">
              <w:rPr>
                <w:rFonts w:hint="eastAsia"/>
                <w:sz w:val="21"/>
                <w:szCs w:val="21"/>
              </w:rPr>
              <w:t>蛋白抑制剂</w:t>
            </w:r>
          </w:p>
        </w:tc>
      </w:tr>
      <w:tr w:rsidR="00985518" w:rsidRPr="00B170DF" w14:paraId="1DCA3D15" w14:textId="77777777" w:rsidTr="002552D5">
        <w:trPr>
          <w:trHeight w:val="397"/>
          <w:jc w:val="center"/>
        </w:trPr>
        <w:tc>
          <w:tcPr>
            <w:tcW w:w="1481" w:type="pct"/>
            <w:tcMar>
              <w:left w:w="108" w:type="dxa"/>
            </w:tcMar>
            <w:vAlign w:val="center"/>
          </w:tcPr>
          <w:p w14:paraId="212076A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CRO</w:t>
            </w:r>
          </w:p>
        </w:tc>
        <w:tc>
          <w:tcPr>
            <w:tcW w:w="276" w:type="pct"/>
            <w:tcMar>
              <w:left w:w="108" w:type="dxa"/>
            </w:tcMar>
            <w:vAlign w:val="center"/>
          </w:tcPr>
          <w:p w14:paraId="75745E85"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0C5B1891"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Contract Research Organization</w:t>
            </w:r>
            <w:r w:rsidRPr="00B170DF">
              <w:rPr>
                <w:rFonts w:hint="eastAsia"/>
                <w:sz w:val="21"/>
                <w:szCs w:val="21"/>
              </w:rPr>
              <w:t>，即合同研究组织，通过合同形式为医药企业及相关机构在基础医学研究和临床医学研发过程中提供专业化研究服务的商业化机构。</w:t>
            </w:r>
          </w:p>
        </w:tc>
      </w:tr>
      <w:tr w:rsidR="00985518" w:rsidRPr="00B170DF" w14:paraId="345B7453" w14:textId="77777777" w:rsidTr="002552D5">
        <w:trPr>
          <w:trHeight w:val="397"/>
          <w:jc w:val="center"/>
        </w:trPr>
        <w:tc>
          <w:tcPr>
            <w:tcW w:w="1481" w:type="pct"/>
            <w:tcMar>
              <w:left w:w="108" w:type="dxa"/>
            </w:tcMar>
            <w:vAlign w:val="center"/>
          </w:tcPr>
          <w:p w14:paraId="72961043"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GMP</w:t>
            </w:r>
          </w:p>
        </w:tc>
        <w:tc>
          <w:tcPr>
            <w:tcW w:w="276" w:type="pct"/>
            <w:tcMar>
              <w:left w:w="108" w:type="dxa"/>
            </w:tcMar>
            <w:vAlign w:val="center"/>
          </w:tcPr>
          <w:p w14:paraId="01FADF0B"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104B507D"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sz w:val="21"/>
                <w:szCs w:val="21"/>
              </w:rPr>
              <w:t>Good Manufacturing Practice</w:t>
            </w:r>
            <w:r w:rsidRPr="00B170DF">
              <w:rPr>
                <w:rFonts w:hint="eastAsia"/>
                <w:sz w:val="21"/>
                <w:szCs w:val="21"/>
              </w:rPr>
              <w:t>的缩写，药品生产质量管理规范</w:t>
            </w:r>
          </w:p>
        </w:tc>
      </w:tr>
      <w:tr w:rsidR="00985518" w:rsidRPr="00B170DF" w14:paraId="12E1CA3F" w14:textId="77777777" w:rsidTr="002552D5">
        <w:trPr>
          <w:trHeight w:val="397"/>
          <w:jc w:val="center"/>
        </w:trPr>
        <w:tc>
          <w:tcPr>
            <w:tcW w:w="1481" w:type="pct"/>
            <w:tcMar>
              <w:left w:w="108" w:type="dxa"/>
            </w:tcMar>
            <w:vAlign w:val="center"/>
          </w:tcPr>
          <w:p w14:paraId="338A6560"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IND</w:t>
            </w:r>
          </w:p>
        </w:tc>
        <w:tc>
          <w:tcPr>
            <w:tcW w:w="276" w:type="pct"/>
            <w:tcMar>
              <w:left w:w="108" w:type="dxa"/>
            </w:tcMar>
            <w:vAlign w:val="center"/>
          </w:tcPr>
          <w:p w14:paraId="5F5FE9D1"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7D99DDE0"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sz w:val="21"/>
                <w:szCs w:val="21"/>
              </w:rPr>
              <w:t xml:space="preserve">Investigational New Drug </w:t>
            </w:r>
            <w:r w:rsidRPr="00B170DF">
              <w:rPr>
                <w:rFonts w:hint="eastAsia"/>
                <w:sz w:val="21"/>
                <w:szCs w:val="21"/>
              </w:rPr>
              <w:t>Application</w:t>
            </w:r>
            <w:r w:rsidRPr="00B170DF">
              <w:rPr>
                <w:rFonts w:hint="eastAsia"/>
                <w:sz w:val="21"/>
                <w:szCs w:val="21"/>
              </w:rPr>
              <w:t>，指新药临床试验申</w:t>
            </w:r>
            <w:r w:rsidRPr="00B170DF">
              <w:rPr>
                <w:rFonts w:hint="eastAsia"/>
                <w:sz w:val="21"/>
                <w:szCs w:val="21"/>
              </w:rPr>
              <w:lastRenderedPageBreak/>
              <w:t>请</w:t>
            </w:r>
          </w:p>
        </w:tc>
      </w:tr>
      <w:tr w:rsidR="00985518" w:rsidRPr="00B170DF" w14:paraId="447E375D" w14:textId="77777777" w:rsidTr="002552D5">
        <w:trPr>
          <w:trHeight w:val="397"/>
          <w:jc w:val="center"/>
        </w:trPr>
        <w:tc>
          <w:tcPr>
            <w:tcW w:w="1481" w:type="pct"/>
            <w:tcMar>
              <w:left w:w="108" w:type="dxa"/>
            </w:tcMar>
            <w:vAlign w:val="center"/>
          </w:tcPr>
          <w:p w14:paraId="7B188DB4"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lastRenderedPageBreak/>
              <w:t>NDA</w:t>
            </w:r>
          </w:p>
        </w:tc>
        <w:tc>
          <w:tcPr>
            <w:tcW w:w="276" w:type="pct"/>
            <w:tcMar>
              <w:left w:w="108" w:type="dxa"/>
            </w:tcMar>
            <w:vAlign w:val="center"/>
          </w:tcPr>
          <w:p w14:paraId="780122C8"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5EA03E2D"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sz w:val="21"/>
                <w:szCs w:val="21"/>
              </w:rPr>
              <w:t xml:space="preserve">New Drug </w:t>
            </w:r>
            <w:r w:rsidRPr="00B170DF">
              <w:rPr>
                <w:rFonts w:hint="eastAsia"/>
                <w:sz w:val="21"/>
                <w:szCs w:val="21"/>
              </w:rPr>
              <w:t>Application</w:t>
            </w:r>
            <w:r w:rsidRPr="00B170DF">
              <w:rPr>
                <w:rFonts w:hint="eastAsia"/>
                <w:sz w:val="21"/>
                <w:szCs w:val="21"/>
              </w:rPr>
              <w:t>，指新药申请</w:t>
            </w:r>
          </w:p>
        </w:tc>
      </w:tr>
      <w:tr w:rsidR="00985518" w:rsidRPr="00B170DF" w14:paraId="5A8AEFDE" w14:textId="77777777" w:rsidTr="002552D5">
        <w:trPr>
          <w:trHeight w:val="397"/>
          <w:jc w:val="center"/>
        </w:trPr>
        <w:tc>
          <w:tcPr>
            <w:tcW w:w="1481" w:type="pct"/>
            <w:tcMar>
              <w:left w:w="108" w:type="dxa"/>
            </w:tcMar>
            <w:vAlign w:val="center"/>
          </w:tcPr>
          <w:p w14:paraId="391EBDA8"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GSP</w:t>
            </w:r>
          </w:p>
        </w:tc>
        <w:tc>
          <w:tcPr>
            <w:tcW w:w="276" w:type="pct"/>
            <w:tcMar>
              <w:left w:w="108" w:type="dxa"/>
            </w:tcMar>
            <w:vAlign w:val="center"/>
          </w:tcPr>
          <w:p w14:paraId="6B5EABD2"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rFonts w:hint="eastAsia"/>
                <w:sz w:val="21"/>
                <w:szCs w:val="21"/>
              </w:rPr>
              <w:t>指</w:t>
            </w:r>
          </w:p>
        </w:tc>
        <w:tc>
          <w:tcPr>
            <w:tcW w:w="3243" w:type="pct"/>
            <w:gridSpan w:val="2"/>
            <w:tcMar>
              <w:left w:w="108" w:type="dxa"/>
            </w:tcMar>
            <w:vAlign w:val="center"/>
          </w:tcPr>
          <w:p w14:paraId="29F296AB" w14:textId="77777777" w:rsidR="00983180" w:rsidRPr="00B170DF" w:rsidRDefault="00983180" w:rsidP="00983180">
            <w:pPr>
              <w:adjustRightInd w:val="0"/>
              <w:snapToGrid w:val="0"/>
              <w:spacing w:beforeLines="0" w:before="0" w:afterLines="0" w:after="0" w:line="240" w:lineRule="auto"/>
              <w:ind w:firstLineChars="0" w:firstLine="0"/>
              <w:rPr>
                <w:sz w:val="21"/>
                <w:szCs w:val="21"/>
              </w:rPr>
            </w:pPr>
            <w:r w:rsidRPr="00B170DF">
              <w:rPr>
                <w:sz w:val="21"/>
                <w:szCs w:val="21"/>
              </w:rPr>
              <w:t>Good</w:t>
            </w:r>
            <w:r w:rsidRPr="00B170DF">
              <w:rPr>
                <w:rFonts w:hint="eastAsia"/>
                <w:sz w:val="21"/>
                <w:szCs w:val="21"/>
              </w:rPr>
              <w:t xml:space="preserve"> </w:t>
            </w:r>
            <w:r w:rsidRPr="00B170DF">
              <w:rPr>
                <w:sz w:val="21"/>
                <w:szCs w:val="21"/>
              </w:rPr>
              <w:t>Supply</w:t>
            </w:r>
            <w:r w:rsidRPr="00B170DF">
              <w:rPr>
                <w:rFonts w:hint="eastAsia"/>
                <w:sz w:val="21"/>
                <w:szCs w:val="21"/>
              </w:rPr>
              <w:t xml:space="preserve"> </w:t>
            </w:r>
            <w:r w:rsidRPr="00B170DF">
              <w:rPr>
                <w:sz w:val="21"/>
                <w:szCs w:val="21"/>
              </w:rPr>
              <w:t>Practice</w:t>
            </w:r>
            <w:r w:rsidRPr="00B170DF">
              <w:rPr>
                <w:sz w:val="21"/>
                <w:szCs w:val="21"/>
              </w:rPr>
              <w:t>的缩写，药品经营质量管理规范</w:t>
            </w:r>
          </w:p>
        </w:tc>
      </w:tr>
    </w:tbl>
    <w:p w14:paraId="1F20F802" w14:textId="77777777" w:rsidR="009708BF" w:rsidRPr="00B170DF" w:rsidRDefault="009708BF">
      <w:pPr>
        <w:pStyle w:val="ad"/>
        <w:spacing w:before="163" w:after="163"/>
        <w:jc w:val="left"/>
      </w:pPr>
      <w:r w:rsidRPr="00B170DF">
        <w:t>注：本预案除特别说明外所有数值保留</w:t>
      </w:r>
      <w:r w:rsidRPr="00B170DF">
        <w:t>2</w:t>
      </w:r>
      <w:r w:rsidRPr="00B170DF">
        <w:t>位小数，若合计数与各加数直接相加之和在尾数上存在差异，均为四舍五入原因造成。</w:t>
      </w:r>
    </w:p>
    <w:p w14:paraId="4ED72ED4" w14:textId="77777777" w:rsidR="009708BF" w:rsidRPr="00B170DF" w:rsidRDefault="009708BF">
      <w:pPr>
        <w:spacing w:before="163" w:after="163"/>
        <w:ind w:firstLineChars="0" w:firstLine="0"/>
      </w:pPr>
    </w:p>
    <w:p w14:paraId="302C6D82" w14:textId="77777777" w:rsidR="009708BF" w:rsidRPr="00B170DF" w:rsidRDefault="00826B7B" w:rsidP="00886BF0">
      <w:pPr>
        <w:pStyle w:val="001"/>
        <w:spacing w:before="163" w:after="163"/>
        <w:rPr>
          <w:color w:val="000000"/>
        </w:rPr>
      </w:pPr>
      <w:bookmarkStart w:id="15" w:name="_Toc194169711"/>
      <w:r w:rsidRPr="00B170DF">
        <w:rPr>
          <w:rFonts w:hint="eastAsia"/>
          <w:color w:val="000000"/>
        </w:rPr>
        <w:lastRenderedPageBreak/>
        <w:t>第一节</w:t>
      </w:r>
      <w:r w:rsidRPr="00B170DF">
        <w:rPr>
          <w:rFonts w:hint="eastAsia"/>
          <w:color w:val="000000"/>
        </w:rPr>
        <w:t xml:space="preserve"> </w:t>
      </w:r>
      <w:r w:rsidRPr="00B170DF">
        <w:rPr>
          <w:rFonts w:hint="eastAsia"/>
          <w:color w:val="000000"/>
        </w:rPr>
        <w:t>本次</w:t>
      </w:r>
      <w:r w:rsidR="005B7FDD" w:rsidRPr="00B170DF">
        <w:rPr>
          <w:rFonts w:hint="eastAsia"/>
          <w:color w:val="000000"/>
        </w:rPr>
        <w:t>向特定对象发行</w:t>
      </w:r>
      <w:r w:rsidR="005B7FDD" w:rsidRPr="00B170DF">
        <w:rPr>
          <w:rFonts w:hint="eastAsia"/>
          <w:color w:val="000000"/>
        </w:rPr>
        <w:t>A</w:t>
      </w:r>
      <w:r w:rsidR="005B7FDD" w:rsidRPr="00B170DF">
        <w:rPr>
          <w:rFonts w:hint="eastAsia"/>
          <w:color w:val="000000"/>
        </w:rPr>
        <w:t>股股票</w:t>
      </w:r>
      <w:r w:rsidRPr="00B170DF">
        <w:rPr>
          <w:rFonts w:hint="eastAsia"/>
          <w:color w:val="000000"/>
        </w:rPr>
        <w:t>方案概要</w:t>
      </w:r>
      <w:bookmarkEnd w:id="15"/>
    </w:p>
    <w:p w14:paraId="3371DCAF" w14:textId="77777777" w:rsidR="009708BF" w:rsidRPr="00B170DF" w:rsidRDefault="009708BF" w:rsidP="009753B6">
      <w:pPr>
        <w:keepNext/>
        <w:keepLines/>
        <w:widowControl/>
        <w:spacing w:before="163" w:after="163"/>
        <w:ind w:firstLineChars="0" w:firstLine="0"/>
        <w:outlineLvl w:val="1"/>
        <w:rPr>
          <w:rFonts w:eastAsia="黑体"/>
          <w:b/>
          <w:bCs/>
          <w:color w:val="000000"/>
          <w:sz w:val="28"/>
          <w:szCs w:val="28"/>
        </w:rPr>
      </w:pPr>
      <w:bookmarkStart w:id="16" w:name="_Toc98774490"/>
      <w:bookmarkStart w:id="17" w:name="_Toc153791414"/>
      <w:bookmarkStart w:id="18" w:name="_Toc194169712"/>
      <w:r w:rsidRPr="00B170DF">
        <w:rPr>
          <w:rFonts w:eastAsia="黑体" w:hint="eastAsia"/>
          <w:b/>
          <w:bCs/>
          <w:color w:val="000000"/>
          <w:sz w:val="28"/>
          <w:szCs w:val="28"/>
        </w:rPr>
        <w:t>一、</w:t>
      </w:r>
      <w:bookmarkEnd w:id="16"/>
      <w:bookmarkEnd w:id="17"/>
      <w:r w:rsidR="00826B7B" w:rsidRPr="00B170DF">
        <w:rPr>
          <w:rFonts w:eastAsia="黑体" w:hint="eastAsia"/>
          <w:b/>
          <w:bCs/>
          <w:color w:val="000000"/>
          <w:sz w:val="28"/>
          <w:szCs w:val="28"/>
        </w:rPr>
        <w:t>公司基本情况</w:t>
      </w:r>
      <w:bookmarkEnd w:id="1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4"/>
        <w:gridCol w:w="6232"/>
      </w:tblGrid>
      <w:tr w:rsidR="00826B7B" w:rsidRPr="00B170DF" w14:paraId="603E7AE4" w14:textId="77777777" w:rsidTr="002D3E9E">
        <w:trPr>
          <w:trHeight w:val="397"/>
        </w:trPr>
        <w:tc>
          <w:tcPr>
            <w:tcW w:w="1235" w:type="pct"/>
            <w:vAlign w:val="center"/>
          </w:tcPr>
          <w:p w14:paraId="322BF1DA" w14:textId="77777777" w:rsidR="00826B7B" w:rsidRPr="00B170DF" w:rsidRDefault="00826B7B" w:rsidP="00826B7B">
            <w:pPr>
              <w:widowControl/>
              <w:spacing w:beforeLines="0" w:before="0" w:afterLines="0" w:after="0" w:line="240" w:lineRule="auto"/>
              <w:ind w:firstLineChars="0" w:firstLine="0"/>
              <w:rPr>
                <w:b/>
                <w:bCs/>
                <w:kern w:val="0"/>
                <w:sz w:val="21"/>
                <w:szCs w:val="21"/>
              </w:rPr>
            </w:pPr>
            <w:bookmarkStart w:id="19" w:name="_Toc393443357"/>
            <w:r w:rsidRPr="00B170DF">
              <w:rPr>
                <w:b/>
                <w:bCs/>
                <w:kern w:val="0"/>
                <w:sz w:val="21"/>
                <w:szCs w:val="21"/>
              </w:rPr>
              <w:t>公司名称</w:t>
            </w:r>
          </w:p>
        </w:tc>
        <w:tc>
          <w:tcPr>
            <w:tcW w:w="3765" w:type="pct"/>
            <w:vAlign w:val="center"/>
          </w:tcPr>
          <w:p w14:paraId="5AEA0E96"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福建广生堂药业股份有限公司</w:t>
            </w:r>
          </w:p>
        </w:tc>
      </w:tr>
      <w:tr w:rsidR="00826B7B" w:rsidRPr="00B170DF" w14:paraId="7367F412" w14:textId="77777777" w:rsidTr="002D3E9E">
        <w:trPr>
          <w:trHeight w:val="397"/>
        </w:trPr>
        <w:tc>
          <w:tcPr>
            <w:tcW w:w="1235" w:type="pct"/>
            <w:vAlign w:val="center"/>
          </w:tcPr>
          <w:p w14:paraId="57FD53F8"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英文名称</w:t>
            </w:r>
          </w:p>
        </w:tc>
        <w:tc>
          <w:tcPr>
            <w:tcW w:w="3765" w:type="pct"/>
            <w:vAlign w:val="center"/>
          </w:tcPr>
          <w:p w14:paraId="2C8B3473"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 xml:space="preserve">Fujian </w:t>
            </w:r>
            <w:proofErr w:type="spellStart"/>
            <w:r w:rsidRPr="00B170DF">
              <w:rPr>
                <w:rFonts w:hint="eastAsia"/>
                <w:kern w:val="0"/>
                <w:sz w:val="21"/>
                <w:szCs w:val="21"/>
              </w:rPr>
              <w:t>Cosunter</w:t>
            </w:r>
            <w:proofErr w:type="spellEnd"/>
            <w:r w:rsidRPr="00B170DF">
              <w:rPr>
                <w:rFonts w:hint="eastAsia"/>
                <w:kern w:val="0"/>
                <w:sz w:val="21"/>
                <w:szCs w:val="21"/>
              </w:rPr>
              <w:t xml:space="preserve"> Pharmaceutical Co., Ltd.</w:t>
            </w:r>
          </w:p>
        </w:tc>
      </w:tr>
      <w:tr w:rsidR="00826B7B" w:rsidRPr="00B170DF" w14:paraId="03635CC3" w14:textId="77777777" w:rsidTr="002D3E9E">
        <w:trPr>
          <w:trHeight w:val="397"/>
        </w:trPr>
        <w:tc>
          <w:tcPr>
            <w:tcW w:w="1235" w:type="pct"/>
            <w:vAlign w:val="center"/>
          </w:tcPr>
          <w:p w14:paraId="760B3DA3"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统一社会信用代码</w:t>
            </w:r>
          </w:p>
        </w:tc>
        <w:tc>
          <w:tcPr>
            <w:tcW w:w="3765" w:type="pct"/>
            <w:vAlign w:val="center"/>
          </w:tcPr>
          <w:p w14:paraId="28489405"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913500007297027606</w:t>
            </w:r>
          </w:p>
        </w:tc>
      </w:tr>
      <w:tr w:rsidR="00826B7B" w:rsidRPr="00B170DF" w14:paraId="722D8D72" w14:textId="77777777" w:rsidTr="002D3E9E">
        <w:trPr>
          <w:trHeight w:val="397"/>
        </w:trPr>
        <w:tc>
          <w:tcPr>
            <w:tcW w:w="1235" w:type="pct"/>
            <w:vAlign w:val="center"/>
          </w:tcPr>
          <w:p w14:paraId="15EA4942"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注册</w:t>
            </w:r>
            <w:r w:rsidRPr="00B170DF">
              <w:rPr>
                <w:rFonts w:hint="eastAsia"/>
                <w:b/>
                <w:bCs/>
                <w:kern w:val="0"/>
                <w:sz w:val="21"/>
                <w:szCs w:val="21"/>
              </w:rPr>
              <w:t>资</w:t>
            </w:r>
            <w:r w:rsidRPr="00B170DF">
              <w:rPr>
                <w:b/>
                <w:bCs/>
                <w:kern w:val="0"/>
                <w:sz w:val="21"/>
                <w:szCs w:val="21"/>
              </w:rPr>
              <w:t>本</w:t>
            </w:r>
          </w:p>
        </w:tc>
        <w:tc>
          <w:tcPr>
            <w:tcW w:w="3765" w:type="pct"/>
            <w:vAlign w:val="center"/>
          </w:tcPr>
          <w:p w14:paraId="58092717"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1</w:t>
            </w:r>
            <w:r w:rsidRPr="00B170DF">
              <w:rPr>
                <w:kern w:val="0"/>
                <w:sz w:val="21"/>
                <w:szCs w:val="21"/>
              </w:rPr>
              <w:t>5,</w:t>
            </w:r>
            <w:r w:rsidRPr="00B170DF">
              <w:rPr>
                <w:rFonts w:hint="eastAsia"/>
                <w:kern w:val="0"/>
                <w:sz w:val="21"/>
                <w:szCs w:val="21"/>
              </w:rPr>
              <w:t>926</w:t>
            </w:r>
            <w:r w:rsidRPr="00B170DF">
              <w:rPr>
                <w:kern w:val="0"/>
                <w:sz w:val="21"/>
                <w:szCs w:val="21"/>
              </w:rPr>
              <w:t>.7</w:t>
            </w:r>
            <w:r w:rsidRPr="00B170DF">
              <w:rPr>
                <w:rFonts w:hint="eastAsia"/>
                <w:kern w:val="0"/>
                <w:sz w:val="21"/>
                <w:szCs w:val="21"/>
              </w:rPr>
              <w:t>0</w:t>
            </w:r>
            <w:r w:rsidRPr="00B170DF">
              <w:rPr>
                <w:rFonts w:hint="eastAsia"/>
                <w:kern w:val="0"/>
                <w:sz w:val="21"/>
                <w:szCs w:val="21"/>
              </w:rPr>
              <w:t>万元</w:t>
            </w:r>
          </w:p>
        </w:tc>
      </w:tr>
      <w:tr w:rsidR="00826B7B" w:rsidRPr="00B170DF" w14:paraId="7FF18BAA" w14:textId="77777777" w:rsidTr="002D3E9E">
        <w:trPr>
          <w:trHeight w:val="397"/>
        </w:trPr>
        <w:tc>
          <w:tcPr>
            <w:tcW w:w="1235" w:type="pct"/>
            <w:vAlign w:val="center"/>
          </w:tcPr>
          <w:p w14:paraId="5898446D"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法定代表人</w:t>
            </w:r>
          </w:p>
        </w:tc>
        <w:tc>
          <w:tcPr>
            <w:tcW w:w="3765" w:type="pct"/>
            <w:vAlign w:val="center"/>
          </w:tcPr>
          <w:p w14:paraId="6485E6BB"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李国平</w:t>
            </w:r>
          </w:p>
        </w:tc>
      </w:tr>
      <w:tr w:rsidR="00826B7B" w:rsidRPr="00B170DF" w14:paraId="59CCF151" w14:textId="77777777" w:rsidTr="002D3E9E">
        <w:trPr>
          <w:trHeight w:val="397"/>
        </w:trPr>
        <w:tc>
          <w:tcPr>
            <w:tcW w:w="1235" w:type="pct"/>
            <w:vAlign w:val="center"/>
          </w:tcPr>
          <w:p w14:paraId="708802FF"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成立日期</w:t>
            </w:r>
          </w:p>
        </w:tc>
        <w:tc>
          <w:tcPr>
            <w:tcW w:w="3765" w:type="pct"/>
            <w:vAlign w:val="center"/>
          </w:tcPr>
          <w:p w14:paraId="2CE7F5C9"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2001</w:t>
            </w:r>
            <w:r w:rsidRPr="00B170DF">
              <w:rPr>
                <w:rFonts w:hint="eastAsia"/>
                <w:kern w:val="0"/>
                <w:sz w:val="21"/>
                <w:szCs w:val="21"/>
              </w:rPr>
              <w:t>年</w:t>
            </w:r>
            <w:r w:rsidRPr="00B170DF">
              <w:rPr>
                <w:rFonts w:hint="eastAsia"/>
                <w:kern w:val="0"/>
                <w:sz w:val="21"/>
                <w:szCs w:val="21"/>
              </w:rPr>
              <w:t>6</w:t>
            </w:r>
            <w:r w:rsidRPr="00B170DF">
              <w:rPr>
                <w:rFonts w:hint="eastAsia"/>
                <w:kern w:val="0"/>
                <w:sz w:val="21"/>
                <w:szCs w:val="21"/>
              </w:rPr>
              <w:t>月</w:t>
            </w:r>
            <w:r w:rsidRPr="00B170DF">
              <w:rPr>
                <w:rFonts w:hint="eastAsia"/>
                <w:kern w:val="0"/>
                <w:sz w:val="21"/>
                <w:szCs w:val="21"/>
              </w:rPr>
              <w:t>28</w:t>
            </w:r>
            <w:r w:rsidRPr="00B170DF">
              <w:rPr>
                <w:rFonts w:hint="eastAsia"/>
                <w:kern w:val="0"/>
                <w:sz w:val="21"/>
                <w:szCs w:val="21"/>
              </w:rPr>
              <w:t>日</w:t>
            </w:r>
          </w:p>
        </w:tc>
      </w:tr>
      <w:tr w:rsidR="00826B7B" w:rsidRPr="00B170DF" w14:paraId="02BA45C9" w14:textId="77777777" w:rsidTr="002D3E9E">
        <w:trPr>
          <w:trHeight w:val="397"/>
        </w:trPr>
        <w:tc>
          <w:tcPr>
            <w:tcW w:w="1235" w:type="pct"/>
            <w:vAlign w:val="center"/>
          </w:tcPr>
          <w:p w14:paraId="26528D57"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rFonts w:hint="eastAsia"/>
                <w:b/>
                <w:bCs/>
                <w:kern w:val="0"/>
                <w:sz w:val="21"/>
                <w:szCs w:val="21"/>
              </w:rPr>
              <w:t>股票</w:t>
            </w:r>
            <w:r w:rsidRPr="00B170DF">
              <w:rPr>
                <w:b/>
                <w:bCs/>
                <w:kern w:val="0"/>
                <w:sz w:val="21"/>
                <w:szCs w:val="21"/>
              </w:rPr>
              <w:t>上市日期</w:t>
            </w:r>
          </w:p>
        </w:tc>
        <w:tc>
          <w:tcPr>
            <w:tcW w:w="3765" w:type="pct"/>
            <w:vAlign w:val="center"/>
          </w:tcPr>
          <w:p w14:paraId="4804FF13"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kern w:val="0"/>
                <w:sz w:val="21"/>
                <w:szCs w:val="21"/>
              </w:rPr>
              <w:t>20</w:t>
            </w:r>
            <w:r w:rsidRPr="00B170DF">
              <w:rPr>
                <w:rFonts w:hint="eastAsia"/>
                <w:kern w:val="0"/>
                <w:sz w:val="21"/>
                <w:szCs w:val="21"/>
              </w:rPr>
              <w:t>15</w:t>
            </w:r>
            <w:r w:rsidRPr="00B170DF">
              <w:rPr>
                <w:kern w:val="0"/>
                <w:sz w:val="21"/>
                <w:szCs w:val="21"/>
              </w:rPr>
              <w:t>年</w:t>
            </w:r>
            <w:r w:rsidRPr="00B170DF">
              <w:rPr>
                <w:rFonts w:hint="eastAsia"/>
                <w:kern w:val="0"/>
                <w:sz w:val="21"/>
                <w:szCs w:val="21"/>
              </w:rPr>
              <w:t>4</w:t>
            </w:r>
            <w:r w:rsidRPr="00B170DF">
              <w:rPr>
                <w:rFonts w:hint="eastAsia"/>
                <w:kern w:val="0"/>
                <w:sz w:val="21"/>
                <w:szCs w:val="21"/>
              </w:rPr>
              <w:t>月</w:t>
            </w:r>
            <w:r w:rsidRPr="00B170DF">
              <w:rPr>
                <w:rFonts w:hint="eastAsia"/>
                <w:kern w:val="0"/>
                <w:sz w:val="21"/>
                <w:szCs w:val="21"/>
              </w:rPr>
              <w:t>22</w:t>
            </w:r>
            <w:r w:rsidRPr="00B170DF">
              <w:rPr>
                <w:kern w:val="0"/>
                <w:sz w:val="21"/>
                <w:szCs w:val="21"/>
              </w:rPr>
              <w:t>日</w:t>
            </w:r>
          </w:p>
        </w:tc>
      </w:tr>
      <w:tr w:rsidR="00826B7B" w:rsidRPr="00B170DF" w14:paraId="4BE8B420" w14:textId="77777777" w:rsidTr="002D3E9E">
        <w:trPr>
          <w:trHeight w:val="397"/>
        </w:trPr>
        <w:tc>
          <w:tcPr>
            <w:tcW w:w="1235" w:type="pct"/>
            <w:vAlign w:val="center"/>
          </w:tcPr>
          <w:p w14:paraId="3F13E73E"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rFonts w:hint="eastAsia"/>
                <w:b/>
                <w:bCs/>
                <w:kern w:val="0"/>
                <w:sz w:val="21"/>
                <w:szCs w:val="21"/>
              </w:rPr>
              <w:t>股票上市地点</w:t>
            </w:r>
          </w:p>
        </w:tc>
        <w:tc>
          <w:tcPr>
            <w:tcW w:w="3765" w:type="pct"/>
            <w:vAlign w:val="center"/>
          </w:tcPr>
          <w:p w14:paraId="799B0A57"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深圳证券交易所</w:t>
            </w:r>
          </w:p>
        </w:tc>
      </w:tr>
      <w:tr w:rsidR="00826B7B" w:rsidRPr="00B170DF" w14:paraId="3232E8EF" w14:textId="77777777" w:rsidTr="002D3E9E">
        <w:trPr>
          <w:trHeight w:val="397"/>
        </w:trPr>
        <w:tc>
          <w:tcPr>
            <w:tcW w:w="1235" w:type="pct"/>
            <w:vAlign w:val="center"/>
          </w:tcPr>
          <w:p w14:paraId="395307AB"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股票代码</w:t>
            </w:r>
          </w:p>
        </w:tc>
        <w:tc>
          <w:tcPr>
            <w:tcW w:w="3765" w:type="pct"/>
            <w:vAlign w:val="center"/>
          </w:tcPr>
          <w:p w14:paraId="4159EF02"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300436</w:t>
            </w:r>
          </w:p>
        </w:tc>
      </w:tr>
      <w:tr w:rsidR="00826B7B" w:rsidRPr="00B170DF" w14:paraId="467AD66B" w14:textId="77777777" w:rsidTr="002D3E9E">
        <w:trPr>
          <w:trHeight w:val="397"/>
        </w:trPr>
        <w:tc>
          <w:tcPr>
            <w:tcW w:w="1235" w:type="pct"/>
            <w:vAlign w:val="center"/>
          </w:tcPr>
          <w:p w14:paraId="661EDE0E"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注册地址</w:t>
            </w:r>
          </w:p>
        </w:tc>
        <w:tc>
          <w:tcPr>
            <w:tcW w:w="3765" w:type="pct"/>
            <w:vAlign w:val="center"/>
          </w:tcPr>
          <w:p w14:paraId="4939B8FE"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福建省宁德市柘荣县富源工业园区</w:t>
            </w:r>
            <w:r w:rsidRPr="00B170DF">
              <w:rPr>
                <w:rFonts w:hint="eastAsia"/>
                <w:kern w:val="0"/>
                <w:sz w:val="21"/>
                <w:szCs w:val="21"/>
              </w:rPr>
              <w:t>1-7</w:t>
            </w:r>
            <w:r w:rsidRPr="00B170DF">
              <w:rPr>
                <w:rFonts w:hint="eastAsia"/>
                <w:kern w:val="0"/>
                <w:sz w:val="21"/>
                <w:szCs w:val="21"/>
              </w:rPr>
              <w:t>幢</w:t>
            </w:r>
          </w:p>
        </w:tc>
      </w:tr>
      <w:tr w:rsidR="00826B7B" w:rsidRPr="00B170DF" w14:paraId="75E9951D" w14:textId="77777777" w:rsidTr="002D3E9E">
        <w:trPr>
          <w:trHeight w:val="397"/>
        </w:trPr>
        <w:tc>
          <w:tcPr>
            <w:tcW w:w="1235" w:type="pct"/>
            <w:vAlign w:val="center"/>
          </w:tcPr>
          <w:p w14:paraId="7180A128"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办公地址</w:t>
            </w:r>
          </w:p>
        </w:tc>
        <w:tc>
          <w:tcPr>
            <w:tcW w:w="3765" w:type="pct"/>
            <w:vAlign w:val="center"/>
          </w:tcPr>
          <w:p w14:paraId="6EB37703"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福建省福州市闽侯县福州高新区乌龙江中大道</w:t>
            </w:r>
            <w:r w:rsidRPr="00B170DF">
              <w:rPr>
                <w:rFonts w:hint="eastAsia"/>
                <w:kern w:val="0"/>
                <w:sz w:val="21"/>
                <w:szCs w:val="21"/>
              </w:rPr>
              <w:t>7</w:t>
            </w:r>
            <w:r w:rsidRPr="00B170DF">
              <w:rPr>
                <w:rFonts w:hint="eastAsia"/>
                <w:kern w:val="0"/>
                <w:sz w:val="21"/>
                <w:szCs w:val="21"/>
              </w:rPr>
              <w:t>号海西高新技术产业</w:t>
            </w:r>
            <w:proofErr w:type="gramStart"/>
            <w:r w:rsidRPr="00B170DF">
              <w:rPr>
                <w:rFonts w:hint="eastAsia"/>
                <w:kern w:val="0"/>
                <w:sz w:val="21"/>
                <w:szCs w:val="21"/>
              </w:rPr>
              <w:t>园创新园</w:t>
            </w:r>
            <w:proofErr w:type="gramEnd"/>
            <w:r w:rsidRPr="00B170DF">
              <w:rPr>
                <w:rFonts w:hint="eastAsia"/>
                <w:kern w:val="0"/>
                <w:sz w:val="21"/>
                <w:szCs w:val="21"/>
              </w:rPr>
              <w:t>二期</w:t>
            </w:r>
            <w:r w:rsidRPr="00B170DF">
              <w:rPr>
                <w:rFonts w:hint="eastAsia"/>
                <w:kern w:val="0"/>
                <w:sz w:val="21"/>
                <w:szCs w:val="21"/>
              </w:rPr>
              <w:t>16</w:t>
            </w:r>
            <w:r w:rsidRPr="00B170DF">
              <w:rPr>
                <w:rFonts w:hint="eastAsia"/>
                <w:kern w:val="0"/>
                <w:sz w:val="21"/>
                <w:szCs w:val="21"/>
              </w:rPr>
              <w:t>号楼</w:t>
            </w:r>
          </w:p>
        </w:tc>
      </w:tr>
      <w:tr w:rsidR="00826B7B" w:rsidRPr="00B170DF" w14:paraId="79D940B2" w14:textId="77777777" w:rsidTr="002D3E9E">
        <w:trPr>
          <w:trHeight w:val="397"/>
        </w:trPr>
        <w:tc>
          <w:tcPr>
            <w:tcW w:w="1235" w:type="pct"/>
            <w:vAlign w:val="center"/>
          </w:tcPr>
          <w:p w14:paraId="1D0A7073"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电话号码</w:t>
            </w:r>
          </w:p>
        </w:tc>
        <w:tc>
          <w:tcPr>
            <w:tcW w:w="3765" w:type="pct"/>
            <w:vAlign w:val="center"/>
          </w:tcPr>
          <w:p w14:paraId="3488A972"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0591</w:t>
            </w:r>
            <w:r w:rsidRPr="00B170DF">
              <w:rPr>
                <w:kern w:val="0"/>
                <w:sz w:val="21"/>
                <w:szCs w:val="21"/>
              </w:rPr>
              <w:t>-3</w:t>
            </w:r>
            <w:r w:rsidRPr="00B170DF">
              <w:rPr>
                <w:rFonts w:hint="eastAsia"/>
                <w:kern w:val="0"/>
                <w:sz w:val="21"/>
                <w:szCs w:val="21"/>
              </w:rPr>
              <w:t>8265188</w:t>
            </w:r>
          </w:p>
        </w:tc>
      </w:tr>
      <w:tr w:rsidR="00826B7B" w:rsidRPr="00B170DF" w14:paraId="2206C3D2" w14:textId="77777777" w:rsidTr="002D3E9E">
        <w:trPr>
          <w:trHeight w:val="397"/>
        </w:trPr>
        <w:tc>
          <w:tcPr>
            <w:tcW w:w="1235" w:type="pct"/>
            <w:vAlign w:val="center"/>
          </w:tcPr>
          <w:p w14:paraId="1E93D50B"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传真号码</w:t>
            </w:r>
          </w:p>
        </w:tc>
        <w:tc>
          <w:tcPr>
            <w:tcW w:w="3765" w:type="pct"/>
            <w:vAlign w:val="center"/>
          </w:tcPr>
          <w:p w14:paraId="2860BB86"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0591-83052199</w:t>
            </w:r>
          </w:p>
        </w:tc>
      </w:tr>
      <w:tr w:rsidR="00826B7B" w:rsidRPr="00B170DF" w14:paraId="42BF01CD" w14:textId="77777777" w:rsidTr="002D3E9E">
        <w:trPr>
          <w:trHeight w:val="397"/>
        </w:trPr>
        <w:tc>
          <w:tcPr>
            <w:tcW w:w="1235" w:type="pct"/>
            <w:vAlign w:val="center"/>
          </w:tcPr>
          <w:p w14:paraId="78931558"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互联网网址</w:t>
            </w:r>
          </w:p>
        </w:tc>
        <w:tc>
          <w:tcPr>
            <w:tcW w:w="3765" w:type="pct"/>
            <w:vAlign w:val="center"/>
          </w:tcPr>
          <w:p w14:paraId="3DA6CACD"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kern w:val="0"/>
                <w:sz w:val="21"/>
                <w:szCs w:val="21"/>
              </w:rPr>
              <w:t>www.</w:t>
            </w:r>
            <w:r w:rsidRPr="00B170DF">
              <w:rPr>
                <w:rFonts w:hint="eastAsia"/>
                <w:kern w:val="0"/>
                <w:sz w:val="21"/>
                <w:szCs w:val="21"/>
              </w:rPr>
              <w:t>cosunter</w:t>
            </w:r>
            <w:r w:rsidRPr="00B170DF">
              <w:rPr>
                <w:kern w:val="0"/>
                <w:sz w:val="21"/>
                <w:szCs w:val="21"/>
              </w:rPr>
              <w:t>.com</w:t>
            </w:r>
          </w:p>
        </w:tc>
      </w:tr>
      <w:tr w:rsidR="00826B7B" w:rsidRPr="00B170DF" w14:paraId="425EE5A9" w14:textId="77777777" w:rsidTr="002D3E9E">
        <w:trPr>
          <w:trHeight w:val="397"/>
        </w:trPr>
        <w:tc>
          <w:tcPr>
            <w:tcW w:w="1235" w:type="pct"/>
            <w:vAlign w:val="center"/>
          </w:tcPr>
          <w:p w14:paraId="34B4DB75"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电子邮箱</w:t>
            </w:r>
          </w:p>
        </w:tc>
        <w:tc>
          <w:tcPr>
            <w:tcW w:w="3765" w:type="pct"/>
            <w:vAlign w:val="center"/>
          </w:tcPr>
          <w:p w14:paraId="1953E402"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zhangqinghe</w:t>
            </w:r>
            <w:r w:rsidRPr="00B170DF">
              <w:rPr>
                <w:kern w:val="0"/>
                <w:sz w:val="21"/>
                <w:szCs w:val="21"/>
              </w:rPr>
              <w:t>@c</w:t>
            </w:r>
            <w:r w:rsidRPr="00B170DF">
              <w:rPr>
                <w:rFonts w:hint="eastAsia"/>
                <w:kern w:val="0"/>
                <w:sz w:val="21"/>
                <w:szCs w:val="21"/>
              </w:rPr>
              <w:t>osunter</w:t>
            </w:r>
            <w:r w:rsidRPr="00B170DF">
              <w:rPr>
                <w:kern w:val="0"/>
                <w:sz w:val="21"/>
                <w:szCs w:val="21"/>
              </w:rPr>
              <w:t>.com</w:t>
            </w:r>
          </w:p>
        </w:tc>
      </w:tr>
      <w:tr w:rsidR="00826B7B" w:rsidRPr="00B170DF" w14:paraId="0F20FFDD" w14:textId="77777777" w:rsidTr="002D3E9E">
        <w:trPr>
          <w:trHeight w:val="397"/>
        </w:trPr>
        <w:tc>
          <w:tcPr>
            <w:tcW w:w="1235" w:type="pct"/>
            <w:vAlign w:val="center"/>
          </w:tcPr>
          <w:p w14:paraId="4D9D626E" w14:textId="77777777" w:rsidR="00826B7B" w:rsidRPr="00B170DF" w:rsidRDefault="00826B7B" w:rsidP="00826B7B">
            <w:pPr>
              <w:widowControl/>
              <w:spacing w:beforeLines="0" w:before="0" w:afterLines="0" w:after="0" w:line="240" w:lineRule="auto"/>
              <w:ind w:firstLineChars="0" w:firstLine="0"/>
              <w:rPr>
                <w:b/>
                <w:bCs/>
                <w:kern w:val="0"/>
                <w:sz w:val="21"/>
                <w:szCs w:val="21"/>
              </w:rPr>
            </w:pPr>
            <w:r w:rsidRPr="00B170DF">
              <w:rPr>
                <w:b/>
                <w:bCs/>
                <w:kern w:val="0"/>
                <w:sz w:val="21"/>
                <w:szCs w:val="21"/>
              </w:rPr>
              <w:t>经营范围</w:t>
            </w:r>
          </w:p>
        </w:tc>
        <w:tc>
          <w:tcPr>
            <w:tcW w:w="3765" w:type="pct"/>
            <w:vAlign w:val="center"/>
          </w:tcPr>
          <w:p w14:paraId="29D5EE3A" w14:textId="77777777" w:rsidR="00826B7B" w:rsidRPr="00B170DF" w:rsidRDefault="00826B7B" w:rsidP="00826B7B">
            <w:pPr>
              <w:widowControl/>
              <w:spacing w:beforeLines="0" w:before="0" w:afterLines="0" w:after="0" w:line="240" w:lineRule="auto"/>
              <w:ind w:firstLineChars="0" w:firstLine="0"/>
              <w:rPr>
                <w:kern w:val="0"/>
                <w:sz w:val="21"/>
                <w:szCs w:val="21"/>
              </w:rPr>
            </w:pPr>
            <w:r w:rsidRPr="00B170DF">
              <w:rPr>
                <w:rFonts w:hint="eastAsia"/>
                <w:kern w:val="0"/>
                <w:sz w:val="21"/>
                <w:szCs w:val="21"/>
              </w:rPr>
              <w:t>许可项目：药品生产；药品批发；药品零售；食品销售；食品生产；保健食品生产；药品进出口；药品互联网信息服务。（依法须经批准的项目，经相关部门批准后方可开展经营活动，具体经营项目以相关部门批准文件或许可证件为准）一般项目：医学研究和试验发展；保健食品（预包装）销售；技术服务、技术开发、技术咨询、技术交流、技术转让、技术推广；技术进出口；货物进出口。（除依法须经批准的项目外，凭营业执照依法自主开展经营活动）</w:t>
            </w:r>
          </w:p>
        </w:tc>
      </w:tr>
    </w:tbl>
    <w:p w14:paraId="00047E22" w14:textId="77777777" w:rsidR="009708BF" w:rsidRPr="00B170DF" w:rsidRDefault="009708BF" w:rsidP="009753B6">
      <w:pPr>
        <w:keepNext/>
        <w:keepLines/>
        <w:widowControl/>
        <w:spacing w:before="163" w:after="163"/>
        <w:ind w:firstLineChars="0" w:firstLine="0"/>
        <w:outlineLvl w:val="1"/>
        <w:rPr>
          <w:rFonts w:eastAsia="黑体"/>
          <w:b/>
          <w:bCs/>
          <w:color w:val="000000"/>
          <w:sz w:val="28"/>
          <w:szCs w:val="28"/>
        </w:rPr>
      </w:pPr>
      <w:bookmarkStart w:id="20" w:name="_Toc98774491"/>
      <w:bookmarkStart w:id="21" w:name="_Toc153791415"/>
      <w:bookmarkStart w:id="22" w:name="_Toc194169713"/>
      <w:bookmarkEnd w:id="19"/>
      <w:r w:rsidRPr="00B170DF">
        <w:rPr>
          <w:rFonts w:eastAsia="黑体" w:hint="eastAsia"/>
          <w:b/>
          <w:bCs/>
          <w:color w:val="000000"/>
          <w:sz w:val="28"/>
          <w:szCs w:val="28"/>
        </w:rPr>
        <w:t>二、</w:t>
      </w:r>
      <w:bookmarkEnd w:id="20"/>
      <w:bookmarkEnd w:id="21"/>
      <w:r w:rsidR="00826B7B" w:rsidRPr="00B170DF">
        <w:rPr>
          <w:rFonts w:eastAsia="黑体" w:hint="eastAsia"/>
          <w:b/>
          <w:bCs/>
          <w:color w:val="000000"/>
          <w:sz w:val="28"/>
          <w:szCs w:val="28"/>
        </w:rPr>
        <w:t>本次</w:t>
      </w:r>
      <w:r w:rsidR="005B7FDD" w:rsidRPr="00B170DF">
        <w:rPr>
          <w:rFonts w:eastAsia="黑体" w:hint="eastAsia"/>
          <w:b/>
          <w:bCs/>
          <w:color w:val="000000"/>
          <w:sz w:val="28"/>
          <w:szCs w:val="28"/>
        </w:rPr>
        <w:t>向特定对象发行</w:t>
      </w:r>
      <w:r w:rsidR="005B7FDD" w:rsidRPr="00B170DF">
        <w:rPr>
          <w:rFonts w:eastAsia="黑体" w:hint="eastAsia"/>
          <w:b/>
          <w:bCs/>
          <w:color w:val="000000"/>
          <w:sz w:val="28"/>
          <w:szCs w:val="28"/>
        </w:rPr>
        <w:t>A</w:t>
      </w:r>
      <w:r w:rsidR="005B7FDD" w:rsidRPr="00B170DF">
        <w:rPr>
          <w:rFonts w:eastAsia="黑体" w:hint="eastAsia"/>
          <w:b/>
          <w:bCs/>
          <w:color w:val="000000"/>
          <w:sz w:val="28"/>
          <w:szCs w:val="28"/>
        </w:rPr>
        <w:t>股股票</w:t>
      </w:r>
      <w:r w:rsidR="00826B7B" w:rsidRPr="00B170DF">
        <w:rPr>
          <w:rFonts w:eastAsia="黑体" w:hint="eastAsia"/>
          <w:b/>
          <w:bCs/>
          <w:color w:val="000000"/>
          <w:sz w:val="28"/>
          <w:szCs w:val="28"/>
        </w:rPr>
        <w:t>的背景和目的</w:t>
      </w:r>
      <w:bookmarkEnd w:id="22"/>
    </w:p>
    <w:p w14:paraId="47677E59" w14:textId="77777777" w:rsidR="009708BF" w:rsidRPr="00B170DF" w:rsidRDefault="009708BF" w:rsidP="00886BF0">
      <w:pPr>
        <w:pStyle w:val="003"/>
        <w:spacing w:before="163" w:after="163"/>
        <w:ind w:firstLine="482"/>
        <w:rPr>
          <w:color w:val="000000"/>
        </w:rPr>
      </w:pPr>
      <w:bookmarkStart w:id="23" w:name="_Toc5990355"/>
      <w:bookmarkStart w:id="24" w:name="_Toc98774492"/>
      <w:r w:rsidRPr="00B170DF">
        <w:rPr>
          <w:color w:val="000000"/>
        </w:rPr>
        <w:t>（一）</w:t>
      </w:r>
      <w:bookmarkEnd w:id="23"/>
      <w:bookmarkEnd w:id="24"/>
      <w:r w:rsidR="00826B7B" w:rsidRPr="00B170DF">
        <w:rPr>
          <w:rFonts w:hint="eastAsia"/>
          <w:color w:val="000000"/>
        </w:rPr>
        <w:t>本次发行的背景</w:t>
      </w:r>
    </w:p>
    <w:p w14:paraId="6866E550" w14:textId="77777777" w:rsidR="00826B7B" w:rsidRPr="00B170DF" w:rsidRDefault="00826B7B" w:rsidP="00826B7B">
      <w:pPr>
        <w:spacing w:before="163" w:after="163"/>
        <w:ind w:firstLine="482"/>
        <w:rPr>
          <w:szCs w:val="20"/>
        </w:rPr>
      </w:pPr>
      <w:r w:rsidRPr="00B170DF">
        <w:rPr>
          <w:rFonts w:hint="eastAsia"/>
          <w:b/>
          <w:szCs w:val="20"/>
        </w:rPr>
        <w:t>1</w:t>
      </w:r>
      <w:r w:rsidRPr="00B170DF">
        <w:rPr>
          <w:rFonts w:hint="eastAsia"/>
          <w:b/>
          <w:szCs w:val="20"/>
        </w:rPr>
        <w:t>、医药行业市场持续增长，市场发展前景广阔</w:t>
      </w:r>
    </w:p>
    <w:p w14:paraId="4E78129E" w14:textId="77777777" w:rsidR="00826B7B" w:rsidRPr="00B170DF" w:rsidRDefault="00826B7B" w:rsidP="00826B7B">
      <w:pPr>
        <w:spacing w:before="163" w:after="163"/>
        <w:ind w:firstLine="480"/>
      </w:pPr>
      <w:r w:rsidRPr="00B170DF">
        <w:rPr>
          <w:rFonts w:hint="eastAsia"/>
        </w:rPr>
        <w:t>随着世界经济发展、人口总量增长、人口老龄化程度提高以及人们保健意识增强，新型国家城市化建设的推进和各国医疗保障体制的不断完善，全球医药市</w:t>
      </w:r>
      <w:r w:rsidRPr="00B170DF">
        <w:rPr>
          <w:rFonts w:hint="eastAsia"/>
        </w:rPr>
        <w:lastRenderedPageBreak/>
        <w:t>场呈持续增长趋势。根据</w:t>
      </w:r>
      <w:r w:rsidRPr="00B170DF">
        <w:rPr>
          <w:rFonts w:hint="eastAsia"/>
        </w:rPr>
        <w:t>IQVIA 2024</w:t>
      </w:r>
      <w:r w:rsidRPr="00B170DF">
        <w:rPr>
          <w:rFonts w:hint="eastAsia"/>
        </w:rPr>
        <w:t>年发布的《</w:t>
      </w:r>
      <w:r w:rsidRPr="00B170DF">
        <w:rPr>
          <w:rFonts w:hint="eastAsia"/>
        </w:rPr>
        <w:t>The Global Use of Medicines 2024</w:t>
      </w:r>
      <w:r w:rsidRPr="00B170DF">
        <w:rPr>
          <w:rFonts w:hint="eastAsia"/>
        </w:rPr>
        <w:t>：</w:t>
      </w:r>
      <w:r w:rsidRPr="00B170DF">
        <w:rPr>
          <w:rFonts w:hint="eastAsia"/>
        </w:rPr>
        <w:t>Outlook to 2028</w:t>
      </w:r>
      <w:r w:rsidRPr="00B170DF">
        <w:rPr>
          <w:rFonts w:hint="eastAsia"/>
        </w:rPr>
        <w:t>》显示，</w:t>
      </w:r>
      <w:r w:rsidRPr="00B170DF">
        <w:rPr>
          <w:rFonts w:hint="eastAsia"/>
        </w:rPr>
        <w:t>2023</w:t>
      </w:r>
      <w:r w:rsidRPr="00B170DF">
        <w:rPr>
          <w:rFonts w:hint="eastAsia"/>
        </w:rPr>
        <w:t>年全球药品支出约</w:t>
      </w:r>
      <w:r w:rsidRPr="00B170DF">
        <w:rPr>
          <w:rFonts w:hint="eastAsia"/>
        </w:rPr>
        <w:t>1.6</w:t>
      </w:r>
      <w:proofErr w:type="gramStart"/>
      <w:r w:rsidRPr="00B170DF">
        <w:rPr>
          <w:rFonts w:hint="eastAsia"/>
        </w:rPr>
        <w:t>万亿</w:t>
      </w:r>
      <w:proofErr w:type="gramEnd"/>
      <w:r w:rsidRPr="00B170DF">
        <w:rPr>
          <w:rFonts w:hint="eastAsia"/>
        </w:rPr>
        <w:t>美元，</w:t>
      </w:r>
      <w:r w:rsidRPr="00B170DF">
        <w:rPr>
          <w:rFonts w:hint="eastAsia"/>
        </w:rPr>
        <w:t>2019-2023</w:t>
      </w:r>
      <w:r w:rsidRPr="00B170DF">
        <w:rPr>
          <w:rFonts w:hint="eastAsia"/>
        </w:rPr>
        <w:t>年复合增速为</w:t>
      </w:r>
      <w:r w:rsidRPr="00B170DF">
        <w:rPr>
          <w:rFonts w:hint="eastAsia"/>
        </w:rPr>
        <w:t>6.0%</w:t>
      </w:r>
      <w:r w:rsidRPr="00B170DF">
        <w:rPr>
          <w:rFonts w:hint="eastAsia"/>
        </w:rPr>
        <w:t>。</w:t>
      </w:r>
      <w:r w:rsidRPr="00B170DF">
        <w:rPr>
          <w:rFonts w:hint="eastAsia"/>
        </w:rPr>
        <w:t>2024-2028</w:t>
      </w:r>
      <w:r w:rsidRPr="00B170DF">
        <w:rPr>
          <w:rFonts w:hint="eastAsia"/>
        </w:rPr>
        <w:t>年预计将以</w:t>
      </w:r>
      <w:r w:rsidRPr="00B170DF">
        <w:rPr>
          <w:rFonts w:hint="eastAsia"/>
        </w:rPr>
        <w:t>6.6%</w:t>
      </w:r>
      <w:r w:rsidRPr="00B170DF">
        <w:rPr>
          <w:rFonts w:hint="eastAsia"/>
        </w:rPr>
        <w:t>的增长率增长，预计到</w:t>
      </w:r>
      <w:r w:rsidRPr="00B170DF">
        <w:rPr>
          <w:rFonts w:hint="eastAsia"/>
        </w:rPr>
        <w:t>2028</w:t>
      </w:r>
      <w:r w:rsidRPr="00B170DF">
        <w:rPr>
          <w:rFonts w:hint="eastAsia"/>
        </w:rPr>
        <w:t>年全球药品支出将达到约</w:t>
      </w:r>
      <w:r w:rsidRPr="00B170DF">
        <w:rPr>
          <w:rFonts w:hint="eastAsia"/>
        </w:rPr>
        <w:t>2.2</w:t>
      </w:r>
      <w:proofErr w:type="gramStart"/>
      <w:r w:rsidRPr="00B170DF">
        <w:rPr>
          <w:rFonts w:hint="eastAsia"/>
        </w:rPr>
        <w:t>万亿</w:t>
      </w:r>
      <w:proofErr w:type="gramEnd"/>
      <w:r w:rsidRPr="00B170DF">
        <w:rPr>
          <w:rFonts w:hint="eastAsia"/>
        </w:rPr>
        <w:t>美元。</w:t>
      </w:r>
    </w:p>
    <w:p w14:paraId="6F6F0818" w14:textId="77777777" w:rsidR="00826B7B" w:rsidRPr="00B170DF" w:rsidRDefault="00826B7B" w:rsidP="00826B7B">
      <w:pPr>
        <w:spacing w:before="163" w:after="163"/>
        <w:ind w:firstLine="480"/>
        <w:rPr>
          <w:szCs w:val="20"/>
        </w:rPr>
      </w:pPr>
      <w:r w:rsidRPr="00B170DF">
        <w:rPr>
          <w:rFonts w:hint="eastAsia"/>
        </w:rPr>
        <w:t>医药行业是我国国民经济的重要组成部分，其发展进步与国民生活质量提高息息相关，重大公共卫生事件的发生更加凸显了医药行业在国民健康和公共卫生方面的守门人角色。医药行业对于保护和增进人民健康、提高生活质量以及促进经济发展和社会进步均具有十分重要的作用。近年来，随着我国经济持续增长，人民生活水平不断提高，医疗保障制度逐渐完善，医药行业利好措施的推进，以及老龄化进程加快、大健康产业推动医药消费升级等多重因素影响下，我国医药行业越来越受到公众及政府的关注，在国民经济中占据着越来越重要的位置，医药产品需求市场不断增长，呈现出持续良好的发展趋势，发展空间巨大。根据</w:t>
      </w:r>
      <w:r w:rsidRPr="00B170DF">
        <w:rPr>
          <w:rFonts w:hint="eastAsia"/>
        </w:rPr>
        <w:t>IQVIA</w:t>
      </w:r>
      <w:r w:rsidRPr="00B170DF">
        <w:rPr>
          <w:rFonts w:hint="eastAsia"/>
        </w:rPr>
        <w:t>《</w:t>
      </w:r>
      <w:r w:rsidRPr="00B170DF">
        <w:rPr>
          <w:rFonts w:hint="eastAsia"/>
        </w:rPr>
        <w:t>2023</w:t>
      </w:r>
      <w:r w:rsidRPr="00B170DF">
        <w:rPr>
          <w:rFonts w:hint="eastAsia"/>
        </w:rPr>
        <w:t>年中国医药市场全景解读》数据显示，</w:t>
      </w:r>
      <w:r w:rsidRPr="00B170DF">
        <w:rPr>
          <w:rFonts w:hint="eastAsia"/>
        </w:rPr>
        <w:t>2023</w:t>
      </w:r>
      <w:r w:rsidRPr="00B170DF">
        <w:rPr>
          <w:rFonts w:hint="eastAsia"/>
        </w:rPr>
        <w:t>年中国整体药品市场销售规模达</w:t>
      </w:r>
      <w:r w:rsidRPr="00B170DF">
        <w:rPr>
          <w:rFonts w:hint="eastAsia"/>
        </w:rPr>
        <w:t>16,333</w:t>
      </w:r>
      <w:r w:rsidRPr="00B170DF">
        <w:rPr>
          <w:rFonts w:hint="eastAsia"/>
        </w:rPr>
        <w:t>亿元人民币（按终端零售价计算），同比增长</w:t>
      </w:r>
      <w:r w:rsidRPr="00B170DF">
        <w:rPr>
          <w:rFonts w:hint="eastAsia"/>
        </w:rPr>
        <w:t>4.3%</w:t>
      </w:r>
      <w:r w:rsidRPr="00B170DF">
        <w:rPr>
          <w:rFonts w:hint="eastAsia"/>
        </w:rPr>
        <w:t>。处方药和非处方药增速均较快，其中处方药市场占据</w:t>
      </w:r>
      <w:r w:rsidRPr="00B170DF">
        <w:rPr>
          <w:rFonts w:hint="eastAsia"/>
        </w:rPr>
        <w:t>83.1%</w:t>
      </w:r>
      <w:r w:rsidRPr="00B170DF">
        <w:rPr>
          <w:rFonts w:hint="eastAsia"/>
        </w:rPr>
        <w:t>的份额，增速为</w:t>
      </w:r>
      <w:r w:rsidRPr="00B170DF">
        <w:rPr>
          <w:rFonts w:hint="eastAsia"/>
        </w:rPr>
        <w:t>4.3%</w:t>
      </w:r>
      <w:r w:rsidRPr="00B170DF">
        <w:rPr>
          <w:rFonts w:hint="eastAsia"/>
        </w:rPr>
        <w:t>。按细分渠道贡献分布看，医院依然为主流端，贡献了超六成的市场份额。就处方药市场而言，医院渠道贡献了超七成的份额。而非处方药市场中，线下零售药店占比最大，规模占比超五成。据</w:t>
      </w:r>
      <w:r w:rsidRPr="00B170DF">
        <w:rPr>
          <w:rFonts w:hint="eastAsia"/>
        </w:rPr>
        <w:t xml:space="preserve">Frost </w:t>
      </w:r>
      <w:r w:rsidRPr="00B170DF">
        <w:rPr>
          <w:rFonts w:hint="eastAsia"/>
        </w:rPr>
        <w:t>＆</w:t>
      </w:r>
      <w:r w:rsidRPr="00B170DF">
        <w:rPr>
          <w:rFonts w:hint="eastAsia"/>
        </w:rPr>
        <w:t xml:space="preserve"> Sullivan</w:t>
      </w:r>
      <w:r w:rsidRPr="00B170DF">
        <w:rPr>
          <w:rFonts w:hint="eastAsia"/>
        </w:rPr>
        <w:t>统计，中国医药市场规模预计</w:t>
      </w:r>
      <w:r w:rsidRPr="00B170DF">
        <w:rPr>
          <w:rFonts w:hint="eastAsia"/>
        </w:rPr>
        <w:t>2025</w:t>
      </w:r>
      <w:r w:rsidRPr="00B170DF">
        <w:rPr>
          <w:rFonts w:hint="eastAsia"/>
        </w:rPr>
        <w:t>年及</w:t>
      </w:r>
      <w:r w:rsidRPr="00B170DF">
        <w:rPr>
          <w:rFonts w:hint="eastAsia"/>
        </w:rPr>
        <w:t>2030</w:t>
      </w:r>
      <w:r w:rsidRPr="00B170DF">
        <w:rPr>
          <w:rFonts w:hint="eastAsia"/>
        </w:rPr>
        <w:t>年将分别达到</w:t>
      </w:r>
      <w:r w:rsidRPr="00B170DF">
        <w:rPr>
          <w:rFonts w:hint="eastAsia"/>
        </w:rPr>
        <w:t>22,873</w:t>
      </w:r>
      <w:r w:rsidRPr="00B170DF">
        <w:rPr>
          <w:rFonts w:hint="eastAsia"/>
        </w:rPr>
        <w:t>亿元及</w:t>
      </w:r>
      <w:r w:rsidRPr="00B170DF">
        <w:rPr>
          <w:rFonts w:hint="eastAsia"/>
        </w:rPr>
        <w:t>29,911</w:t>
      </w:r>
      <w:r w:rsidRPr="00B170DF">
        <w:rPr>
          <w:rFonts w:hint="eastAsia"/>
        </w:rPr>
        <w:t>亿元，</w:t>
      </w:r>
      <w:r w:rsidRPr="00B170DF">
        <w:rPr>
          <w:rFonts w:hint="eastAsia"/>
        </w:rPr>
        <w:t>2023-2025</w:t>
      </w:r>
      <w:r w:rsidRPr="00B170DF">
        <w:rPr>
          <w:rFonts w:hint="eastAsia"/>
        </w:rPr>
        <w:t>年行业整体增速将恢复至</w:t>
      </w:r>
      <w:r w:rsidRPr="00B170DF">
        <w:rPr>
          <w:rFonts w:hint="eastAsia"/>
        </w:rPr>
        <w:t>7-9%</w:t>
      </w:r>
      <w:r w:rsidRPr="00B170DF">
        <w:rPr>
          <w:rFonts w:hint="eastAsia"/>
        </w:rPr>
        <w:t>，此后五年内维持在</w:t>
      </w:r>
      <w:r w:rsidRPr="00B170DF">
        <w:rPr>
          <w:rFonts w:hint="eastAsia"/>
        </w:rPr>
        <w:t>5%</w:t>
      </w:r>
      <w:r w:rsidRPr="00B170DF">
        <w:rPr>
          <w:rFonts w:hint="eastAsia"/>
        </w:rPr>
        <w:t>以上。从细分药物市场来看，中国化学药物市场规模预计到</w:t>
      </w:r>
      <w:r w:rsidRPr="00B170DF">
        <w:rPr>
          <w:rFonts w:hint="eastAsia"/>
        </w:rPr>
        <w:t>2030</w:t>
      </w:r>
      <w:r w:rsidRPr="00B170DF">
        <w:rPr>
          <w:rFonts w:hint="eastAsia"/>
        </w:rPr>
        <w:t>年的市场规模将达到</w:t>
      </w:r>
      <w:r w:rsidRPr="00B170DF">
        <w:rPr>
          <w:rFonts w:hint="eastAsia"/>
        </w:rPr>
        <w:t>11,438</w:t>
      </w:r>
      <w:r w:rsidRPr="00B170DF">
        <w:rPr>
          <w:rFonts w:hint="eastAsia"/>
        </w:rPr>
        <w:t>亿元，增长空间十分广阔。</w:t>
      </w:r>
    </w:p>
    <w:p w14:paraId="1196729D" w14:textId="77777777" w:rsidR="00826B7B" w:rsidRPr="00B170DF" w:rsidRDefault="00826B7B" w:rsidP="00826B7B">
      <w:pPr>
        <w:spacing w:before="163" w:afterLines="0" w:after="160"/>
        <w:ind w:firstLine="482"/>
        <w:rPr>
          <w:szCs w:val="20"/>
        </w:rPr>
      </w:pPr>
      <w:r w:rsidRPr="00B170DF">
        <w:rPr>
          <w:rFonts w:hint="eastAsia"/>
          <w:b/>
          <w:szCs w:val="20"/>
        </w:rPr>
        <w:t>2</w:t>
      </w:r>
      <w:r w:rsidRPr="00B170DF">
        <w:rPr>
          <w:rFonts w:hint="eastAsia"/>
          <w:b/>
          <w:szCs w:val="20"/>
        </w:rPr>
        <w:t>、</w:t>
      </w:r>
      <w:r w:rsidR="005B7FDD" w:rsidRPr="00B170DF">
        <w:rPr>
          <w:rFonts w:hint="eastAsia"/>
          <w:b/>
          <w:bCs/>
        </w:rPr>
        <w:t>创新药成为新质生产力发展的重要方向，持续受益于产业政策支持</w:t>
      </w:r>
    </w:p>
    <w:p w14:paraId="53B7A81B" w14:textId="201EDEA8" w:rsidR="00826B7B" w:rsidRPr="00B170DF" w:rsidRDefault="009C0DA8" w:rsidP="00826B7B">
      <w:pPr>
        <w:spacing w:before="163" w:after="163"/>
        <w:ind w:firstLine="480"/>
      </w:pPr>
      <w:r w:rsidRPr="00B170DF">
        <w:rPr>
          <w:rFonts w:hint="eastAsia"/>
        </w:rPr>
        <w:t>创新药从</w:t>
      </w:r>
      <w:r w:rsidRPr="00B170DF">
        <w:t>‌</w:t>
      </w:r>
      <w:r w:rsidRPr="00B170DF">
        <w:rPr>
          <w:rFonts w:ascii="宋体" w:hAnsi="宋体" w:cs="宋体" w:hint="eastAsia"/>
        </w:rPr>
        <w:t>技术属性、产业模式到战略价值</w:t>
      </w:r>
      <w:r w:rsidRPr="00B170DF">
        <w:t>‌</w:t>
      </w:r>
      <w:r w:rsidRPr="00B170DF">
        <w:rPr>
          <w:rFonts w:ascii="宋体" w:hAnsi="宋体" w:cs="宋体" w:hint="eastAsia"/>
        </w:rPr>
        <w:t>均满足新质生产力的核心定义，是生物医药领域培育新质生产力的典型代表</w:t>
      </w:r>
      <w:r w:rsidRPr="00B170DF">
        <w:t>‌</w:t>
      </w:r>
      <w:r w:rsidRPr="00B170DF">
        <w:rPr>
          <w:rFonts w:ascii="宋体" w:hAnsi="宋体" w:cs="宋体" w:hint="eastAsia"/>
        </w:rPr>
        <w:t>。</w:t>
      </w:r>
      <w:r w:rsidR="005B7FDD" w:rsidRPr="00B170DF">
        <w:rPr>
          <w:rFonts w:hint="eastAsia"/>
        </w:rPr>
        <w:t>创新药关乎国家生物医药产业转型升级，也与国家生物安全自主可控、国民生命健康紧密相连。我国对创新药的支持政策和行业发展呈现出持续的积极态势。在</w:t>
      </w:r>
      <w:r w:rsidR="005B7FDD" w:rsidRPr="00B170DF">
        <w:rPr>
          <w:rFonts w:hint="eastAsia"/>
        </w:rPr>
        <w:t>"</w:t>
      </w:r>
      <w:r w:rsidR="005B7FDD" w:rsidRPr="00B170DF">
        <w:rPr>
          <w:rFonts w:hint="eastAsia"/>
        </w:rPr>
        <w:t>十四五</w:t>
      </w:r>
      <w:r w:rsidR="005B7FDD" w:rsidRPr="00B170DF">
        <w:rPr>
          <w:rFonts w:hint="eastAsia"/>
        </w:rPr>
        <w:t>"</w:t>
      </w:r>
      <w:r w:rsidR="005B7FDD" w:rsidRPr="00B170DF">
        <w:rPr>
          <w:rFonts w:hint="eastAsia"/>
        </w:rPr>
        <w:t>规划中，提出了医药工业行业全行业研发投入年均增长</w:t>
      </w:r>
      <w:r w:rsidR="005B7FDD" w:rsidRPr="00B170DF">
        <w:rPr>
          <w:rFonts w:hint="eastAsia"/>
        </w:rPr>
        <w:t>10%</w:t>
      </w:r>
      <w:r w:rsidR="005B7FDD" w:rsidRPr="00B170DF">
        <w:rPr>
          <w:rFonts w:hint="eastAsia"/>
        </w:rPr>
        <w:t>以上的目标，这进一步促进了医药工业的技术</w:t>
      </w:r>
      <w:r w:rsidR="005B7FDD" w:rsidRPr="00B170DF">
        <w:rPr>
          <w:rFonts w:hint="eastAsia"/>
        </w:rPr>
        <w:lastRenderedPageBreak/>
        <w:t>创新和发展。药品</w:t>
      </w:r>
      <w:proofErr w:type="gramStart"/>
      <w:r w:rsidR="005B7FDD" w:rsidRPr="00B170DF">
        <w:rPr>
          <w:rFonts w:hint="eastAsia"/>
        </w:rPr>
        <w:t>审评审批</w:t>
      </w:r>
      <w:proofErr w:type="gramEnd"/>
      <w:r w:rsidR="005B7FDD" w:rsidRPr="00B170DF">
        <w:rPr>
          <w:rFonts w:hint="eastAsia"/>
        </w:rPr>
        <w:t>流程得到明显优化和加速。数据显示，</w:t>
      </w:r>
      <w:r w:rsidR="008E518B" w:rsidRPr="00B170DF">
        <w:rPr>
          <w:rFonts w:hint="eastAsia"/>
        </w:rPr>
        <w:t>2024</w:t>
      </w:r>
      <w:r w:rsidR="008E518B" w:rsidRPr="00B170DF">
        <w:rPr>
          <w:rFonts w:hint="eastAsia"/>
        </w:rPr>
        <w:t>年药品审评中心采取多种措施提高审评效率，加快药品审评速度，全年批准上市</w:t>
      </w:r>
      <w:r w:rsidR="008E518B" w:rsidRPr="00B170DF">
        <w:rPr>
          <w:rFonts w:hint="eastAsia"/>
        </w:rPr>
        <w:t>1</w:t>
      </w:r>
      <w:r w:rsidR="008E518B" w:rsidRPr="00B170DF">
        <w:rPr>
          <w:rFonts w:hint="eastAsia"/>
        </w:rPr>
        <w:t>类创新药</w:t>
      </w:r>
      <w:r w:rsidR="008E518B" w:rsidRPr="00B170DF">
        <w:rPr>
          <w:rFonts w:hint="eastAsia"/>
        </w:rPr>
        <w:t>48</w:t>
      </w:r>
      <w:r w:rsidR="008E518B" w:rsidRPr="00B170DF">
        <w:rPr>
          <w:rFonts w:hint="eastAsia"/>
        </w:rPr>
        <w:t>个品种，罕见病用药</w:t>
      </w:r>
      <w:r w:rsidR="008E518B" w:rsidRPr="00B170DF">
        <w:rPr>
          <w:rFonts w:hint="eastAsia"/>
        </w:rPr>
        <w:t>55</w:t>
      </w:r>
      <w:r w:rsidR="008E518B" w:rsidRPr="00B170DF">
        <w:rPr>
          <w:rFonts w:hint="eastAsia"/>
        </w:rPr>
        <w:t>个品种，儿童用药产品</w:t>
      </w:r>
      <w:r w:rsidR="008E518B" w:rsidRPr="00B170DF">
        <w:rPr>
          <w:rFonts w:hint="eastAsia"/>
        </w:rPr>
        <w:t>106</w:t>
      </w:r>
      <w:r w:rsidR="008E518B" w:rsidRPr="00B170DF">
        <w:rPr>
          <w:rFonts w:hint="eastAsia"/>
        </w:rPr>
        <w:t>个品种，境外已上市、境内未上市的原研药品</w:t>
      </w:r>
      <w:r w:rsidR="008E518B" w:rsidRPr="00B170DF">
        <w:rPr>
          <w:rFonts w:hint="eastAsia"/>
        </w:rPr>
        <w:t>89</w:t>
      </w:r>
      <w:r w:rsidR="008E518B" w:rsidRPr="00B170DF">
        <w:rPr>
          <w:rFonts w:hint="eastAsia"/>
        </w:rPr>
        <w:t>个品种。此外，</w:t>
      </w:r>
      <w:r w:rsidR="008E518B" w:rsidRPr="00B170DF">
        <w:rPr>
          <w:rFonts w:hint="eastAsia"/>
        </w:rPr>
        <w:t>2024</w:t>
      </w:r>
      <w:r w:rsidR="008E518B" w:rsidRPr="00B170DF">
        <w:rPr>
          <w:rFonts w:hint="eastAsia"/>
        </w:rPr>
        <w:t>年度共纳入优先</w:t>
      </w:r>
      <w:proofErr w:type="gramStart"/>
      <w:r w:rsidR="008E518B" w:rsidRPr="00B170DF">
        <w:rPr>
          <w:rFonts w:hint="eastAsia"/>
        </w:rPr>
        <w:t>审评审批</w:t>
      </w:r>
      <w:proofErr w:type="gramEnd"/>
      <w:r w:rsidR="008E518B" w:rsidRPr="00B170DF">
        <w:rPr>
          <w:rFonts w:hint="eastAsia"/>
        </w:rPr>
        <w:t>注册申请</w:t>
      </w:r>
      <w:r w:rsidR="008E518B" w:rsidRPr="00B170DF">
        <w:rPr>
          <w:rFonts w:hint="eastAsia"/>
        </w:rPr>
        <w:t>124</w:t>
      </w:r>
      <w:r w:rsidR="008E518B" w:rsidRPr="00B170DF">
        <w:rPr>
          <w:rFonts w:hint="eastAsia"/>
        </w:rPr>
        <w:t>件（</w:t>
      </w:r>
      <w:r w:rsidR="008E518B" w:rsidRPr="00B170DF">
        <w:rPr>
          <w:rFonts w:hint="eastAsia"/>
        </w:rPr>
        <w:t>88</w:t>
      </w:r>
      <w:r w:rsidR="008E518B" w:rsidRPr="00B170DF">
        <w:rPr>
          <w:rFonts w:hint="eastAsia"/>
        </w:rPr>
        <w:t>个品种），同比增加</w:t>
      </w:r>
      <w:r w:rsidR="008E518B" w:rsidRPr="00B170DF">
        <w:rPr>
          <w:rFonts w:hint="eastAsia"/>
        </w:rPr>
        <w:t>14.81%</w:t>
      </w:r>
      <w:r w:rsidR="008E518B" w:rsidRPr="00B170DF">
        <w:rPr>
          <w:rFonts w:hint="eastAsia"/>
        </w:rPr>
        <w:t>。</w:t>
      </w:r>
      <w:r w:rsidR="005B7FDD" w:rsidRPr="00B170DF">
        <w:rPr>
          <w:rFonts w:hint="eastAsia"/>
        </w:rPr>
        <w:t>2024</w:t>
      </w:r>
      <w:r w:rsidR="005B7FDD" w:rsidRPr="00B170DF">
        <w:rPr>
          <w:rFonts w:hint="eastAsia"/>
        </w:rPr>
        <w:t>年</w:t>
      </w:r>
      <w:r w:rsidR="005B7FDD" w:rsidRPr="00B170DF">
        <w:rPr>
          <w:rFonts w:hint="eastAsia"/>
        </w:rPr>
        <w:t>3</w:t>
      </w:r>
      <w:r w:rsidR="005B7FDD" w:rsidRPr="00B170DF">
        <w:rPr>
          <w:rFonts w:hint="eastAsia"/>
        </w:rPr>
        <w:t>月政府工作报告提出，加快创新药等产业发展，积极打造生物制造等新增长引擎，“创新药”一词首次进入政府工作报告。</w:t>
      </w:r>
      <w:r w:rsidR="005B7FDD" w:rsidRPr="00B170DF">
        <w:rPr>
          <w:rFonts w:hint="eastAsia"/>
        </w:rPr>
        <w:t>2024</w:t>
      </w:r>
      <w:r w:rsidR="005B7FDD" w:rsidRPr="00B170DF">
        <w:rPr>
          <w:rFonts w:hint="eastAsia"/>
        </w:rPr>
        <w:t>年</w:t>
      </w:r>
      <w:r w:rsidR="005B7FDD" w:rsidRPr="00B170DF">
        <w:rPr>
          <w:rFonts w:hint="eastAsia"/>
        </w:rPr>
        <w:t>7</w:t>
      </w:r>
      <w:r w:rsidR="005B7FDD" w:rsidRPr="00B170DF">
        <w:rPr>
          <w:rFonts w:hint="eastAsia"/>
        </w:rPr>
        <w:t>月</w:t>
      </w:r>
      <w:r w:rsidR="005B7FDD" w:rsidRPr="00B170DF">
        <w:rPr>
          <w:rFonts w:hint="eastAsia"/>
        </w:rPr>
        <w:t>5</w:t>
      </w:r>
      <w:r w:rsidR="005B7FDD" w:rsidRPr="00B170DF">
        <w:rPr>
          <w:rFonts w:hint="eastAsia"/>
        </w:rPr>
        <w:t>日，国务院批准《全链条支持创新药发展实施方案》，旨在通过全面政策支持，加强价格管理、</w:t>
      </w:r>
      <w:proofErr w:type="gramStart"/>
      <w:r w:rsidR="005B7FDD" w:rsidRPr="00B170DF">
        <w:rPr>
          <w:rFonts w:hint="eastAsia"/>
        </w:rPr>
        <w:t>医</w:t>
      </w:r>
      <w:proofErr w:type="gramEnd"/>
      <w:r w:rsidR="005B7FDD" w:rsidRPr="00B170DF">
        <w:rPr>
          <w:rFonts w:hint="eastAsia"/>
        </w:rPr>
        <w:t>保支付、商业保险、药品配置和使用以及投融资等环节的协调，同时改进</w:t>
      </w:r>
      <w:proofErr w:type="gramStart"/>
      <w:r w:rsidR="005B7FDD" w:rsidRPr="00B170DF">
        <w:rPr>
          <w:rFonts w:hint="eastAsia"/>
        </w:rPr>
        <w:t>审评审批</w:t>
      </w:r>
      <w:proofErr w:type="gramEnd"/>
      <w:r w:rsidR="005B7FDD" w:rsidRPr="00B170DF">
        <w:rPr>
          <w:rFonts w:hint="eastAsia"/>
        </w:rPr>
        <w:t>流程和医疗机构考核机制，以促进创新药的快速发展，加强新药研发的基础研究，为我国创新</w:t>
      </w:r>
      <w:proofErr w:type="gramStart"/>
      <w:r w:rsidR="005B7FDD" w:rsidRPr="00B170DF">
        <w:rPr>
          <w:rFonts w:hint="eastAsia"/>
        </w:rPr>
        <w:t>药产业</w:t>
      </w:r>
      <w:proofErr w:type="gramEnd"/>
      <w:r w:rsidR="005B7FDD" w:rsidRPr="00B170DF">
        <w:rPr>
          <w:rFonts w:hint="eastAsia"/>
        </w:rPr>
        <w:t>打下坚实基础。</w:t>
      </w:r>
      <w:r w:rsidR="008E518B" w:rsidRPr="00B170DF">
        <w:rPr>
          <w:rFonts w:hint="eastAsia"/>
        </w:rPr>
        <w:t>2024</w:t>
      </w:r>
      <w:r w:rsidR="008E518B" w:rsidRPr="00B170DF">
        <w:rPr>
          <w:rFonts w:hint="eastAsia"/>
        </w:rPr>
        <w:t>年</w:t>
      </w:r>
      <w:r w:rsidR="005B7FDD" w:rsidRPr="00B170DF">
        <w:rPr>
          <w:rFonts w:hint="eastAsia"/>
        </w:rPr>
        <w:t>7</w:t>
      </w:r>
      <w:r w:rsidR="005B7FDD" w:rsidRPr="00B170DF">
        <w:rPr>
          <w:rFonts w:hint="eastAsia"/>
        </w:rPr>
        <w:t>月</w:t>
      </w:r>
      <w:r w:rsidR="005B7FDD" w:rsidRPr="00B170DF">
        <w:rPr>
          <w:rFonts w:hint="eastAsia"/>
        </w:rPr>
        <w:t>31</w:t>
      </w:r>
      <w:r w:rsidR="005B7FDD" w:rsidRPr="00B170DF">
        <w:rPr>
          <w:rFonts w:hint="eastAsia"/>
        </w:rPr>
        <w:t>日，国家药监局进一步发布了《优化创新药临床试验审评审批试点工作方案》，以提高创新药临床试验的</w:t>
      </w:r>
      <w:proofErr w:type="gramStart"/>
      <w:r w:rsidR="005B7FDD" w:rsidRPr="00B170DF">
        <w:rPr>
          <w:rFonts w:hint="eastAsia"/>
        </w:rPr>
        <w:t>审评审批</w:t>
      </w:r>
      <w:proofErr w:type="gramEnd"/>
      <w:r w:rsidR="005B7FDD" w:rsidRPr="00B170DF">
        <w:rPr>
          <w:rFonts w:hint="eastAsia"/>
        </w:rPr>
        <w:t>效率。政策环境的优化、审批流程的加速等积极变化，将共同推动了我国创新药行业的快速发展。</w:t>
      </w:r>
    </w:p>
    <w:p w14:paraId="47B9010E" w14:textId="77777777" w:rsidR="00826B7B" w:rsidRPr="00B170DF" w:rsidRDefault="00826B7B" w:rsidP="00826B7B">
      <w:pPr>
        <w:spacing w:before="163" w:afterLines="0" w:after="160"/>
        <w:ind w:firstLine="482"/>
        <w:rPr>
          <w:b/>
          <w:szCs w:val="20"/>
        </w:rPr>
      </w:pPr>
      <w:r w:rsidRPr="00B170DF">
        <w:rPr>
          <w:rFonts w:hint="eastAsia"/>
          <w:b/>
          <w:szCs w:val="20"/>
        </w:rPr>
        <w:t>3</w:t>
      </w:r>
      <w:r w:rsidRPr="00B170DF">
        <w:rPr>
          <w:rFonts w:hint="eastAsia"/>
          <w:b/>
          <w:szCs w:val="20"/>
        </w:rPr>
        <w:t>、乙肝药物</w:t>
      </w:r>
      <w:r w:rsidR="006D58B9" w:rsidRPr="00B170DF">
        <w:rPr>
          <w:rFonts w:hint="eastAsia"/>
          <w:b/>
          <w:szCs w:val="20"/>
        </w:rPr>
        <w:t>市场</w:t>
      </w:r>
      <w:r w:rsidRPr="00B170DF">
        <w:rPr>
          <w:rFonts w:hint="eastAsia"/>
          <w:b/>
          <w:szCs w:val="20"/>
        </w:rPr>
        <w:t>具有广阔发展空间</w:t>
      </w:r>
    </w:p>
    <w:p w14:paraId="1F6A497C" w14:textId="77777777" w:rsidR="00826B7B" w:rsidRPr="00B170DF" w:rsidRDefault="00826B7B" w:rsidP="00826B7B">
      <w:pPr>
        <w:spacing w:before="163" w:after="163"/>
        <w:ind w:firstLine="480"/>
        <w:rPr>
          <w:szCs w:val="24"/>
        </w:rPr>
      </w:pPr>
      <w:r w:rsidRPr="00B170DF">
        <w:rPr>
          <w:rFonts w:hint="eastAsia"/>
          <w:szCs w:val="24"/>
        </w:rPr>
        <w:t>目前直接抗病毒药物或免疫调节剂单独使用均无法有效清除乙肝病毒实现以停药为目的的功能性治愈，全球范围内尚无批准任何药物或方案用于乙肝治愈。</w:t>
      </w:r>
      <w:r w:rsidRPr="00B170DF">
        <w:rPr>
          <w:szCs w:val="24"/>
        </w:rPr>
        <w:t>因此需研究新的治疗机制，开发新的治疗方法，以加强乙型肝炎表面抗原（</w:t>
      </w:r>
      <w:r w:rsidRPr="00B170DF">
        <w:rPr>
          <w:szCs w:val="24"/>
        </w:rPr>
        <w:t>HBsAg</w:t>
      </w:r>
      <w:r w:rsidRPr="00B170DF">
        <w:rPr>
          <w:szCs w:val="24"/>
        </w:rPr>
        <w:t>）的清除比例，有效清除残留</w:t>
      </w:r>
      <w:r w:rsidRPr="00B170DF">
        <w:rPr>
          <w:szCs w:val="24"/>
        </w:rPr>
        <w:t>HBV</w:t>
      </w:r>
      <w:r w:rsidRPr="00B170DF">
        <w:rPr>
          <w:szCs w:val="24"/>
        </w:rPr>
        <w:t>的</w:t>
      </w:r>
      <w:r w:rsidRPr="00B170DF">
        <w:rPr>
          <w:szCs w:val="24"/>
        </w:rPr>
        <w:t>DNA</w:t>
      </w:r>
      <w:r w:rsidRPr="00B170DF">
        <w:rPr>
          <w:szCs w:val="24"/>
        </w:rPr>
        <w:t>和</w:t>
      </w:r>
      <w:proofErr w:type="spellStart"/>
      <w:r w:rsidRPr="00B170DF">
        <w:rPr>
          <w:szCs w:val="24"/>
        </w:rPr>
        <w:t>cccDNA</w:t>
      </w:r>
      <w:proofErr w:type="spellEnd"/>
      <w:r w:rsidRPr="00B170DF">
        <w:rPr>
          <w:szCs w:val="24"/>
        </w:rPr>
        <w:t>，从而给患者提供更为有效和安全的治疗。</w:t>
      </w:r>
    </w:p>
    <w:p w14:paraId="4B91D3E4" w14:textId="77777777" w:rsidR="00826B7B" w:rsidRPr="00B170DF" w:rsidRDefault="00826B7B" w:rsidP="00826B7B">
      <w:pPr>
        <w:adjustRightInd w:val="0"/>
        <w:spacing w:before="163" w:afterLines="0" w:after="160"/>
        <w:ind w:firstLine="480"/>
        <w:rPr>
          <w:szCs w:val="24"/>
        </w:rPr>
      </w:pPr>
      <w:bookmarkStart w:id="25" w:name="_Hlk190549981"/>
      <w:r w:rsidRPr="00B170DF">
        <w:rPr>
          <w:rFonts w:hint="eastAsia"/>
          <w:szCs w:val="20"/>
        </w:rPr>
        <w:t>据世界卫生组织（</w:t>
      </w:r>
      <w:r w:rsidRPr="00B170DF">
        <w:rPr>
          <w:szCs w:val="20"/>
        </w:rPr>
        <w:t>WHO</w:t>
      </w:r>
      <w:r w:rsidRPr="00B170DF">
        <w:rPr>
          <w:rFonts w:hint="eastAsia"/>
          <w:szCs w:val="20"/>
        </w:rPr>
        <w:t>）</w:t>
      </w:r>
      <w:r w:rsidRPr="00B170DF">
        <w:rPr>
          <w:szCs w:val="24"/>
        </w:rPr>
        <w:t>《</w:t>
      </w:r>
      <w:r w:rsidRPr="00B170DF">
        <w:rPr>
          <w:szCs w:val="24"/>
        </w:rPr>
        <w:t>2024</w:t>
      </w:r>
      <w:r w:rsidRPr="00B170DF">
        <w:rPr>
          <w:szCs w:val="24"/>
        </w:rPr>
        <w:t>年全球肝炎报告》估计，</w:t>
      </w:r>
      <w:r w:rsidRPr="00B170DF">
        <w:rPr>
          <w:szCs w:val="24"/>
        </w:rPr>
        <w:t>2022</w:t>
      </w:r>
      <w:r w:rsidRPr="00B170DF">
        <w:rPr>
          <w:szCs w:val="24"/>
        </w:rPr>
        <w:t>年全球有</w:t>
      </w:r>
      <w:r w:rsidRPr="00B170DF">
        <w:rPr>
          <w:szCs w:val="24"/>
        </w:rPr>
        <w:t>2.54</w:t>
      </w:r>
      <w:r w:rsidRPr="00B170DF">
        <w:rPr>
          <w:szCs w:val="24"/>
        </w:rPr>
        <w:t>亿人患有慢性乙肝感染，每年有</w:t>
      </w:r>
      <w:r w:rsidRPr="00B170DF">
        <w:rPr>
          <w:szCs w:val="24"/>
        </w:rPr>
        <w:t>120</w:t>
      </w:r>
      <w:r w:rsidRPr="00B170DF">
        <w:rPr>
          <w:szCs w:val="24"/>
        </w:rPr>
        <w:t>万新发感染者。西太平洋区域和非洲区域的感染负担最重，分别有</w:t>
      </w:r>
      <w:r w:rsidRPr="00B170DF">
        <w:rPr>
          <w:szCs w:val="24"/>
        </w:rPr>
        <w:t>9,700</w:t>
      </w:r>
      <w:r w:rsidRPr="00B170DF">
        <w:rPr>
          <w:szCs w:val="24"/>
        </w:rPr>
        <w:t>万人和</w:t>
      </w:r>
      <w:r w:rsidRPr="00B170DF">
        <w:rPr>
          <w:szCs w:val="24"/>
        </w:rPr>
        <w:t>6,500</w:t>
      </w:r>
      <w:r w:rsidRPr="00B170DF">
        <w:rPr>
          <w:szCs w:val="24"/>
        </w:rPr>
        <w:t>万人存在慢性感染。</w:t>
      </w:r>
      <w:r w:rsidRPr="00B170DF">
        <w:rPr>
          <w:szCs w:val="24"/>
        </w:rPr>
        <w:t>2022</w:t>
      </w:r>
      <w:r w:rsidRPr="00B170DF">
        <w:rPr>
          <w:szCs w:val="24"/>
        </w:rPr>
        <w:t>年，乙肝导致约</w:t>
      </w:r>
      <w:r w:rsidRPr="00B170DF">
        <w:rPr>
          <w:szCs w:val="24"/>
        </w:rPr>
        <w:t>110</w:t>
      </w:r>
      <w:r w:rsidRPr="00B170DF">
        <w:rPr>
          <w:szCs w:val="24"/>
        </w:rPr>
        <w:t>万人死亡，主要原因是</w:t>
      </w:r>
      <w:r w:rsidRPr="00B170DF">
        <w:rPr>
          <w:rFonts w:hint="eastAsia"/>
          <w:szCs w:val="20"/>
        </w:rPr>
        <w:t>肝硬化和肝细胞癌</w:t>
      </w:r>
      <w:r w:rsidRPr="00B170DF">
        <w:rPr>
          <w:szCs w:val="24"/>
        </w:rPr>
        <w:t>（原发性肝癌）。报告表示，</w:t>
      </w:r>
      <w:r w:rsidRPr="00B170DF">
        <w:rPr>
          <w:szCs w:val="24"/>
        </w:rPr>
        <w:t>2024~2026</w:t>
      </w:r>
      <w:r w:rsidRPr="00B170DF">
        <w:rPr>
          <w:szCs w:val="24"/>
        </w:rPr>
        <w:t>年是全球乙肝防控的窗口期，</w:t>
      </w:r>
      <w:proofErr w:type="gramStart"/>
      <w:r w:rsidRPr="00B170DF">
        <w:rPr>
          <w:szCs w:val="24"/>
        </w:rPr>
        <w:t>预估仍</w:t>
      </w:r>
      <w:proofErr w:type="gramEnd"/>
      <w:r w:rsidRPr="00B170DF">
        <w:rPr>
          <w:szCs w:val="24"/>
        </w:rPr>
        <w:t>有</w:t>
      </w:r>
      <w:r w:rsidRPr="00B170DF">
        <w:rPr>
          <w:szCs w:val="24"/>
        </w:rPr>
        <w:t>4,000</w:t>
      </w:r>
      <w:r w:rsidRPr="00B170DF">
        <w:rPr>
          <w:szCs w:val="24"/>
        </w:rPr>
        <w:t>万乙肝患者需接受治疗，以实现全球防控病毒性肝炎的目标。</w:t>
      </w:r>
      <w:r w:rsidRPr="00B170DF">
        <w:rPr>
          <w:szCs w:val="24"/>
        </w:rPr>
        <w:t>2016</w:t>
      </w:r>
      <w:r w:rsidRPr="00B170DF">
        <w:rPr>
          <w:szCs w:val="24"/>
        </w:rPr>
        <w:t>年，第</w:t>
      </w:r>
      <w:r w:rsidRPr="00B170DF">
        <w:rPr>
          <w:szCs w:val="24"/>
        </w:rPr>
        <w:t>69</w:t>
      </w:r>
      <w:r w:rsidRPr="00B170DF">
        <w:rPr>
          <w:szCs w:val="24"/>
        </w:rPr>
        <w:t>届世界卫生大会通过《全球卫生部门关于病毒性肝炎策略</w:t>
      </w:r>
      <w:r w:rsidRPr="00B170DF">
        <w:rPr>
          <w:szCs w:val="24"/>
        </w:rPr>
        <w:t>(2016-2021)</w:t>
      </w:r>
      <w:r w:rsidRPr="00B170DF">
        <w:rPr>
          <w:szCs w:val="24"/>
        </w:rPr>
        <w:t>》决议，提出到</w:t>
      </w:r>
      <w:r w:rsidRPr="00B170DF">
        <w:rPr>
          <w:szCs w:val="24"/>
        </w:rPr>
        <w:t>2030</w:t>
      </w:r>
      <w:r w:rsidRPr="00B170DF">
        <w:rPr>
          <w:szCs w:val="24"/>
        </w:rPr>
        <w:t>年消除病毒性肝炎公共卫生危害的目标，具体目标包括到</w:t>
      </w:r>
      <w:r w:rsidRPr="00B170DF">
        <w:rPr>
          <w:szCs w:val="24"/>
        </w:rPr>
        <w:t>2030</w:t>
      </w:r>
      <w:r w:rsidRPr="00B170DF">
        <w:rPr>
          <w:szCs w:val="24"/>
        </w:rPr>
        <w:t>年，乙肝新发感染减少</w:t>
      </w:r>
      <w:r w:rsidRPr="00B170DF">
        <w:rPr>
          <w:szCs w:val="24"/>
        </w:rPr>
        <w:t>90%</w:t>
      </w:r>
      <w:r w:rsidRPr="00B170DF">
        <w:rPr>
          <w:szCs w:val="24"/>
        </w:rPr>
        <w:t>，乙</w:t>
      </w:r>
      <w:r w:rsidRPr="00B170DF">
        <w:rPr>
          <w:szCs w:val="24"/>
        </w:rPr>
        <w:lastRenderedPageBreak/>
        <w:t>肝导致的死亡减少</w:t>
      </w:r>
      <w:r w:rsidRPr="00B170DF">
        <w:rPr>
          <w:szCs w:val="24"/>
        </w:rPr>
        <w:t>65%</w:t>
      </w:r>
      <w:r w:rsidRPr="00B170DF">
        <w:rPr>
          <w:szCs w:val="24"/>
        </w:rPr>
        <w:t>，乙肝诊断率达到</w:t>
      </w:r>
      <w:r w:rsidRPr="00B170DF">
        <w:rPr>
          <w:szCs w:val="24"/>
        </w:rPr>
        <w:t>90%</w:t>
      </w:r>
      <w:r w:rsidRPr="00B170DF">
        <w:rPr>
          <w:szCs w:val="24"/>
        </w:rPr>
        <w:t>和乙肝治疗率达到</w:t>
      </w:r>
      <w:r w:rsidRPr="00B170DF">
        <w:rPr>
          <w:szCs w:val="24"/>
        </w:rPr>
        <w:t>80%</w:t>
      </w:r>
      <w:r w:rsidRPr="00B170DF">
        <w:rPr>
          <w:szCs w:val="24"/>
        </w:rPr>
        <w:t>。</w:t>
      </w:r>
      <w:r w:rsidRPr="00B170DF">
        <w:rPr>
          <w:szCs w:val="24"/>
        </w:rPr>
        <w:t>2022</w:t>
      </w:r>
      <w:r w:rsidRPr="00B170DF">
        <w:rPr>
          <w:szCs w:val="24"/>
        </w:rPr>
        <w:t>年，全球乙型肝炎的诊断率和治疗率分别为</w:t>
      </w:r>
      <w:r w:rsidRPr="00B170DF">
        <w:rPr>
          <w:szCs w:val="24"/>
        </w:rPr>
        <w:t>13.4%</w:t>
      </w:r>
      <w:r w:rsidRPr="00B170DF">
        <w:rPr>
          <w:szCs w:val="24"/>
        </w:rPr>
        <w:t>和</w:t>
      </w:r>
      <w:r w:rsidRPr="00B170DF">
        <w:rPr>
          <w:szCs w:val="24"/>
        </w:rPr>
        <w:t>2.6%</w:t>
      </w:r>
      <w:r w:rsidRPr="00B170DF">
        <w:rPr>
          <w:szCs w:val="24"/>
        </w:rPr>
        <w:t>，远低于</w:t>
      </w:r>
      <w:r w:rsidRPr="00B170DF">
        <w:rPr>
          <w:szCs w:val="24"/>
        </w:rPr>
        <w:t>WHO</w:t>
      </w:r>
      <w:r w:rsidRPr="00B170DF">
        <w:rPr>
          <w:szCs w:val="24"/>
        </w:rPr>
        <w:t>提出的消除病毒性肝炎目标。</w:t>
      </w:r>
    </w:p>
    <w:bookmarkEnd w:id="25"/>
    <w:p w14:paraId="347AB45C" w14:textId="3601C59A" w:rsidR="00826B7B" w:rsidRPr="00B170DF" w:rsidRDefault="00826B7B" w:rsidP="00826B7B">
      <w:pPr>
        <w:adjustRightInd w:val="0"/>
        <w:spacing w:before="163" w:afterLines="0" w:after="160"/>
        <w:ind w:firstLine="480"/>
        <w:rPr>
          <w:szCs w:val="20"/>
        </w:rPr>
      </w:pPr>
      <w:r w:rsidRPr="00B170DF">
        <w:rPr>
          <w:szCs w:val="24"/>
        </w:rPr>
        <w:t>据《中国卫生健康统计年鉴（</w:t>
      </w:r>
      <w:r w:rsidRPr="00B170DF">
        <w:rPr>
          <w:szCs w:val="24"/>
        </w:rPr>
        <w:t>2022</w:t>
      </w:r>
      <w:r w:rsidRPr="00B170DF">
        <w:rPr>
          <w:szCs w:val="24"/>
        </w:rPr>
        <w:t>）》数据显示，</w:t>
      </w:r>
      <w:r w:rsidRPr="00B170DF">
        <w:rPr>
          <w:szCs w:val="24"/>
        </w:rPr>
        <w:t>2021</w:t>
      </w:r>
      <w:r w:rsidRPr="00B170DF">
        <w:rPr>
          <w:szCs w:val="24"/>
        </w:rPr>
        <w:t>年共有</w:t>
      </w:r>
      <w:r w:rsidRPr="00B170DF">
        <w:rPr>
          <w:szCs w:val="24"/>
        </w:rPr>
        <w:t>2,800</w:t>
      </w:r>
      <w:r w:rsidRPr="00B170DF">
        <w:rPr>
          <w:szCs w:val="24"/>
        </w:rPr>
        <w:t>万乙肝</w:t>
      </w:r>
      <w:r w:rsidRPr="00B170DF">
        <w:rPr>
          <w:rFonts w:hint="eastAsia"/>
          <w:szCs w:val="20"/>
        </w:rPr>
        <w:t>患者</w:t>
      </w:r>
      <w:r w:rsidRPr="00B170DF">
        <w:rPr>
          <w:szCs w:val="24"/>
        </w:rPr>
        <w:t>，中国</w:t>
      </w:r>
      <w:r w:rsidRPr="00B170DF">
        <w:rPr>
          <w:rFonts w:hint="eastAsia"/>
          <w:szCs w:val="20"/>
        </w:rPr>
        <w:t>乙肝病毒携带者</w:t>
      </w:r>
      <w:r w:rsidRPr="00B170DF">
        <w:rPr>
          <w:szCs w:val="24"/>
        </w:rPr>
        <w:t>数量约为</w:t>
      </w:r>
      <w:r w:rsidRPr="00B170DF">
        <w:rPr>
          <w:szCs w:val="24"/>
        </w:rPr>
        <w:t>8,600</w:t>
      </w:r>
      <w:r w:rsidRPr="00B170DF">
        <w:rPr>
          <w:szCs w:val="24"/>
        </w:rPr>
        <w:t>万人，每年新发乙肝病人约</w:t>
      </w:r>
      <w:r w:rsidRPr="00B170DF">
        <w:rPr>
          <w:szCs w:val="24"/>
        </w:rPr>
        <w:t>100</w:t>
      </w:r>
      <w:r w:rsidRPr="00B170DF">
        <w:rPr>
          <w:szCs w:val="24"/>
        </w:rPr>
        <w:t>万人，我国乙型肝炎发病率为</w:t>
      </w:r>
      <w:r w:rsidRPr="00B170DF">
        <w:rPr>
          <w:szCs w:val="24"/>
        </w:rPr>
        <w:t>69.25</w:t>
      </w:r>
      <w:r w:rsidRPr="00B170DF">
        <w:rPr>
          <w:szCs w:val="24"/>
        </w:rPr>
        <w:t>人</w:t>
      </w:r>
      <w:r w:rsidRPr="00B170DF">
        <w:rPr>
          <w:szCs w:val="24"/>
        </w:rPr>
        <w:t>/10</w:t>
      </w:r>
      <w:r w:rsidRPr="00B170DF">
        <w:rPr>
          <w:szCs w:val="24"/>
        </w:rPr>
        <w:t>万人，死亡率为</w:t>
      </w:r>
      <w:r w:rsidRPr="00B170DF">
        <w:rPr>
          <w:szCs w:val="24"/>
        </w:rPr>
        <w:t>0.03/10</w:t>
      </w:r>
      <w:r w:rsidRPr="00B170DF">
        <w:rPr>
          <w:szCs w:val="24"/>
        </w:rPr>
        <w:t>万人。</w:t>
      </w:r>
      <w:r w:rsidRPr="00B170DF">
        <w:rPr>
          <w:rFonts w:hint="eastAsia"/>
          <w:szCs w:val="20"/>
        </w:rPr>
        <w:t>数据显示，我国自</w:t>
      </w:r>
      <w:r w:rsidRPr="00B170DF">
        <w:rPr>
          <w:szCs w:val="20"/>
        </w:rPr>
        <w:t>2017</w:t>
      </w:r>
      <w:r w:rsidRPr="00B170DF">
        <w:rPr>
          <w:rFonts w:hint="eastAsia"/>
          <w:szCs w:val="20"/>
        </w:rPr>
        <w:t>年以来每年乙肝新发患者数量基本维持在</w:t>
      </w:r>
      <w:r w:rsidRPr="00B170DF">
        <w:rPr>
          <w:szCs w:val="20"/>
        </w:rPr>
        <w:t>100</w:t>
      </w:r>
      <w:r w:rsidRPr="00B170DF">
        <w:rPr>
          <w:rFonts w:hint="eastAsia"/>
          <w:szCs w:val="20"/>
        </w:rPr>
        <w:t>万</w:t>
      </w:r>
      <w:r w:rsidRPr="00B170DF">
        <w:rPr>
          <w:szCs w:val="24"/>
        </w:rPr>
        <w:t>人左右。《慢性乙型肝炎防治指南（</w:t>
      </w:r>
      <w:r w:rsidRPr="00B170DF">
        <w:rPr>
          <w:szCs w:val="24"/>
        </w:rPr>
        <w:t>2022</w:t>
      </w:r>
      <w:r w:rsidRPr="00B170DF">
        <w:rPr>
          <w:szCs w:val="24"/>
        </w:rPr>
        <w:t>年版）》</w:t>
      </w:r>
      <w:r w:rsidRPr="00B170DF">
        <w:rPr>
          <w:szCs w:val="24"/>
        </w:rPr>
        <w:t xml:space="preserve"> </w:t>
      </w:r>
      <w:r w:rsidRPr="00B170DF">
        <w:rPr>
          <w:szCs w:val="24"/>
        </w:rPr>
        <w:t>指出，目前我国</w:t>
      </w:r>
      <w:r w:rsidRPr="00B170DF">
        <w:rPr>
          <w:szCs w:val="24"/>
        </w:rPr>
        <w:t>CHB</w:t>
      </w:r>
      <w:r w:rsidRPr="00B170DF">
        <w:rPr>
          <w:szCs w:val="24"/>
        </w:rPr>
        <w:t>的诊断率为</w:t>
      </w:r>
      <w:r w:rsidRPr="00B170DF">
        <w:rPr>
          <w:szCs w:val="24"/>
        </w:rPr>
        <w:t>22%</w:t>
      </w:r>
      <w:r w:rsidRPr="00B170DF">
        <w:rPr>
          <w:szCs w:val="24"/>
        </w:rPr>
        <w:t>，治疗率为</w:t>
      </w:r>
      <w:r w:rsidRPr="00B170DF">
        <w:rPr>
          <w:szCs w:val="24"/>
        </w:rPr>
        <w:t>15%</w:t>
      </w:r>
      <w:r w:rsidRPr="00B170DF">
        <w:rPr>
          <w:szCs w:val="24"/>
        </w:rPr>
        <w:t>，远低于</w:t>
      </w:r>
      <w:r w:rsidRPr="00B170DF">
        <w:rPr>
          <w:szCs w:val="24"/>
        </w:rPr>
        <w:t>WHO</w:t>
      </w:r>
      <w:r w:rsidRPr="00B170DF">
        <w:rPr>
          <w:szCs w:val="24"/>
        </w:rPr>
        <w:t>提出的</w:t>
      </w:r>
      <w:r w:rsidRPr="00B170DF">
        <w:rPr>
          <w:szCs w:val="24"/>
        </w:rPr>
        <w:t>“2030</w:t>
      </w:r>
      <w:r w:rsidRPr="00B170DF">
        <w:rPr>
          <w:szCs w:val="24"/>
        </w:rPr>
        <w:t>年消除病毒性肝炎作为公共卫生危害</w:t>
      </w:r>
      <w:r w:rsidRPr="00B170DF">
        <w:rPr>
          <w:szCs w:val="24"/>
        </w:rPr>
        <w:t>”</w:t>
      </w:r>
      <w:r w:rsidRPr="00B170DF">
        <w:rPr>
          <w:szCs w:val="24"/>
        </w:rPr>
        <w:t>的目标，即</w:t>
      </w:r>
      <w:r w:rsidRPr="00B170DF">
        <w:rPr>
          <w:szCs w:val="24"/>
        </w:rPr>
        <w:t>CHB</w:t>
      </w:r>
      <w:r w:rsidRPr="00B170DF">
        <w:rPr>
          <w:szCs w:val="24"/>
        </w:rPr>
        <w:t>新发感染率减少</w:t>
      </w:r>
      <w:r w:rsidRPr="00B170DF">
        <w:rPr>
          <w:szCs w:val="24"/>
        </w:rPr>
        <w:t>90%</w:t>
      </w:r>
      <w:r w:rsidRPr="00B170DF">
        <w:rPr>
          <w:szCs w:val="24"/>
        </w:rPr>
        <w:t>、死亡率减少</w:t>
      </w:r>
      <w:r w:rsidRPr="00B170DF">
        <w:rPr>
          <w:szCs w:val="24"/>
        </w:rPr>
        <w:t>65%</w:t>
      </w:r>
      <w:r w:rsidRPr="00B170DF">
        <w:rPr>
          <w:szCs w:val="24"/>
        </w:rPr>
        <w:t>、诊断率达到</w:t>
      </w:r>
      <w:r w:rsidRPr="00B170DF">
        <w:rPr>
          <w:szCs w:val="24"/>
        </w:rPr>
        <w:t>90%</w:t>
      </w:r>
      <w:r w:rsidRPr="00B170DF">
        <w:rPr>
          <w:szCs w:val="24"/>
        </w:rPr>
        <w:t>和治疗率达到</w:t>
      </w:r>
      <w:r w:rsidRPr="00B170DF">
        <w:rPr>
          <w:szCs w:val="24"/>
        </w:rPr>
        <w:t>80%</w:t>
      </w:r>
      <w:r w:rsidRPr="00B170DF">
        <w:rPr>
          <w:rFonts w:hint="eastAsia"/>
          <w:szCs w:val="20"/>
        </w:rPr>
        <w:t>。</w:t>
      </w:r>
    </w:p>
    <w:p w14:paraId="626601CA" w14:textId="6BDA6FD9" w:rsidR="00826B7B" w:rsidRPr="00B170DF" w:rsidRDefault="003A0043" w:rsidP="00826B7B">
      <w:pPr>
        <w:spacing w:before="163" w:after="163"/>
        <w:ind w:firstLine="480"/>
        <w:jc w:val="left"/>
        <w:rPr>
          <w:szCs w:val="20"/>
        </w:rPr>
      </w:pPr>
      <w:r>
        <w:rPr>
          <w:rFonts w:hint="eastAsia"/>
          <w:szCs w:val="24"/>
        </w:rPr>
        <w:t>目前</w:t>
      </w:r>
      <w:r w:rsidR="00826B7B" w:rsidRPr="00B170DF">
        <w:rPr>
          <w:szCs w:val="24"/>
        </w:rPr>
        <w:t>我国</w:t>
      </w:r>
      <w:r>
        <w:rPr>
          <w:rFonts w:hint="eastAsia"/>
          <w:szCs w:val="24"/>
        </w:rPr>
        <w:t>乙肝</w:t>
      </w:r>
      <w:r w:rsidR="00826B7B" w:rsidRPr="00B170DF">
        <w:rPr>
          <w:szCs w:val="24"/>
        </w:rPr>
        <w:t>就诊率和治疗率偏低，由于</w:t>
      </w:r>
      <w:r w:rsidR="00826B7B" w:rsidRPr="00B170DF">
        <w:rPr>
          <w:szCs w:val="24"/>
        </w:rPr>
        <w:t>HBV</w:t>
      </w:r>
      <w:r w:rsidR="00826B7B" w:rsidRPr="00B170DF">
        <w:rPr>
          <w:szCs w:val="24"/>
        </w:rPr>
        <w:t>感染引起的原发性肝癌和肝硬化患者比例高达</w:t>
      </w:r>
      <w:r w:rsidR="00826B7B" w:rsidRPr="00B170DF">
        <w:rPr>
          <w:szCs w:val="24"/>
        </w:rPr>
        <w:t>80%</w:t>
      </w:r>
      <w:r w:rsidR="00826B7B" w:rsidRPr="00B170DF">
        <w:rPr>
          <w:szCs w:val="24"/>
        </w:rPr>
        <w:t>和</w:t>
      </w:r>
      <w:r w:rsidR="00826B7B" w:rsidRPr="00B170DF">
        <w:rPr>
          <w:szCs w:val="24"/>
        </w:rPr>
        <w:t>60%</w:t>
      </w:r>
      <w:r w:rsidR="00826B7B" w:rsidRPr="00B170DF">
        <w:rPr>
          <w:szCs w:val="24"/>
        </w:rPr>
        <w:t>，乙肝患者对于功能性治愈需求迫切，未来乙肝功能性治愈存在巨量需求</w:t>
      </w:r>
      <w:r w:rsidR="00826B7B" w:rsidRPr="00B170DF">
        <w:rPr>
          <w:rFonts w:hint="eastAsia"/>
          <w:szCs w:val="24"/>
        </w:rPr>
        <w:t>。</w:t>
      </w:r>
      <w:r w:rsidR="00826B7B" w:rsidRPr="00B170DF">
        <w:rPr>
          <w:rFonts w:hint="eastAsia"/>
          <w:szCs w:val="20"/>
        </w:rPr>
        <w:t>预计未来随着诊断率的进一步提升，核苷（酸）类药物渗透率的提高以及更多创新型乙型肝炎病毒药物的上市，乙肝药物市场有望开始大幅增长，</w:t>
      </w:r>
      <w:r w:rsidR="00826B7B" w:rsidRPr="00B170DF">
        <w:rPr>
          <w:szCs w:val="24"/>
        </w:rPr>
        <w:t>根据</w:t>
      </w:r>
      <w:proofErr w:type="spellStart"/>
      <w:r w:rsidR="00826B7B" w:rsidRPr="00B170DF">
        <w:rPr>
          <w:szCs w:val="24"/>
        </w:rPr>
        <w:t>Frost&amp;Sullivan</w:t>
      </w:r>
      <w:proofErr w:type="spellEnd"/>
      <w:r w:rsidR="00826B7B" w:rsidRPr="00B170DF">
        <w:rPr>
          <w:szCs w:val="24"/>
        </w:rPr>
        <w:t>统计数据显示，</w:t>
      </w:r>
      <w:r w:rsidR="00826B7B" w:rsidRPr="00B170DF">
        <w:rPr>
          <w:rFonts w:hint="eastAsia"/>
          <w:szCs w:val="20"/>
        </w:rPr>
        <w:t>预计到</w:t>
      </w:r>
      <w:r w:rsidR="00826B7B" w:rsidRPr="00B170DF">
        <w:rPr>
          <w:szCs w:val="20"/>
        </w:rPr>
        <w:t>2030</w:t>
      </w:r>
      <w:r w:rsidR="00826B7B" w:rsidRPr="00B170DF">
        <w:rPr>
          <w:rFonts w:hint="eastAsia"/>
          <w:szCs w:val="20"/>
        </w:rPr>
        <w:t>年，我国乙肝病毒药物市场规模将</w:t>
      </w:r>
      <w:r w:rsidR="00826B7B" w:rsidRPr="00B170DF">
        <w:rPr>
          <w:szCs w:val="24"/>
        </w:rPr>
        <w:t>突破</w:t>
      </w:r>
      <w:r w:rsidR="00826B7B" w:rsidRPr="00B170DF">
        <w:rPr>
          <w:szCs w:val="24"/>
        </w:rPr>
        <w:t>700</w:t>
      </w:r>
      <w:r w:rsidR="00826B7B" w:rsidRPr="00B170DF">
        <w:rPr>
          <w:szCs w:val="24"/>
        </w:rPr>
        <w:t>亿元</w:t>
      </w:r>
      <w:r w:rsidR="00826B7B" w:rsidRPr="00B170DF">
        <w:rPr>
          <w:rFonts w:hint="eastAsia"/>
          <w:szCs w:val="20"/>
        </w:rPr>
        <w:t>。</w:t>
      </w:r>
    </w:p>
    <w:p w14:paraId="7E5F9073" w14:textId="77777777" w:rsidR="00826B7B" w:rsidRPr="00B170DF" w:rsidRDefault="00826B7B" w:rsidP="00826B7B">
      <w:pPr>
        <w:adjustRightInd w:val="0"/>
        <w:spacing w:before="163" w:afterLines="0" w:after="160"/>
        <w:ind w:firstLine="480"/>
        <w:rPr>
          <w:szCs w:val="20"/>
        </w:rPr>
      </w:pPr>
      <w:r w:rsidRPr="00B170DF">
        <w:rPr>
          <w:rFonts w:hint="eastAsia"/>
          <w:szCs w:val="20"/>
        </w:rPr>
        <w:t>因此，乙肝治愈药物将为众多需要长期服药的慢性乙肝患者提供持续优化的解决方案，具有广阔的市场空间和市场需求。</w:t>
      </w:r>
    </w:p>
    <w:p w14:paraId="33358576" w14:textId="77777777" w:rsidR="00826B7B" w:rsidRPr="00B170DF" w:rsidRDefault="00826B7B" w:rsidP="00826B7B">
      <w:pPr>
        <w:adjustRightInd w:val="0"/>
        <w:spacing w:before="163" w:afterLines="0" w:after="160"/>
        <w:ind w:firstLine="482"/>
        <w:rPr>
          <w:b/>
          <w:bCs/>
          <w:szCs w:val="20"/>
        </w:rPr>
      </w:pPr>
      <w:r w:rsidRPr="00B170DF">
        <w:rPr>
          <w:rFonts w:hint="eastAsia"/>
          <w:b/>
          <w:bCs/>
          <w:szCs w:val="20"/>
        </w:rPr>
        <w:t>4</w:t>
      </w:r>
      <w:r w:rsidRPr="00B170DF">
        <w:rPr>
          <w:rFonts w:hint="eastAsia"/>
          <w:b/>
          <w:bCs/>
          <w:szCs w:val="20"/>
        </w:rPr>
        <w:t>、</w:t>
      </w:r>
      <w:r w:rsidRPr="00B170DF">
        <w:rPr>
          <w:b/>
          <w:bCs/>
          <w:szCs w:val="24"/>
        </w:rPr>
        <w:t>中医药产业进入红利窗口期</w:t>
      </w:r>
    </w:p>
    <w:p w14:paraId="274DD91C" w14:textId="77777777" w:rsidR="00826B7B" w:rsidRPr="00B170DF" w:rsidRDefault="00826B7B" w:rsidP="006D58B9">
      <w:pPr>
        <w:spacing w:before="163" w:after="163"/>
        <w:ind w:firstLine="480"/>
        <w:jc w:val="left"/>
        <w:rPr>
          <w:szCs w:val="24"/>
        </w:rPr>
      </w:pPr>
      <w:r w:rsidRPr="00B170DF">
        <w:rPr>
          <w:szCs w:val="24"/>
        </w:rPr>
        <w:t>我国老龄化社会来临，疾病防治需求提升。国家统计局数据显示，</w:t>
      </w:r>
      <w:r w:rsidRPr="00B170DF">
        <w:rPr>
          <w:szCs w:val="24"/>
        </w:rPr>
        <w:t>2022</w:t>
      </w:r>
      <w:r w:rsidRPr="00B170DF">
        <w:rPr>
          <w:szCs w:val="24"/>
        </w:rPr>
        <w:t>年底中国</w:t>
      </w:r>
      <w:r w:rsidRPr="00B170DF">
        <w:rPr>
          <w:szCs w:val="24"/>
        </w:rPr>
        <w:t>65</w:t>
      </w:r>
      <w:r w:rsidRPr="00B170DF">
        <w:rPr>
          <w:szCs w:val="24"/>
        </w:rPr>
        <w:t>岁以上老年人口达到</w:t>
      </w:r>
      <w:r w:rsidRPr="00B170DF">
        <w:rPr>
          <w:szCs w:val="24"/>
        </w:rPr>
        <w:t>2.1</w:t>
      </w:r>
      <w:r w:rsidRPr="00B170DF">
        <w:rPr>
          <w:szCs w:val="24"/>
        </w:rPr>
        <w:t>亿人，老年人口占全国人口的比例亦提升到</w:t>
      </w:r>
      <w:r w:rsidRPr="00B170DF">
        <w:rPr>
          <w:szCs w:val="24"/>
        </w:rPr>
        <w:t>14.2%</w:t>
      </w:r>
      <w:r w:rsidRPr="00B170DF">
        <w:rPr>
          <w:szCs w:val="24"/>
        </w:rPr>
        <w:t>，</w:t>
      </w:r>
      <w:r w:rsidR="008E518B" w:rsidRPr="00B170DF">
        <w:rPr>
          <w:rFonts w:hint="eastAsia"/>
          <w:szCs w:val="24"/>
        </w:rPr>
        <w:t>2024</w:t>
      </w:r>
      <w:r w:rsidR="008E518B" w:rsidRPr="00B170DF">
        <w:rPr>
          <w:rFonts w:hint="eastAsia"/>
          <w:szCs w:val="24"/>
        </w:rPr>
        <w:t>年末进一步升高达到</w:t>
      </w:r>
      <w:r w:rsidR="008E518B" w:rsidRPr="00B170DF">
        <w:rPr>
          <w:rFonts w:hint="eastAsia"/>
          <w:szCs w:val="24"/>
        </w:rPr>
        <w:t>15.6%</w:t>
      </w:r>
      <w:r w:rsidR="008E518B" w:rsidRPr="00B170DF">
        <w:rPr>
          <w:rFonts w:hint="eastAsia"/>
          <w:szCs w:val="24"/>
        </w:rPr>
        <w:t>，</w:t>
      </w:r>
      <w:r w:rsidRPr="00B170DF">
        <w:rPr>
          <w:szCs w:val="24"/>
        </w:rPr>
        <w:t>标志着我国跨入中度老龄化社会，疾病预防、治疗与康复需求进一步提升</w:t>
      </w:r>
      <w:r w:rsidR="006D58B9" w:rsidRPr="00B170DF">
        <w:rPr>
          <w:rFonts w:hint="eastAsia"/>
          <w:szCs w:val="24"/>
        </w:rPr>
        <w:t>。中药在“治未病”以及调理身心、养生保健方面具有独特的优势，</w:t>
      </w:r>
      <w:r w:rsidR="006D58B9" w:rsidRPr="00B170DF">
        <w:rPr>
          <w:szCs w:val="24"/>
        </w:rPr>
        <w:t>中医药提前介入下有望延缓或阻断疾病发展，</w:t>
      </w:r>
      <w:r w:rsidR="006D58B9" w:rsidRPr="00B170DF">
        <w:rPr>
          <w:rFonts w:hint="eastAsia"/>
          <w:szCs w:val="24"/>
        </w:rPr>
        <w:t>进而降低疾病发生率，而减少就医频次，有助于实现</w:t>
      </w:r>
      <w:proofErr w:type="gramStart"/>
      <w:r w:rsidR="006D58B9" w:rsidRPr="00B170DF">
        <w:rPr>
          <w:rFonts w:hint="eastAsia"/>
          <w:szCs w:val="24"/>
        </w:rPr>
        <w:t>医保控费</w:t>
      </w:r>
      <w:proofErr w:type="gramEnd"/>
      <w:r w:rsidR="006D58B9" w:rsidRPr="00B170DF">
        <w:rPr>
          <w:rFonts w:hint="eastAsia"/>
          <w:szCs w:val="24"/>
        </w:rPr>
        <w:t>的目标，</w:t>
      </w:r>
      <w:r w:rsidR="00DE292A" w:rsidRPr="00B170DF">
        <w:rPr>
          <w:rFonts w:hint="eastAsia"/>
          <w:szCs w:val="24"/>
        </w:rPr>
        <w:t>中药养生</w:t>
      </w:r>
      <w:r w:rsidR="00DE292A" w:rsidRPr="00B170DF">
        <w:rPr>
          <w:rFonts w:hint="eastAsia"/>
          <w:szCs w:val="24"/>
        </w:rPr>
        <w:lastRenderedPageBreak/>
        <w:t>也符合大消费概念，</w:t>
      </w:r>
      <w:r w:rsidR="006D58B9" w:rsidRPr="00B170DF">
        <w:rPr>
          <w:rFonts w:hint="eastAsia"/>
          <w:szCs w:val="24"/>
        </w:rPr>
        <w:t>所以政府鼓励中药产业发展。受药品集中采购和</w:t>
      </w:r>
      <w:proofErr w:type="gramStart"/>
      <w:r w:rsidR="006D58B9" w:rsidRPr="00B170DF">
        <w:rPr>
          <w:rFonts w:hint="eastAsia"/>
          <w:szCs w:val="24"/>
        </w:rPr>
        <w:t>医保控费</w:t>
      </w:r>
      <w:proofErr w:type="gramEnd"/>
      <w:r w:rsidR="006D58B9" w:rsidRPr="00B170DF">
        <w:rPr>
          <w:rFonts w:hint="eastAsia"/>
          <w:szCs w:val="24"/>
        </w:rPr>
        <w:t>影响，</w:t>
      </w:r>
      <w:proofErr w:type="gramStart"/>
      <w:r w:rsidR="006D58B9" w:rsidRPr="00B170DF">
        <w:rPr>
          <w:rFonts w:hint="eastAsia"/>
          <w:szCs w:val="24"/>
        </w:rPr>
        <w:t>药企上市</w:t>
      </w:r>
      <w:proofErr w:type="gramEnd"/>
      <w:r w:rsidR="006D58B9" w:rsidRPr="00B170DF">
        <w:rPr>
          <w:rFonts w:hint="eastAsia"/>
          <w:szCs w:val="24"/>
        </w:rPr>
        <w:t>公司也在向创新药和大健康、大消费转型</w:t>
      </w:r>
      <w:r w:rsidR="00DE292A" w:rsidRPr="00B170DF">
        <w:rPr>
          <w:rFonts w:hint="eastAsia"/>
          <w:szCs w:val="24"/>
        </w:rPr>
        <w:t>，</w:t>
      </w:r>
      <w:r w:rsidRPr="00B170DF">
        <w:rPr>
          <w:szCs w:val="24"/>
        </w:rPr>
        <w:t>中医药产业进入红利窗口期。</w:t>
      </w:r>
    </w:p>
    <w:p w14:paraId="708EC775" w14:textId="77777777" w:rsidR="00826B7B" w:rsidRPr="00B170DF" w:rsidRDefault="00826B7B" w:rsidP="00826B7B">
      <w:pPr>
        <w:spacing w:before="163" w:after="163"/>
        <w:ind w:firstLine="480"/>
        <w:jc w:val="left"/>
        <w:rPr>
          <w:szCs w:val="20"/>
        </w:rPr>
      </w:pPr>
      <w:r w:rsidRPr="00B170DF">
        <w:rPr>
          <w:szCs w:val="24"/>
        </w:rPr>
        <w:t>政策推动中医药产业高质量发展</w:t>
      </w:r>
      <w:r w:rsidRPr="00B170DF">
        <w:rPr>
          <w:rFonts w:hint="eastAsia"/>
          <w:szCs w:val="24"/>
        </w:rPr>
        <w:t>。</w:t>
      </w:r>
      <w:r w:rsidRPr="00B170DF">
        <w:rPr>
          <w:szCs w:val="24"/>
        </w:rPr>
        <w:t>2016</w:t>
      </w:r>
      <w:r w:rsidRPr="00B170DF">
        <w:rPr>
          <w:szCs w:val="24"/>
        </w:rPr>
        <w:t>年至今，中医药政策不断出台，推进中医药现代化，助力产业升级，在</w:t>
      </w:r>
      <w:proofErr w:type="gramStart"/>
      <w:r w:rsidRPr="00B170DF">
        <w:rPr>
          <w:szCs w:val="24"/>
        </w:rPr>
        <w:t>审评审批</w:t>
      </w:r>
      <w:proofErr w:type="gramEnd"/>
      <w:r w:rsidRPr="00B170DF">
        <w:rPr>
          <w:szCs w:val="24"/>
        </w:rPr>
        <w:t>端、</w:t>
      </w:r>
      <w:proofErr w:type="gramStart"/>
      <w:r w:rsidRPr="00B170DF">
        <w:rPr>
          <w:szCs w:val="24"/>
        </w:rPr>
        <w:t>医</w:t>
      </w:r>
      <w:proofErr w:type="gramEnd"/>
      <w:r w:rsidRPr="00B170DF">
        <w:rPr>
          <w:szCs w:val="24"/>
        </w:rPr>
        <w:t>保支付端上给予更多的利好，并明确中医药的发展定位：在治未病中</w:t>
      </w:r>
      <w:proofErr w:type="gramStart"/>
      <w:r w:rsidRPr="00B170DF">
        <w:rPr>
          <w:szCs w:val="24"/>
        </w:rPr>
        <w:t>作主</w:t>
      </w:r>
      <w:proofErr w:type="gramEnd"/>
      <w:r w:rsidRPr="00B170DF">
        <w:rPr>
          <w:szCs w:val="24"/>
        </w:rPr>
        <w:t>导作用、在重大疾病治疗起协同作用、在疾病康复中发挥核心作用。《</w:t>
      </w:r>
      <w:r w:rsidRPr="00B170DF">
        <w:rPr>
          <w:szCs w:val="24"/>
        </w:rPr>
        <w:t>“</w:t>
      </w:r>
      <w:r w:rsidRPr="00B170DF">
        <w:rPr>
          <w:szCs w:val="24"/>
        </w:rPr>
        <w:t>十四五</w:t>
      </w:r>
      <w:r w:rsidRPr="00B170DF">
        <w:rPr>
          <w:szCs w:val="24"/>
        </w:rPr>
        <w:t>”</w:t>
      </w:r>
      <w:r w:rsidRPr="00B170DF">
        <w:rPr>
          <w:szCs w:val="24"/>
        </w:rPr>
        <w:t>中医药发展规划》提出持续提升中医药健康服务能力，明确中医药在预防、治疗与康复中的特色优势领域，其多对应现代高发疾病，未来更多中医优势病种临床路径与诊疗方案公布后，中医需求或将扩大，行业有望加速发展。</w:t>
      </w:r>
    </w:p>
    <w:p w14:paraId="3086CDDD" w14:textId="77777777" w:rsidR="009708BF" w:rsidRPr="00B170DF" w:rsidRDefault="009708BF" w:rsidP="00886BF0">
      <w:pPr>
        <w:pStyle w:val="003"/>
        <w:spacing w:before="163" w:after="163"/>
        <w:ind w:firstLine="482"/>
        <w:rPr>
          <w:color w:val="000000"/>
        </w:rPr>
      </w:pPr>
      <w:bookmarkStart w:id="26" w:name="_Toc5990356"/>
      <w:bookmarkStart w:id="27" w:name="_Toc98774493"/>
      <w:r w:rsidRPr="00B170DF">
        <w:rPr>
          <w:color w:val="000000"/>
        </w:rPr>
        <w:t>（二）</w:t>
      </w:r>
      <w:bookmarkEnd w:id="26"/>
      <w:bookmarkEnd w:id="27"/>
      <w:r w:rsidR="00826B7B" w:rsidRPr="00B170DF">
        <w:rPr>
          <w:rFonts w:hint="eastAsia"/>
          <w:color w:val="000000"/>
        </w:rPr>
        <w:t>本次发行的目的</w:t>
      </w:r>
    </w:p>
    <w:p w14:paraId="3E946297" w14:textId="77777777" w:rsidR="00826B7B" w:rsidRPr="00B170DF" w:rsidRDefault="00826B7B" w:rsidP="00826B7B">
      <w:pPr>
        <w:spacing w:before="163" w:afterLines="0" w:after="160"/>
        <w:ind w:firstLine="482"/>
        <w:rPr>
          <w:b/>
          <w:szCs w:val="20"/>
        </w:rPr>
      </w:pPr>
      <w:bookmarkStart w:id="28" w:name="_Toc5990357"/>
      <w:bookmarkStart w:id="29" w:name="_Toc98774494"/>
      <w:bookmarkStart w:id="30" w:name="_Toc96614717"/>
      <w:bookmarkStart w:id="31" w:name="_Toc32057"/>
      <w:bookmarkStart w:id="32" w:name="_Toc96264879"/>
      <w:bookmarkStart w:id="33" w:name="_Toc17118"/>
      <w:bookmarkStart w:id="34" w:name="_Toc2637"/>
      <w:r w:rsidRPr="00B170DF">
        <w:rPr>
          <w:b/>
          <w:szCs w:val="20"/>
        </w:rPr>
        <w:t>1</w:t>
      </w:r>
      <w:r w:rsidRPr="00B170DF">
        <w:rPr>
          <w:rFonts w:hint="eastAsia"/>
          <w:b/>
          <w:szCs w:val="20"/>
        </w:rPr>
        <w:t>、加快推进公司新药研发进程，增强公司研发创新能力与盈利能力</w:t>
      </w:r>
    </w:p>
    <w:p w14:paraId="5D970362" w14:textId="77777777" w:rsidR="00826B7B" w:rsidRPr="00B170DF" w:rsidRDefault="00826B7B" w:rsidP="00826B7B">
      <w:pPr>
        <w:spacing w:before="163" w:afterLines="0" w:after="160"/>
        <w:ind w:firstLine="480"/>
      </w:pPr>
      <w:r w:rsidRPr="00B170DF">
        <w:rPr>
          <w:rFonts w:hint="eastAsia"/>
        </w:rPr>
        <w:t>在医药企业持续增强研发的行业大趋势下，为增强公司研发创新能力，强化核心竞争力，进一步丰富公司的产品布局，公司基于自身主营业务领域，持续推进创新药研发。截至本</w:t>
      </w:r>
      <w:r w:rsidR="00983937" w:rsidRPr="00B170DF">
        <w:rPr>
          <w:rFonts w:hint="eastAsia"/>
        </w:rPr>
        <w:t>预案公告</w:t>
      </w:r>
      <w:r w:rsidRPr="00B170DF">
        <w:rPr>
          <w:rFonts w:hint="eastAsia"/>
        </w:rPr>
        <w:t>之日，</w:t>
      </w:r>
      <w:r w:rsidR="00DA029E" w:rsidRPr="00B170DF">
        <w:rPr>
          <w:rFonts w:hint="eastAsia"/>
        </w:rPr>
        <w:t>公司已有一款国家一类创新</w:t>
      </w:r>
      <w:proofErr w:type="gramStart"/>
      <w:r w:rsidR="00DA029E" w:rsidRPr="00B170DF">
        <w:rPr>
          <w:rFonts w:hint="eastAsia"/>
        </w:rPr>
        <w:t>药成功</w:t>
      </w:r>
      <w:proofErr w:type="gramEnd"/>
      <w:r w:rsidR="00DA029E" w:rsidRPr="00B170DF">
        <w:rPr>
          <w:rFonts w:hint="eastAsia"/>
        </w:rPr>
        <w:t>注册上市，另有五款</w:t>
      </w:r>
      <w:r w:rsidRPr="00B170DF">
        <w:rPr>
          <w:rFonts w:hint="eastAsia"/>
        </w:rPr>
        <w:t>处于临床试验阶段的在</w:t>
      </w:r>
      <w:proofErr w:type="gramStart"/>
      <w:r w:rsidRPr="00B170DF">
        <w:rPr>
          <w:rFonts w:hint="eastAsia"/>
        </w:rPr>
        <w:t>研</w:t>
      </w:r>
      <w:proofErr w:type="gramEnd"/>
      <w:r w:rsidRPr="00B170DF">
        <w:rPr>
          <w:rFonts w:hint="eastAsia"/>
        </w:rPr>
        <w:t>创新药物，部分药物目前已取得了良好的试验结果。通过本次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有助于进一步扩充公司的资金来源，加快上述创新药研发进程，扩充公司新产品管线，为公司创造新的利润增长点，增强公司抵御市场风险的能力。同时，本项目成功实施后，有利于增强公司的研发创新能力，提升公司在创新</w:t>
      </w:r>
      <w:proofErr w:type="gramStart"/>
      <w:r w:rsidRPr="00B170DF">
        <w:rPr>
          <w:rFonts w:hint="eastAsia"/>
        </w:rPr>
        <w:t>药领域</w:t>
      </w:r>
      <w:proofErr w:type="gramEnd"/>
      <w:r w:rsidRPr="00B170DF">
        <w:rPr>
          <w:rFonts w:hint="eastAsia"/>
        </w:rPr>
        <w:t>的整体实力和市场布局。公司通过收购中药传统名方并建设配套生产线，通过优质工艺、高品质道地药材提升产品品质，以实现更高的附加值，适应国内快速增长的大健康消费升级需求。因此，实施中药传统名方产业化项目，有利于增强公司未来盈利能力，符合公司利益及发展战略。</w:t>
      </w:r>
    </w:p>
    <w:p w14:paraId="0569C037" w14:textId="77777777" w:rsidR="00826B7B" w:rsidRPr="00B170DF" w:rsidRDefault="00826B7B" w:rsidP="00826B7B">
      <w:pPr>
        <w:spacing w:before="163" w:after="163"/>
        <w:ind w:firstLine="482"/>
        <w:rPr>
          <w:szCs w:val="20"/>
        </w:rPr>
      </w:pPr>
      <w:r w:rsidRPr="00B170DF">
        <w:rPr>
          <w:rFonts w:hint="eastAsia"/>
          <w:b/>
          <w:szCs w:val="20"/>
        </w:rPr>
        <w:t>2</w:t>
      </w:r>
      <w:r w:rsidRPr="00B170DF">
        <w:rPr>
          <w:rFonts w:hint="eastAsia"/>
          <w:b/>
          <w:szCs w:val="20"/>
        </w:rPr>
        <w:t>、优化财务结构，保障公司的持续、稳定、健康发展</w:t>
      </w:r>
    </w:p>
    <w:p w14:paraId="44FFA9E3" w14:textId="77777777" w:rsidR="00826B7B" w:rsidRPr="00B170DF" w:rsidRDefault="00826B7B" w:rsidP="00826B7B">
      <w:pPr>
        <w:spacing w:before="163" w:afterLines="0" w:after="160"/>
        <w:ind w:firstLine="480"/>
      </w:pP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募集资金到位后，公司的资产总额和资产净</w:t>
      </w:r>
      <w:r w:rsidRPr="00B170DF">
        <w:rPr>
          <w:rFonts w:hint="eastAsia"/>
        </w:rPr>
        <w:lastRenderedPageBreak/>
        <w:t>额均将有较大幅度的提高，资产结构将更加稳健，有利于降低财务风险，提高偿债能力、后续融资能力，保障公司的持续、稳定、健康发展。公司整体资本实力的提高，也有利于公司在未来充满变化的市场竞争环境中提升抗风险能力，为核心业务增长与业务战略布局提供长期资金支持，从而提升公司的核心竞争能力和持续盈利能力。</w:t>
      </w:r>
    </w:p>
    <w:p w14:paraId="1F25543D" w14:textId="77777777" w:rsidR="00CE441C" w:rsidRPr="00B170DF" w:rsidRDefault="00CE441C" w:rsidP="009753B6">
      <w:pPr>
        <w:keepNext/>
        <w:keepLines/>
        <w:widowControl/>
        <w:spacing w:before="163" w:after="163"/>
        <w:ind w:firstLineChars="0" w:firstLine="0"/>
        <w:outlineLvl w:val="1"/>
        <w:rPr>
          <w:rFonts w:eastAsia="黑体"/>
          <w:b/>
          <w:bCs/>
          <w:color w:val="000000"/>
          <w:sz w:val="28"/>
          <w:szCs w:val="28"/>
        </w:rPr>
      </w:pPr>
      <w:bookmarkStart w:id="35" w:name="_Toc105421120"/>
      <w:bookmarkStart w:id="36" w:name="_Toc153791416"/>
      <w:bookmarkStart w:id="37" w:name="_Toc194169714"/>
      <w:bookmarkStart w:id="38" w:name="_Toc98774519"/>
      <w:bookmarkEnd w:id="28"/>
      <w:bookmarkEnd w:id="29"/>
      <w:bookmarkEnd w:id="30"/>
      <w:bookmarkEnd w:id="31"/>
      <w:bookmarkEnd w:id="32"/>
      <w:bookmarkEnd w:id="33"/>
      <w:bookmarkEnd w:id="34"/>
      <w:r w:rsidRPr="00B170DF">
        <w:rPr>
          <w:rFonts w:eastAsia="黑体" w:hint="eastAsia"/>
          <w:b/>
          <w:bCs/>
          <w:color w:val="000000"/>
          <w:sz w:val="28"/>
          <w:szCs w:val="28"/>
        </w:rPr>
        <w:t>三、</w:t>
      </w:r>
      <w:bookmarkEnd w:id="35"/>
      <w:bookmarkEnd w:id="36"/>
      <w:r w:rsidR="00826B7B" w:rsidRPr="00B170DF">
        <w:rPr>
          <w:rFonts w:eastAsia="黑体" w:hint="eastAsia"/>
          <w:b/>
          <w:bCs/>
          <w:color w:val="000000"/>
          <w:sz w:val="28"/>
          <w:szCs w:val="28"/>
        </w:rPr>
        <w:t>发行对象及其与公司的关系</w:t>
      </w:r>
      <w:bookmarkEnd w:id="37"/>
    </w:p>
    <w:p w14:paraId="761D7BC7" w14:textId="77777777" w:rsidR="00826B7B" w:rsidRPr="00B170DF" w:rsidRDefault="00826B7B" w:rsidP="00826B7B">
      <w:pPr>
        <w:spacing w:before="163" w:after="163"/>
        <w:ind w:firstLine="480"/>
      </w:pPr>
      <w:bookmarkStart w:id="39" w:name="_Toc153791417"/>
      <w:r w:rsidRPr="00B170DF">
        <w:rPr>
          <w:rFonts w:hint="eastAsia"/>
        </w:rPr>
        <w:t>本次向特定对象发行</w:t>
      </w:r>
      <w:r w:rsidRPr="00B170DF">
        <w:rPr>
          <w:rFonts w:hint="eastAsia"/>
        </w:rPr>
        <w:t>A</w:t>
      </w:r>
      <w:r w:rsidRPr="00B170DF">
        <w:rPr>
          <w:rFonts w:hint="eastAsia"/>
        </w:rPr>
        <w:t>股股票的发行对象为不超过</w:t>
      </w:r>
      <w:r w:rsidRPr="00B170DF">
        <w:rPr>
          <w:rFonts w:hint="eastAsia"/>
        </w:rPr>
        <w:t>35</w:t>
      </w:r>
      <w:r w:rsidRPr="00B170DF">
        <w:rPr>
          <w:rFonts w:hint="eastAsia"/>
        </w:rPr>
        <w:t>名（含</w:t>
      </w:r>
      <w:r w:rsidRPr="00B170DF">
        <w:rPr>
          <w:rFonts w:hint="eastAsia"/>
        </w:rPr>
        <w:t>35</w:t>
      </w:r>
      <w:r w:rsidRPr="00B170DF">
        <w:rPr>
          <w:rFonts w:hint="eastAsia"/>
        </w:rPr>
        <w:t>名）的特定投资者，包括符合中国证监会规定的证券投资基金管理公司、证券公司、信托公司、财务公司、保险机构投资者、合格境外机构投资者、人民币合格境外机构投资者，以及符合中国证监会规定的其他法人、自然人或其他合格的投资者等。其中，证券投资基金管理公司、证券公司、合格境外机构投资者、人民币合格境外机构投资者以其管理的</w:t>
      </w:r>
      <w:r w:rsidRPr="00B170DF">
        <w:rPr>
          <w:rFonts w:hint="eastAsia"/>
        </w:rPr>
        <w:t>2</w:t>
      </w:r>
      <w:r w:rsidRPr="00B170DF">
        <w:rPr>
          <w:rFonts w:hint="eastAsia"/>
        </w:rPr>
        <w:t>只以上产品认购的，视为一个发行对象。信托公司作为发行对象的，只能以自有资金认购。所有发行对象均以现金方式认购本次向特定对象发行的股票。</w:t>
      </w:r>
    </w:p>
    <w:p w14:paraId="64227667" w14:textId="77777777" w:rsidR="00826B7B" w:rsidRPr="00B170DF" w:rsidRDefault="00826B7B" w:rsidP="00826B7B">
      <w:pPr>
        <w:spacing w:before="163" w:after="163"/>
        <w:ind w:firstLine="480"/>
      </w:pPr>
      <w:r w:rsidRPr="00B170DF">
        <w:rPr>
          <w:rFonts w:hint="eastAsia"/>
        </w:rPr>
        <w:t>本次发行对象尚未确定，最终发行对象在公司取得中国证监会关于本次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同意注册的决定后，由董事会在股东大会的授权范围内，按照相关法律、行政法规、部门规章及规范性文件的规定，根据竞价结果与本次发行的保荐机构（主承销商）协商确定。若国家法律、法规对</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的发行对象有新的规定，公司将按新的规定进行调整。</w:t>
      </w:r>
    </w:p>
    <w:p w14:paraId="19254A07" w14:textId="77777777" w:rsidR="00826B7B" w:rsidRPr="00B170DF" w:rsidRDefault="00826B7B" w:rsidP="00826B7B">
      <w:pPr>
        <w:spacing w:before="163" w:after="163"/>
        <w:ind w:firstLine="480"/>
      </w:pPr>
      <w:r w:rsidRPr="00B170DF">
        <w:rPr>
          <w:rFonts w:hint="eastAsia"/>
        </w:rPr>
        <w:t>目前本次发行尚无确定的发行对象，因而无法确定发行对象与公司的关系。发行对象与公司之间的关系将在发行结束后公告的《发行情况报告书》中予以披露。</w:t>
      </w:r>
    </w:p>
    <w:p w14:paraId="4695A4A4" w14:textId="77777777" w:rsidR="009708BF" w:rsidRPr="00B170DF" w:rsidRDefault="00826B7B" w:rsidP="009753B6">
      <w:pPr>
        <w:keepNext/>
        <w:keepLines/>
        <w:widowControl/>
        <w:spacing w:before="163" w:after="163"/>
        <w:ind w:firstLineChars="0" w:firstLine="0"/>
        <w:outlineLvl w:val="1"/>
        <w:rPr>
          <w:rFonts w:eastAsia="黑体"/>
          <w:b/>
          <w:bCs/>
          <w:color w:val="000000"/>
          <w:sz w:val="28"/>
          <w:szCs w:val="28"/>
        </w:rPr>
      </w:pPr>
      <w:bookmarkStart w:id="40" w:name="_Toc194169715"/>
      <w:bookmarkEnd w:id="38"/>
      <w:bookmarkEnd w:id="39"/>
      <w:r w:rsidRPr="00B170DF">
        <w:rPr>
          <w:rFonts w:eastAsia="黑体" w:hint="eastAsia"/>
          <w:b/>
          <w:bCs/>
          <w:color w:val="000000"/>
          <w:sz w:val="28"/>
          <w:szCs w:val="28"/>
        </w:rPr>
        <w:t>四、本次</w:t>
      </w:r>
      <w:r w:rsidR="005B7FDD" w:rsidRPr="00B170DF">
        <w:rPr>
          <w:rFonts w:eastAsia="黑体" w:hint="eastAsia"/>
          <w:b/>
          <w:bCs/>
          <w:color w:val="000000"/>
          <w:sz w:val="28"/>
          <w:szCs w:val="28"/>
        </w:rPr>
        <w:t>向特定对象发行</w:t>
      </w:r>
      <w:r w:rsidR="005B7FDD" w:rsidRPr="00B170DF">
        <w:rPr>
          <w:rFonts w:eastAsia="黑体" w:hint="eastAsia"/>
          <w:b/>
          <w:bCs/>
          <w:color w:val="000000"/>
          <w:sz w:val="28"/>
          <w:szCs w:val="28"/>
        </w:rPr>
        <w:t>A</w:t>
      </w:r>
      <w:r w:rsidR="005B7FDD" w:rsidRPr="00B170DF">
        <w:rPr>
          <w:rFonts w:eastAsia="黑体" w:hint="eastAsia"/>
          <w:b/>
          <w:bCs/>
          <w:color w:val="000000"/>
          <w:sz w:val="28"/>
          <w:szCs w:val="28"/>
        </w:rPr>
        <w:t>股股票</w:t>
      </w:r>
      <w:r w:rsidRPr="00B170DF">
        <w:rPr>
          <w:rFonts w:eastAsia="黑体" w:hint="eastAsia"/>
          <w:b/>
          <w:bCs/>
          <w:color w:val="000000"/>
          <w:sz w:val="28"/>
          <w:szCs w:val="28"/>
        </w:rPr>
        <w:t>方案概要</w:t>
      </w:r>
      <w:bookmarkEnd w:id="40"/>
    </w:p>
    <w:p w14:paraId="75DA06F5" w14:textId="77777777" w:rsidR="00826B7B" w:rsidRPr="00B170DF" w:rsidRDefault="00826B7B" w:rsidP="00826B7B">
      <w:pPr>
        <w:keepNext/>
        <w:keepLines/>
        <w:widowControl/>
        <w:spacing w:before="163" w:after="163"/>
        <w:ind w:firstLine="482"/>
        <w:jc w:val="left"/>
        <w:outlineLvl w:val="2"/>
        <w:rPr>
          <w:rFonts w:eastAsia="黑体"/>
          <w:b/>
          <w:bCs/>
          <w:szCs w:val="28"/>
        </w:rPr>
      </w:pPr>
      <w:bookmarkStart w:id="41" w:name="_Toc153791418"/>
      <w:r w:rsidRPr="00B170DF">
        <w:rPr>
          <w:rFonts w:eastAsia="黑体" w:hint="eastAsia"/>
          <w:b/>
          <w:bCs/>
          <w:szCs w:val="28"/>
        </w:rPr>
        <w:t>（一）</w:t>
      </w:r>
      <w:r w:rsidRPr="00B170DF">
        <w:rPr>
          <w:rFonts w:eastAsia="黑体"/>
          <w:b/>
          <w:bCs/>
          <w:szCs w:val="28"/>
        </w:rPr>
        <w:t>发行股票的种类和面值</w:t>
      </w:r>
    </w:p>
    <w:p w14:paraId="4849EDF9" w14:textId="77777777" w:rsidR="00826B7B" w:rsidRPr="00B170DF" w:rsidRDefault="00826B7B" w:rsidP="00826B7B">
      <w:pPr>
        <w:autoSpaceDE w:val="0"/>
        <w:autoSpaceDN w:val="0"/>
        <w:adjustRightInd w:val="0"/>
        <w:spacing w:before="163" w:afterLines="0" w:after="0"/>
        <w:ind w:firstLine="480"/>
        <w:rPr>
          <w:rFonts w:cs="宋体"/>
          <w:kern w:val="0"/>
          <w:lang w:val="zh-CN" w:bidi="zh-CN"/>
        </w:rPr>
      </w:pPr>
      <w:r w:rsidRPr="00B170DF">
        <w:rPr>
          <w:rFonts w:cs="宋体"/>
          <w:kern w:val="0"/>
          <w:lang w:val="zh-CN" w:bidi="zh-CN"/>
        </w:rPr>
        <w:t>本次</w:t>
      </w:r>
      <w:r w:rsidR="005B7FDD" w:rsidRPr="00B170DF">
        <w:rPr>
          <w:rFonts w:cs="宋体"/>
          <w:kern w:val="0"/>
          <w:lang w:val="zh-CN" w:bidi="zh-CN"/>
        </w:rPr>
        <w:t>向特定对象发行</w:t>
      </w:r>
      <w:r w:rsidR="005B7FDD" w:rsidRPr="00B170DF">
        <w:rPr>
          <w:rFonts w:cs="宋体"/>
          <w:kern w:val="0"/>
          <w:lang w:val="zh-CN" w:bidi="zh-CN"/>
        </w:rPr>
        <w:t>A</w:t>
      </w:r>
      <w:r w:rsidR="005B7FDD" w:rsidRPr="00B170DF">
        <w:rPr>
          <w:rFonts w:cs="宋体"/>
          <w:kern w:val="0"/>
          <w:lang w:val="zh-CN" w:bidi="zh-CN"/>
        </w:rPr>
        <w:t>股股票</w:t>
      </w:r>
      <w:r w:rsidRPr="00B170DF">
        <w:rPr>
          <w:rFonts w:cs="宋体"/>
          <w:kern w:val="0"/>
          <w:lang w:val="zh-CN" w:bidi="zh-CN"/>
        </w:rPr>
        <w:t>的股票种类为境内上市人民币普通股（</w:t>
      </w:r>
      <w:r w:rsidRPr="00B170DF">
        <w:rPr>
          <w:kern w:val="0"/>
          <w:lang w:val="zh-CN" w:bidi="zh-CN"/>
        </w:rPr>
        <w:t>A</w:t>
      </w:r>
      <w:r w:rsidRPr="00B170DF">
        <w:rPr>
          <w:rFonts w:cs="宋体"/>
          <w:kern w:val="0"/>
          <w:lang w:val="zh-CN" w:bidi="zh-CN"/>
        </w:rPr>
        <w:t>股），</w:t>
      </w:r>
      <w:r w:rsidRPr="00B170DF">
        <w:rPr>
          <w:rFonts w:cs="宋体"/>
          <w:kern w:val="0"/>
          <w:lang w:val="zh-CN" w:bidi="zh-CN"/>
        </w:rPr>
        <w:lastRenderedPageBreak/>
        <w:t>每股面值为</w:t>
      </w:r>
      <w:r w:rsidRPr="00B170DF">
        <w:rPr>
          <w:kern w:val="0"/>
          <w:lang w:val="zh-CN" w:bidi="zh-CN"/>
        </w:rPr>
        <w:t>1</w:t>
      </w:r>
      <w:r w:rsidRPr="00B170DF">
        <w:rPr>
          <w:rFonts w:cs="宋体"/>
          <w:kern w:val="0"/>
          <w:lang w:val="zh-CN" w:bidi="zh-CN"/>
        </w:rPr>
        <w:t>.</w:t>
      </w:r>
      <w:r w:rsidRPr="00B170DF">
        <w:rPr>
          <w:kern w:val="0"/>
          <w:lang w:val="zh-CN" w:bidi="zh-CN"/>
        </w:rPr>
        <w:t>00</w:t>
      </w:r>
      <w:r w:rsidRPr="00B170DF">
        <w:rPr>
          <w:rFonts w:cs="宋体"/>
          <w:kern w:val="0"/>
          <w:lang w:val="zh-CN" w:bidi="zh-CN"/>
        </w:rPr>
        <w:t>元。</w:t>
      </w:r>
    </w:p>
    <w:p w14:paraId="573B44CB"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（二）发行方式和发行时间</w:t>
      </w:r>
    </w:p>
    <w:p w14:paraId="17CB09B3"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本次发行采用</w:t>
      </w:r>
      <w:r w:rsidR="005B7FDD" w:rsidRPr="00B170DF">
        <w:rPr>
          <w:rFonts w:ascii="宋体" w:hAnsi="宋体" w:cs="宋体"/>
          <w:kern w:val="0"/>
          <w:lang w:val="zh-CN" w:bidi="zh-CN"/>
        </w:rPr>
        <w:t>向特定对象发行A股股票</w:t>
      </w:r>
      <w:r w:rsidRPr="00B170DF">
        <w:rPr>
          <w:rFonts w:ascii="宋体" w:hAnsi="宋体" w:cs="宋体"/>
          <w:kern w:val="0"/>
          <w:lang w:val="zh-CN" w:bidi="zh-CN"/>
        </w:rPr>
        <w:t>的方式，</w:t>
      </w:r>
      <w:r w:rsidRPr="00B170DF">
        <w:rPr>
          <w:rFonts w:ascii="宋体" w:hAnsi="宋体" w:cs="宋体" w:hint="eastAsia"/>
          <w:kern w:val="0"/>
          <w:lang w:val="zh-CN" w:bidi="zh-CN"/>
        </w:rPr>
        <w:t>公司将在经深圳证券交易所审核通过，并经中国证监会</w:t>
      </w:r>
      <w:proofErr w:type="gramStart"/>
      <w:r w:rsidRPr="00B170DF">
        <w:rPr>
          <w:rFonts w:ascii="宋体" w:hAnsi="宋体" w:cs="宋体" w:hint="eastAsia"/>
          <w:kern w:val="0"/>
          <w:lang w:val="zh-CN" w:bidi="zh-CN"/>
        </w:rPr>
        <w:t>作出</w:t>
      </w:r>
      <w:proofErr w:type="gramEnd"/>
      <w:r w:rsidRPr="00B170DF">
        <w:rPr>
          <w:rFonts w:ascii="宋体" w:hAnsi="宋体" w:cs="宋体" w:hint="eastAsia"/>
          <w:kern w:val="0"/>
          <w:lang w:val="zh-CN" w:bidi="zh-CN"/>
        </w:rPr>
        <w:t>同意注册决定</w:t>
      </w:r>
      <w:r w:rsidRPr="00B170DF">
        <w:rPr>
          <w:rFonts w:ascii="宋体" w:hAnsi="宋体" w:cs="宋体"/>
          <w:kern w:val="0"/>
          <w:lang w:val="zh-CN" w:bidi="zh-CN"/>
        </w:rPr>
        <w:t>后</w:t>
      </w:r>
      <w:r w:rsidRPr="00B170DF">
        <w:rPr>
          <w:kern w:val="0"/>
          <w:lang w:val="zh-CN" w:bidi="zh-CN"/>
        </w:rPr>
        <w:t>12</w:t>
      </w:r>
      <w:r w:rsidRPr="00B170DF">
        <w:rPr>
          <w:rFonts w:ascii="宋体" w:hAnsi="宋体" w:cs="宋体"/>
          <w:kern w:val="0"/>
          <w:lang w:val="zh-CN" w:bidi="zh-CN"/>
        </w:rPr>
        <w:t>个月内实施。</w:t>
      </w:r>
    </w:p>
    <w:p w14:paraId="633FC55B"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（三）发行对象及认购方式</w:t>
      </w:r>
    </w:p>
    <w:p w14:paraId="20833024"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本次向特定对象发行</w:t>
      </w:r>
      <w:r w:rsidRPr="00B170DF">
        <w:rPr>
          <w:kern w:val="0"/>
          <w:lang w:val="zh-CN" w:bidi="zh-CN"/>
        </w:rPr>
        <w:t>A</w:t>
      </w:r>
      <w:r w:rsidRPr="00B170DF">
        <w:rPr>
          <w:rFonts w:ascii="宋体" w:hAnsi="宋体" w:cs="宋体"/>
          <w:kern w:val="0"/>
          <w:lang w:val="zh-CN" w:bidi="zh-CN"/>
        </w:rPr>
        <w:t>股股票的发行对象为符合中国证监会规定的证券投资基金管理公司、证券公司、信托投资公司、财务公司、保险机构投资者、合格境外机构投资者及符合中国证监会规定的其他机构投资者、自然人或其他合格的投资者等不超过</w:t>
      </w:r>
      <w:r w:rsidRPr="00B170DF">
        <w:rPr>
          <w:kern w:val="0"/>
          <w:lang w:val="zh-CN" w:bidi="zh-CN"/>
        </w:rPr>
        <w:t>35</w:t>
      </w:r>
      <w:r w:rsidRPr="00B170DF">
        <w:rPr>
          <w:rFonts w:ascii="宋体" w:hAnsi="宋体" w:cs="宋体"/>
          <w:kern w:val="0"/>
          <w:lang w:val="zh-CN" w:bidi="zh-CN"/>
        </w:rPr>
        <w:t>名的特定投资者。证券投资基金管理公司、证券公司、合格境外机构投资者、人民币合格境外机构投资者以其管理的二只以上产品认购的，视为一个发行对象；信托公司作为发行对象，只能以自有资金认购。</w:t>
      </w:r>
    </w:p>
    <w:p w14:paraId="63DAA71F"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最终发行对象由股东大会授权董事会在本次向特定对象发行</w:t>
      </w:r>
      <w:r w:rsidRPr="00B170DF">
        <w:rPr>
          <w:kern w:val="0"/>
          <w:lang w:val="zh-CN" w:bidi="zh-CN"/>
        </w:rPr>
        <w:t>A</w:t>
      </w:r>
      <w:r w:rsidRPr="00B170DF">
        <w:rPr>
          <w:rFonts w:ascii="宋体" w:hAnsi="宋体" w:cs="宋体"/>
          <w:kern w:val="0"/>
          <w:lang w:val="zh-CN" w:bidi="zh-CN"/>
        </w:rPr>
        <w:t>股股票申请获得深圳证券交易所审核通过，并经中国证监会同意注册后，与保荐机构（主承销商）按照中国证监会及深圳证券交易所相关规定协商确定。若国家法律、法规对向特定对象发行</w:t>
      </w:r>
      <w:r w:rsidRPr="00B170DF">
        <w:rPr>
          <w:kern w:val="0"/>
          <w:lang w:val="zh-CN" w:bidi="zh-CN"/>
        </w:rPr>
        <w:t>A</w:t>
      </w:r>
      <w:r w:rsidRPr="00B170DF">
        <w:rPr>
          <w:rFonts w:ascii="宋体" w:hAnsi="宋体" w:cs="宋体"/>
          <w:kern w:val="0"/>
          <w:lang w:val="zh-CN" w:bidi="zh-CN"/>
        </w:rPr>
        <w:t>股股票的发行对象有新的规定，公司将按新的规定进行调整。</w:t>
      </w:r>
    </w:p>
    <w:p w14:paraId="564A4C7E"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所有发行对象均以现金方式认购本次向特定对象发行的</w:t>
      </w:r>
      <w:r w:rsidRPr="00B170DF">
        <w:rPr>
          <w:kern w:val="0"/>
          <w:lang w:val="zh-CN" w:bidi="zh-CN"/>
        </w:rPr>
        <w:t>A</w:t>
      </w:r>
      <w:r w:rsidRPr="00B170DF">
        <w:rPr>
          <w:rFonts w:ascii="宋体" w:hAnsi="宋体" w:cs="宋体"/>
          <w:kern w:val="0"/>
          <w:lang w:val="zh-CN" w:bidi="zh-CN"/>
        </w:rPr>
        <w:t>股股票。</w:t>
      </w:r>
    </w:p>
    <w:p w14:paraId="7B655DC1"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（四）定价基准日、发行价格及定价原则</w:t>
      </w:r>
    </w:p>
    <w:p w14:paraId="7ACAA919"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本次向特定对象发行</w:t>
      </w:r>
      <w:r w:rsidRPr="00B170DF">
        <w:rPr>
          <w:kern w:val="0"/>
          <w:lang w:val="zh-CN" w:bidi="zh-CN"/>
        </w:rPr>
        <w:t>A</w:t>
      </w:r>
      <w:r w:rsidRPr="00B170DF">
        <w:rPr>
          <w:rFonts w:ascii="宋体" w:hAnsi="宋体" w:cs="宋体"/>
          <w:kern w:val="0"/>
          <w:lang w:val="zh-CN" w:bidi="zh-CN"/>
        </w:rPr>
        <w:t>股股票采取询价发行方式，定价基准日为发行期首日。发行价格不低于定价基准日前</w:t>
      </w:r>
      <w:r w:rsidRPr="00B170DF">
        <w:rPr>
          <w:kern w:val="0"/>
          <w:lang w:val="zh-CN" w:bidi="zh-CN"/>
        </w:rPr>
        <w:t>20</w:t>
      </w:r>
      <w:r w:rsidRPr="00B170DF">
        <w:rPr>
          <w:rFonts w:ascii="宋体" w:hAnsi="宋体" w:cs="宋体"/>
          <w:kern w:val="0"/>
          <w:lang w:val="zh-CN" w:bidi="zh-CN"/>
        </w:rPr>
        <w:t>个交易日公司股票交易均价的</w:t>
      </w:r>
      <w:r w:rsidRPr="00B170DF">
        <w:rPr>
          <w:kern w:val="0"/>
          <w:lang w:val="zh-CN" w:bidi="zh-CN"/>
        </w:rPr>
        <w:t>80</w:t>
      </w:r>
      <w:r w:rsidRPr="00B170DF">
        <w:rPr>
          <w:rFonts w:ascii="宋体" w:hAnsi="宋体" w:cs="宋体"/>
          <w:kern w:val="0"/>
          <w:lang w:val="zh-CN" w:bidi="zh-CN"/>
        </w:rPr>
        <w:t>%（定价基准日前</w:t>
      </w:r>
      <w:r w:rsidRPr="00B170DF">
        <w:rPr>
          <w:kern w:val="0"/>
          <w:lang w:val="zh-CN" w:bidi="zh-CN"/>
        </w:rPr>
        <w:t>20</w:t>
      </w:r>
      <w:r w:rsidRPr="00B170DF">
        <w:rPr>
          <w:rFonts w:ascii="宋体" w:hAnsi="宋体" w:cs="宋体"/>
          <w:kern w:val="0"/>
          <w:lang w:val="zh-CN" w:bidi="zh-CN"/>
        </w:rPr>
        <w:t>个交易日股票交易均价＝定价基准日前</w:t>
      </w:r>
      <w:r w:rsidRPr="00B170DF">
        <w:rPr>
          <w:kern w:val="0"/>
          <w:lang w:val="zh-CN" w:bidi="zh-CN"/>
        </w:rPr>
        <w:t>20</w:t>
      </w:r>
      <w:r w:rsidRPr="00B170DF">
        <w:rPr>
          <w:rFonts w:ascii="宋体" w:hAnsi="宋体" w:cs="宋体"/>
          <w:kern w:val="0"/>
          <w:lang w:val="zh-CN" w:bidi="zh-CN"/>
        </w:rPr>
        <w:t>个交易日公司股票交易总额/定价基准日前</w:t>
      </w:r>
      <w:r w:rsidRPr="00B170DF">
        <w:rPr>
          <w:kern w:val="0"/>
          <w:lang w:val="zh-CN" w:bidi="zh-CN"/>
        </w:rPr>
        <w:t>20</w:t>
      </w:r>
      <w:r w:rsidRPr="00B170DF">
        <w:rPr>
          <w:rFonts w:ascii="宋体" w:hAnsi="宋体" w:cs="宋体"/>
          <w:kern w:val="0"/>
          <w:lang w:val="zh-CN" w:bidi="zh-CN"/>
        </w:rPr>
        <w:t>个交易日公司股票交易总量）。最终发行价格由股东大会授权董事会在本次发行申请获得深圳证券交易所审核通过，并经中国证监会同意注册后，与保荐机构（主承销商）按照中国证监会及深圳证券交易所的相关规定根据询价结果协商确定。</w:t>
      </w:r>
    </w:p>
    <w:p w14:paraId="4BC62B2D"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若公司在定价基准日至发行日期间发生派息、送股、资本公积转增股本等除</w:t>
      </w:r>
      <w:r w:rsidRPr="00B170DF">
        <w:rPr>
          <w:rFonts w:ascii="宋体" w:hAnsi="宋体" w:cs="宋体"/>
          <w:kern w:val="0"/>
          <w:lang w:val="zh-CN" w:bidi="zh-CN"/>
        </w:rPr>
        <w:lastRenderedPageBreak/>
        <w:t>息、除权事项，则本次发行的发行底价将相应调整，调整方式如下：</w:t>
      </w:r>
    </w:p>
    <w:p w14:paraId="0C734A5F"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kern w:val="0"/>
          <w:lang w:val="zh-CN" w:bidi="zh-CN"/>
        </w:rPr>
        <w:t>1</w:t>
      </w:r>
      <w:r w:rsidRPr="00B170DF">
        <w:rPr>
          <w:rFonts w:ascii="宋体" w:hAnsi="宋体" w:cs="宋体"/>
          <w:kern w:val="0"/>
          <w:lang w:val="zh-CN" w:bidi="zh-CN"/>
        </w:rPr>
        <w:t>、分红派息：</w:t>
      </w:r>
      <w:r w:rsidRPr="00B170DF">
        <w:rPr>
          <w:kern w:val="0"/>
          <w:lang w:val="zh-CN" w:bidi="zh-CN"/>
        </w:rPr>
        <w:t>P1</w:t>
      </w:r>
      <w:r w:rsidRPr="00B170DF">
        <w:rPr>
          <w:rFonts w:ascii="宋体" w:hAnsi="宋体" w:cs="宋体"/>
          <w:kern w:val="0"/>
          <w:lang w:val="zh-CN" w:bidi="zh-CN"/>
        </w:rPr>
        <w:t>=</w:t>
      </w:r>
      <w:r w:rsidRPr="00B170DF">
        <w:rPr>
          <w:kern w:val="0"/>
          <w:lang w:val="zh-CN" w:bidi="zh-CN"/>
        </w:rPr>
        <w:t>P0</w:t>
      </w:r>
      <w:r w:rsidRPr="00B170DF">
        <w:rPr>
          <w:rFonts w:ascii="宋体" w:hAnsi="宋体" w:cs="宋体"/>
          <w:kern w:val="0"/>
          <w:lang w:val="zh-CN" w:bidi="zh-CN"/>
        </w:rPr>
        <w:t>-</w:t>
      </w:r>
      <w:r w:rsidRPr="00B170DF">
        <w:rPr>
          <w:kern w:val="0"/>
          <w:lang w:val="zh-CN" w:bidi="zh-CN"/>
        </w:rPr>
        <w:t>D</w:t>
      </w:r>
    </w:p>
    <w:p w14:paraId="3DF8DD01"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kern w:val="0"/>
          <w:lang w:val="zh-CN" w:bidi="zh-CN"/>
        </w:rPr>
        <w:t>2</w:t>
      </w:r>
      <w:r w:rsidRPr="00B170DF">
        <w:rPr>
          <w:rFonts w:ascii="宋体" w:hAnsi="宋体" w:cs="宋体"/>
          <w:kern w:val="0"/>
          <w:lang w:val="zh-CN" w:bidi="zh-CN"/>
        </w:rPr>
        <w:t>、资本公积转增股本或送股：</w:t>
      </w:r>
      <w:r w:rsidRPr="00B170DF">
        <w:rPr>
          <w:kern w:val="0"/>
          <w:lang w:val="zh-CN" w:bidi="zh-CN"/>
        </w:rPr>
        <w:t>P1</w:t>
      </w:r>
      <w:r w:rsidRPr="00B170DF">
        <w:rPr>
          <w:rFonts w:ascii="宋体" w:hAnsi="宋体" w:cs="宋体"/>
          <w:kern w:val="0"/>
          <w:lang w:val="zh-CN" w:bidi="zh-CN"/>
        </w:rPr>
        <w:t>=</w:t>
      </w:r>
      <w:r w:rsidRPr="00B170DF">
        <w:rPr>
          <w:kern w:val="0"/>
          <w:lang w:val="zh-CN" w:bidi="zh-CN"/>
        </w:rPr>
        <w:t>P0</w:t>
      </w:r>
      <w:r w:rsidRPr="00B170DF">
        <w:rPr>
          <w:rFonts w:ascii="宋体" w:hAnsi="宋体" w:cs="宋体"/>
          <w:kern w:val="0"/>
          <w:lang w:val="zh-CN" w:bidi="zh-CN"/>
        </w:rPr>
        <w:t>/（</w:t>
      </w:r>
      <w:r w:rsidRPr="00B170DF">
        <w:rPr>
          <w:kern w:val="0"/>
          <w:lang w:val="zh-CN" w:bidi="zh-CN"/>
        </w:rPr>
        <w:t>1</w:t>
      </w:r>
      <w:r w:rsidRPr="00B170DF">
        <w:rPr>
          <w:rFonts w:ascii="宋体" w:hAnsi="宋体" w:cs="宋体"/>
          <w:kern w:val="0"/>
          <w:lang w:val="zh-CN" w:bidi="zh-CN"/>
        </w:rPr>
        <w:t>+</w:t>
      </w:r>
      <w:r w:rsidRPr="00B170DF">
        <w:rPr>
          <w:kern w:val="0"/>
          <w:lang w:val="zh-CN" w:bidi="zh-CN"/>
        </w:rPr>
        <w:t>N</w:t>
      </w:r>
      <w:r w:rsidRPr="00B170DF">
        <w:rPr>
          <w:rFonts w:ascii="宋体" w:hAnsi="宋体" w:cs="宋体"/>
          <w:kern w:val="0"/>
          <w:lang w:val="zh-CN" w:bidi="zh-CN"/>
        </w:rPr>
        <w:t>）</w:t>
      </w:r>
    </w:p>
    <w:p w14:paraId="0F433593"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kern w:val="0"/>
          <w:lang w:val="zh-CN" w:bidi="zh-CN"/>
        </w:rPr>
        <w:t>3</w:t>
      </w:r>
      <w:r w:rsidRPr="00B170DF">
        <w:rPr>
          <w:rFonts w:ascii="宋体" w:hAnsi="宋体" w:cs="宋体"/>
          <w:kern w:val="0"/>
          <w:lang w:val="zh-CN" w:bidi="zh-CN"/>
        </w:rPr>
        <w:t>、两项同时进行：</w:t>
      </w:r>
      <w:r w:rsidRPr="00B170DF">
        <w:rPr>
          <w:kern w:val="0"/>
          <w:lang w:val="zh-CN" w:bidi="zh-CN"/>
        </w:rPr>
        <w:t>P1</w:t>
      </w:r>
      <w:r w:rsidRPr="00B170DF">
        <w:rPr>
          <w:rFonts w:ascii="宋体" w:hAnsi="宋体" w:cs="宋体"/>
          <w:kern w:val="0"/>
          <w:lang w:val="zh-CN" w:bidi="zh-CN"/>
        </w:rPr>
        <w:t>=（</w:t>
      </w:r>
      <w:r w:rsidRPr="00B170DF">
        <w:rPr>
          <w:kern w:val="0"/>
          <w:lang w:val="zh-CN" w:bidi="zh-CN"/>
        </w:rPr>
        <w:t>P0</w:t>
      </w:r>
      <w:r w:rsidRPr="00B170DF">
        <w:rPr>
          <w:rFonts w:ascii="宋体" w:hAnsi="宋体" w:cs="宋体"/>
          <w:kern w:val="0"/>
          <w:lang w:val="zh-CN" w:bidi="zh-CN"/>
        </w:rPr>
        <w:t>-</w:t>
      </w:r>
      <w:r w:rsidRPr="00B170DF">
        <w:rPr>
          <w:kern w:val="0"/>
          <w:lang w:val="zh-CN" w:bidi="zh-CN"/>
        </w:rPr>
        <w:t>D</w:t>
      </w:r>
      <w:r w:rsidRPr="00B170DF">
        <w:rPr>
          <w:rFonts w:ascii="宋体" w:hAnsi="宋体" w:cs="宋体"/>
          <w:kern w:val="0"/>
          <w:lang w:val="zh-CN" w:bidi="zh-CN"/>
        </w:rPr>
        <w:t>）/（</w:t>
      </w:r>
      <w:r w:rsidRPr="00B170DF">
        <w:rPr>
          <w:kern w:val="0"/>
          <w:lang w:val="zh-CN" w:bidi="zh-CN"/>
        </w:rPr>
        <w:t>1</w:t>
      </w:r>
      <w:r w:rsidRPr="00B170DF">
        <w:rPr>
          <w:rFonts w:ascii="宋体" w:hAnsi="宋体" w:cs="宋体"/>
          <w:kern w:val="0"/>
          <w:lang w:val="zh-CN" w:bidi="zh-CN"/>
        </w:rPr>
        <w:t>+</w:t>
      </w:r>
      <w:r w:rsidRPr="00B170DF">
        <w:rPr>
          <w:kern w:val="0"/>
          <w:lang w:val="zh-CN" w:bidi="zh-CN"/>
        </w:rPr>
        <w:t>N</w:t>
      </w:r>
      <w:r w:rsidRPr="00B170DF">
        <w:rPr>
          <w:rFonts w:ascii="宋体" w:hAnsi="宋体" w:cs="宋体"/>
          <w:kern w:val="0"/>
          <w:lang w:val="zh-CN" w:bidi="zh-CN"/>
        </w:rPr>
        <w:t>）</w:t>
      </w:r>
    </w:p>
    <w:p w14:paraId="206B0373"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其中，</w:t>
      </w:r>
      <w:r w:rsidRPr="00B170DF">
        <w:rPr>
          <w:kern w:val="0"/>
          <w:lang w:val="zh-CN" w:bidi="zh-CN"/>
        </w:rPr>
        <w:t>P0</w:t>
      </w:r>
      <w:r w:rsidRPr="00B170DF">
        <w:rPr>
          <w:rFonts w:ascii="宋体" w:hAnsi="宋体" w:cs="宋体"/>
          <w:kern w:val="0"/>
          <w:lang w:val="zh-CN" w:bidi="zh-CN"/>
        </w:rPr>
        <w:t>为调整前发行价格，每</w:t>
      </w:r>
      <w:proofErr w:type="gramStart"/>
      <w:r w:rsidRPr="00B170DF">
        <w:rPr>
          <w:rFonts w:ascii="宋体" w:hAnsi="宋体" w:cs="宋体"/>
          <w:kern w:val="0"/>
          <w:lang w:val="zh-CN" w:bidi="zh-CN"/>
        </w:rPr>
        <w:t>股分</w:t>
      </w:r>
      <w:proofErr w:type="gramEnd"/>
      <w:r w:rsidRPr="00B170DF">
        <w:rPr>
          <w:rFonts w:ascii="宋体" w:hAnsi="宋体" w:cs="宋体"/>
          <w:kern w:val="0"/>
          <w:lang w:val="zh-CN" w:bidi="zh-CN"/>
        </w:rPr>
        <w:t>红派息金额为</w:t>
      </w:r>
      <w:r w:rsidRPr="00B170DF">
        <w:rPr>
          <w:kern w:val="0"/>
          <w:lang w:val="zh-CN" w:bidi="zh-CN"/>
        </w:rPr>
        <w:t>D</w:t>
      </w:r>
      <w:r w:rsidRPr="00B170DF">
        <w:rPr>
          <w:rFonts w:ascii="宋体" w:hAnsi="宋体" w:cs="宋体"/>
          <w:kern w:val="0"/>
          <w:lang w:val="zh-CN" w:bidi="zh-CN"/>
        </w:rPr>
        <w:t>，每股资本公积转增股本或</w:t>
      </w:r>
      <w:proofErr w:type="gramStart"/>
      <w:r w:rsidRPr="00B170DF">
        <w:rPr>
          <w:rFonts w:ascii="宋体" w:hAnsi="宋体" w:cs="宋体"/>
          <w:kern w:val="0"/>
          <w:lang w:val="zh-CN" w:bidi="zh-CN"/>
        </w:rPr>
        <w:t>送股数</w:t>
      </w:r>
      <w:proofErr w:type="gramEnd"/>
      <w:r w:rsidRPr="00B170DF">
        <w:rPr>
          <w:rFonts w:ascii="宋体" w:hAnsi="宋体" w:cs="宋体"/>
          <w:kern w:val="0"/>
          <w:lang w:val="zh-CN" w:bidi="zh-CN"/>
        </w:rPr>
        <w:t>为</w:t>
      </w:r>
      <w:r w:rsidRPr="00B170DF">
        <w:rPr>
          <w:kern w:val="0"/>
          <w:lang w:val="zh-CN" w:bidi="zh-CN"/>
        </w:rPr>
        <w:t>N</w:t>
      </w:r>
      <w:r w:rsidRPr="00B170DF">
        <w:rPr>
          <w:rFonts w:ascii="宋体" w:hAnsi="宋体" w:cs="宋体"/>
          <w:kern w:val="0"/>
          <w:lang w:val="zh-CN" w:bidi="zh-CN"/>
        </w:rPr>
        <w:t>，调整后发行价格为</w:t>
      </w:r>
      <w:r w:rsidRPr="00B170DF">
        <w:rPr>
          <w:kern w:val="0"/>
          <w:lang w:val="zh-CN" w:bidi="zh-CN"/>
        </w:rPr>
        <w:t>P1</w:t>
      </w:r>
      <w:r w:rsidRPr="00B170DF">
        <w:rPr>
          <w:rFonts w:ascii="宋体" w:hAnsi="宋体" w:cs="宋体"/>
          <w:kern w:val="0"/>
          <w:lang w:val="zh-CN" w:bidi="zh-CN"/>
        </w:rPr>
        <w:t>。</w:t>
      </w:r>
    </w:p>
    <w:p w14:paraId="44700B59" w14:textId="77777777" w:rsidR="00826B7B" w:rsidRPr="00B170DF" w:rsidRDefault="00826B7B" w:rsidP="00826B7B">
      <w:pPr>
        <w:spacing w:before="163" w:after="163"/>
        <w:ind w:firstLine="480"/>
      </w:pPr>
      <w:r w:rsidRPr="00B170DF">
        <w:rPr>
          <w:rFonts w:hint="eastAsia"/>
        </w:rPr>
        <w:t>若国家法律、法规和规范性文件对</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的定价原则等有新的规定，公司将按新的规定进行调整。</w:t>
      </w:r>
    </w:p>
    <w:p w14:paraId="1970347E"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（五）发行数量</w:t>
      </w:r>
    </w:p>
    <w:p w14:paraId="009A937A"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kern w:val="0"/>
          <w:lang w:val="zh-CN" w:bidi="zh-CN"/>
        </w:rPr>
        <w:t>本次向特定对象发行</w:t>
      </w:r>
      <w:r w:rsidRPr="00B170DF">
        <w:rPr>
          <w:kern w:val="0"/>
          <w:lang w:val="zh-CN" w:bidi="zh-CN"/>
        </w:rPr>
        <w:t>A</w:t>
      </w:r>
      <w:r w:rsidRPr="00B170DF">
        <w:rPr>
          <w:kern w:val="0"/>
          <w:lang w:val="zh-CN" w:bidi="zh-CN"/>
        </w:rPr>
        <w:t>股股票数量不超过</w:t>
      </w:r>
      <w:r w:rsidRPr="00B170DF">
        <w:rPr>
          <w:kern w:val="0"/>
          <w:lang w:val="zh-CN" w:bidi="zh-CN"/>
        </w:rPr>
        <w:t>47,780,100</w:t>
      </w:r>
      <w:r w:rsidRPr="00B170DF">
        <w:rPr>
          <w:kern w:val="0"/>
          <w:lang w:val="zh-CN" w:bidi="zh-CN"/>
        </w:rPr>
        <w:t>股（含本数</w:t>
      </w:r>
      <w:r w:rsidRPr="00B170DF">
        <w:rPr>
          <w:rFonts w:ascii="宋体" w:hAnsi="宋体" w:cs="宋体"/>
          <w:kern w:val="0"/>
          <w:lang w:val="zh-CN" w:bidi="zh-CN"/>
        </w:rPr>
        <w:t>），未超过本次发行前上市公司总股本</w:t>
      </w:r>
      <w:r w:rsidRPr="00B170DF">
        <w:rPr>
          <w:kern w:val="0"/>
          <w:lang w:val="zh-CN" w:bidi="zh-CN"/>
        </w:rPr>
        <w:t>30</w:t>
      </w:r>
      <w:r w:rsidRPr="00B170DF">
        <w:rPr>
          <w:rFonts w:ascii="宋体" w:hAnsi="宋体" w:cs="宋体"/>
          <w:kern w:val="0"/>
          <w:lang w:val="zh-CN" w:bidi="zh-CN"/>
        </w:rPr>
        <w:t>%。若公司在审议本次发行的董事会决议公告日至发行日期间发生除权事项或其他导致本次发行前公司总股本发生变动的事项，本次</w:t>
      </w:r>
      <w:r w:rsidR="005B7FDD" w:rsidRPr="00B170DF">
        <w:rPr>
          <w:rFonts w:ascii="宋体" w:hAnsi="宋体" w:cs="宋体"/>
          <w:kern w:val="0"/>
          <w:lang w:val="zh-CN" w:bidi="zh-CN"/>
        </w:rPr>
        <w:t>向特定对象发行A股股票</w:t>
      </w:r>
      <w:r w:rsidRPr="00B170DF">
        <w:rPr>
          <w:rFonts w:ascii="宋体" w:hAnsi="宋体" w:cs="宋体"/>
          <w:kern w:val="0"/>
          <w:lang w:val="zh-CN" w:bidi="zh-CN"/>
        </w:rPr>
        <w:t>数量上限将作相应调整。</w:t>
      </w:r>
    </w:p>
    <w:p w14:paraId="451870A8"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基于前述范围，最终发行数量由股东大会授权董事会在本次发行申请获得深圳证券交易所审核通过，并经中国证监会同意注册后，与保荐机构（主承销商）按照中国证监会及深圳证券交易所的相关规定协商确定。</w:t>
      </w:r>
    </w:p>
    <w:p w14:paraId="55A6C5DB"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（六）限售期</w:t>
      </w:r>
    </w:p>
    <w:p w14:paraId="7A014C47"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本次向特定对象发行</w:t>
      </w:r>
      <w:r w:rsidRPr="00B170DF">
        <w:rPr>
          <w:kern w:val="0"/>
          <w:lang w:val="zh-CN" w:bidi="zh-CN"/>
        </w:rPr>
        <w:t>A</w:t>
      </w:r>
      <w:r w:rsidRPr="00B170DF">
        <w:rPr>
          <w:rFonts w:ascii="宋体" w:hAnsi="宋体" w:cs="宋体"/>
          <w:kern w:val="0"/>
          <w:lang w:val="zh-CN" w:bidi="zh-CN"/>
        </w:rPr>
        <w:t>股股票发行对象认购的股份自发行结束之日起</w:t>
      </w:r>
      <w:r w:rsidRPr="00B170DF">
        <w:rPr>
          <w:kern w:val="0"/>
          <w:lang w:val="zh-CN" w:bidi="zh-CN"/>
        </w:rPr>
        <w:t>6</w:t>
      </w:r>
      <w:r w:rsidRPr="00B170DF">
        <w:rPr>
          <w:rFonts w:ascii="宋体" w:hAnsi="宋体" w:cs="宋体"/>
          <w:kern w:val="0"/>
          <w:lang w:val="zh-CN" w:bidi="zh-CN"/>
        </w:rPr>
        <w:t>个月内不得上市交易。本次</w:t>
      </w:r>
      <w:r w:rsidR="005B7FDD" w:rsidRPr="00B170DF">
        <w:rPr>
          <w:rFonts w:ascii="宋体" w:hAnsi="宋体" w:cs="宋体"/>
          <w:kern w:val="0"/>
          <w:lang w:val="zh-CN" w:bidi="zh-CN"/>
        </w:rPr>
        <w:t>向特定对象发行A股股票</w:t>
      </w:r>
      <w:r w:rsidRPr="00B170DF">
        <w:rPr>
          <w:rFonts w:ascii="宋体" w:hAnsi="宋体" w:cs="宋体"/>
          <w:kern w:val="0"/>
          <w:lang w:val="zh-CN" w:bidi="zh-CN"/>
        </w:rPr>
        <w:t>结束后，由于公司送红股、资本公积转增股本等原因增加的公司股份，亦应遵守上述限售期安排，限售期结束后按中国证监会及深圳证券交易所等监管部门的相关规定执行。</w:t>
      </w:r>
    </w:p>
    <w:p w14:paraId="1ED84B50"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（七）募集资金投向</w:t>
      </w:r>
    </w:p>
    <w:p w14:paraId="6ACDF7EE" w14:textId="77777777" w:rsidR="003102D4" w:rsidRPr="00B170DF" w:rsidRDefault="003102D4" w:rsidP="008E518B">
      <w:pPr>
        <w:widowControl/>
        <w:kinsoku w:val="0"/>
        <w:autoSpaceDE w:val="0"/>
        <w:autoSpaceDN w:val="0"/>
        <w:adjustRightInd w:val="0"/>
        <w:snapToGrid w:val="0"/>
        <w:spacing w:before="163" w:after="163"/>
        <w:ind w:left="23" w:right="23" w:firstLineChars="0" w:firstLine="476"/>
        <w:textAlignment w:val="baseline"/>
        <w:rPr>
          <w:rFonts w:ascii="宋体" w:hAnsi="宋体" w:cs="宋体" w:hint="eastAsia"/>
          <w:noProof/>
          <w:snapToGrid w:val="0"/>
          <w:color w:val="000000"/>
          <w:kern w:val="0"/>
          <w:szCs w:val="24"/>
        </w:rPr>
      </w:pPr>
      <w:r w:rsidRPr="00B170DF">
        <w:rPr>
          <w:rFonts w:ascii="宋体" w:hAnsi="宋体" w:cs="宋体"/>
          <w:noProof/>
          <w:snapToGrid w:val="0"/>
          <w:color w:val="000000"/>
          <w:spacing w:val="-2"/>
          <w:kern w:val="0"/>
          <w:szCs w:val="24"/>
        </w:rPr>
        <w:t>本次向特定对象发行</w:t>
      </w:r>
      <w:r w:rsidR="008E518B" w:rsidRPr="00B170DF">
        <w:rPr>
          <w:rFonts w:eastAsia="等线" w:hint="eastAsia"/>
          <w:noProof/>
          <w:snapToGrid w:val="0"/>
          <w:color w:val="000000"/>
          <w:spacing w:val="-2"/>
          <w:kern w:val="0"/>
          <w:szCs w:val="24"/>
        </w:rPr>
        <w:t>A</w:t>
      </w:r>
      <w:r w:rsidRPr="00B170DF">
        <w:rPr>
          <w:rFonts w:ascii="宋体" w:hAnsi="宋体" w:cs="宋体"/>
          <w:noProof/>
          <w:snapToGrid w:val="0"/>
          <w:color w:val="000000"/>
          <w:spacing w:val="-2"/>
          <w:kern w:val="0"/>
          <w:szCs w:val="24"/>
        </w:rPr>
        <w:t>股股票拟募集资金总额不超过</w:t>
      </w:r>
      <w:r w:rsidR="008E518B" w:rsidRPr="00B170DF">
        <w:rPr>
          <w:rFonts w:ascii="宋体" w:hAnsi="宋体" w:cs="宋体"/>
          <w:noProof/>
          <w:snapToGrid w:val="0"/>
          <w:color w:val="000000"/>
          <w:spacing w:val="-2"/>
          <w:kern w:val="0"/>
          <w:szCs w:val="24"/>
        </w:rPr>
        <w:t>97,686.65</w:t>
      </w:r>
      <w:r w:rsidRPr="00B170DF">
        <w:rPr>
          <w:rFonts w:ascii="宋体" w:hAnsi="宋体" w:cs="宋体"/>
          <w:noProof/>
          <w:snapToGrid w:val="0"/>
          <w:color w:val="000000"/>
          <w:spacing w:val="-2"/>
          <w:kern w:val="0"/>
          <w:szCs w:val="24"/>
        </w:rPr>
        <w:t>万元（含本</w:t>
      </w:r>
      <w:r w:rsidRPr="00B170DF">
        <w:rPr>
          <w:rFonts w:ascii="宋体" w:hAnsi="宋体" w:cs="宋体"/>
          <w:noProof/>
          <w:snapToGrid w:val="0"/>
          <w:color w:val="000000"/>
          <w:spacing w:val="-8"/>
          <w:kern w:val="0"/>
          <w:szCs w:val="24"/>
        </w:rPr>
        <w:t>数</w:t>
      </w:r>
      <w:r w:rsidRPr="00B170DF">
        <w:rPr>
          <w:rFonts w:ascii="宋体" w:hAnsi="宋体" w:cs="宋体"/>
          <w:noProof/>
          <w:snapToGrid w:val="0"/>
          <w:color w:val="000000"/>
          <w:spacing w:val="-24"/>
          <w:kern w:val="0"/>
          <w:szCs w:val="24"/>
        </w:rPr>
        <w:t>），</w:t>
      </w:r>
      <w:r w:rsidRPr="00B170DF">
        <w:rPr>
          <w:rFonts w:ascii="宋体" w:hAnsi="宋体" w:cs="宋体"/>
          <w:noProof/>
          <w:snapToGrid w:val="0"/>
          <w:color w:val="000000"/>
          <w:spacing w:val="-8"/>
          <w:kern w:val="0"/>
          <w:szCs w:val="24"/>
        </w:rPr>
        <w:t>扣除发行费用后全部用于以下项目：</w:t>
      </w:r>
    </w:p>
    <w:p w14:paraId="7AAD4451" w14:textId="77777777" w:rsidR="003102D4" w:rsidRPr="00B170DF" w:rsidRDefault="003102D4" w:rsidP="003102D4">
      <w:pPr>
        <w:spacing w:before="163" w:after="163"/>
        <w:ind w:firstLineChars="0" w:firstLine="0"/>
        <w:jc w:val="right"/>
        <w:rPr>
          <w:sz w:val="21"/>
          <w:szCs w:val="21"/>
        </w:rPr>
      </w:pPr>
      <w:r w:rsidRPr="00B170DF">
        <w:rPr>
          <w:rFonts w:hint="eastAsia"/>
          <w:sz w:val="21"/>
          <w:szCs w:val="21"/>
        </w:rPr>
        <w:lastRenderedPageBreak/>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311"/>
        <w:gridCol w:w="1546"/>
        <w:gridCol w:w="1544"/>
        <w:gridCol w:w="1875"/>
      </w:tblGrid>
      <w:tr w:rsidR="003102D4" w:rsidRPr="00B170DF" w14:paraId="40E39CF6" w14:textId="77777777">
        <w:trPr>
          <w:trHeight w:val="397"/>
          <w:tblHeader/>
          <w:jc w:val="center"/>
        </w:trPr>
        <w:tc>
          <w:tcPr>
            <w:tcW w:w="2000" w:type="pct"/>
            <w:shd w:val="clear" w:color="auto" w:fill="FFFFFF"/>
            <w:tcMar>
              <w:top w:w="0" w:type="dxa"/>
              <w:left w:w="30" w:type="dxa"/>
              <w:bottom w:w="0" w:type="dxa"/>
              <w:right w:w="30" w:type="dxa"/>
            </w:tcMar>
            <w:vAlign w:val="center"/>
          </w:tcPr>
          <w:p w14:paraId="6422D621" w14:textId="77777777" w:rsidR="003102D4" w:rsidRPr="00B170DF" w:rsidRDefault="003102D4" w:rsidP="003102D4">
            <w:pPr>
              <w:keepNext/>
              <w:spacing w:beforeLines="0" w:before="0" w:afterLines="0" w:after="0" w:line="240" w:lineRule="auto"/>
              <w:ind w:firstLineChars="0" w:firstLine="0"/>
              <w:jc w:val="center"/>
              <w:rPr>
                <w:b/>
                <w:sz w:val="21"/>
                <w:szCs w:val="21"/>
              </w:rPr>
            </w:pPr>
            <w:r w:rsidRPr="00B170DF">
              <w:rPr>
                <w:b/>
                <w:sz w:val="21"/>
                <w:szCs w:val="21"/>
              </w:rPr>
              <w:t>项目名称</w:t>
            </w:r>
          </w:p>
        </w:tc>
        <w:tc>
          <w:tcPr>
            <w:tcW w:w="934" w:type="pct"/>
            <w:shd w:val="clear" w:color="auto" w:fill="FFFFFF"/>
            <w:tcMar>
              <w:top w:w="0" w:type="dxa"/>
              <w:left w:w="30" w:type="dxa"/>
              <w:bottom w:w="0" w:type="dxa"/>
              <w:right w:w="30" w:type="dxa"/>
            </w:tcMar>
            <w:vAlign w:val="center"/>
          </w:tcPr>
          <w:p w14:paraId="277D8FD3" w14:textId="77777777" w:rsidR="003102D4" w:rsidRPr="00B170DF" w:rsidRDefault="003102D4" w:rsidP="003102D4">
            <w:pPr>
              <w:keepNext/>
              <w:spacing w:beforeLines="0" w:before="0" w:afterLines="0" w:after="0" w:line="240" w:lineRule="auto"/>
              <w:ind w:firstLineChars="0" w:firstLine="0"/>
              <w:jc w:val="center"/>
              <w:rPr>
                <w:b/>
                <w:sz w:val="21"/>
                <w:szCs w:val="21"/>
              </w:rPr>
            </w:pPr>
            <w:r w:rsidRPr="00B170DF">
              <w:rPr>
                <w:b/>
                <w:sz w:val="21"/>
                <w:szCs w:val="21"/>
              </w:rPr>
              <w:t>投资金额</w:t>
            </w:r>
          </w:p>
        </w:tc>
        <w:tc>
          <w:tcPr>
            <w:tcW w:w="933" w:type="pct"/>
            <w:shd w:val="clear" w:color="auto" w:fill="FFFFFF"/>
            <w:tcMar>
              <w:top w:w="0" w:type="dxa"/>
              <w:left w:w="30" w:type="dxa"/>
              <w:bottom w:w="0" w:type="dxa"/>
              <w:right w:w="30" w:type="dxa"/>
            </w:tcMar>
            <w:vAlign w:val="center"/>
          </w:tcPr>
          <w:p w14:paraId="17035158" w14:textId="77777777" w:rsidR="003102D4" w:rsidRPr="00B170DF" w:rsidRDefault="003102D4" w:rsidP="003102D4">
            <w:pPr>
              <w:keepNext/>
              <w:spacing w:beforeLines="0" w:before="0" w:afterLines="0" w:after="0" w:line="240" w:lineRule="auto"/>
              <w:ind w:firstLineChars="0" w:firstLine="0"/>
              <w:jc w:val="center"/>
              <w:rPr>
                <w:b/>
                <w:sz w:val="21"/>
                <w:szCs w:val="21"/>
              </w:rPr>
            </w:pPr>
            <w:r w:rsidRPr="00B170DF">
              <w:rPr>
                <w:b/>
                <w:sz w:val="21"/>
                <w:szCs w:val="21"/>
              </w:rPr>
              <w:t>拟使用募集资金金额</w:t>
            </w:r>
          </w:p>
        </w:tc>
        <w:tc>
          <w:tcPr>
            <w:tcW w:w="1133" w:type="pct"/>
            <w:shd w:val="clear" w:color="auto" w:fill="FFFFFF"/>
            <w:vAlign w:val="center"/>
          </w:tcPr>
          <w:p w14:paraId="75545F94" w14:textId="77777777" w:rsidR="003102D4" w:rsidRPr="00B170DF" w:rsidRDefault="003102D4" w:rsidP="003102D4">
            <w:pPr>
              <w:keepNext/>
              <w:spacing w:beforeLines="0" w:before="0" w:afterLines="0" w:after="0" w:line="240" w:lineRule="auto"/>
              <w:ind w:firstLineChars="0" w:firstLine="0"/>
              <w:jc w:val="center"/>
              <w:rPr>
                <w:b/>
                <w:sz w:val="21"/>
                <w:szCs w:val="21"/>
              </w:rPr>
            </w:pPr>
            <w:r w:rsidRPr="00B170DF">
              <w:rPr>
                <w:b/>
                <w:sz w:val="21"/>
                <w:szCs w:val="21"/>
              </w:rPr>
              <w:t>募集资金是否属于资本化阶段</w:t>
            </w:r>
          </w:p>
        </w:tc>
      </w:tr>
      <w:tr w:rsidR="003102D4" w:rsidRPr="00B170DF" w14:paraId="4091F65C" w14:textId="77777777">
        <w:trPr>
          <w:trHeight w:val="397"/>
          <w:jc w:val="center"/>
        </w:trPr>
        <w:tc>
          <w:tcPr>
            <w:tcW w:w="2000" w:type="pct"/>
            <w:shd w:val="clear" w:color="auto" w:fill="FFFFFF"/>
            <w:tcMar>
              <w:top w:w="0" w:type="dxa"/>
              <w:left w:w="30" w:type="dxa"/>
              <w:bottom w:w="0" w:type="dxa"/>
              <w:right w:w="30" w:type="dxa"/>
            </w:tcMar>
            <w:vAlign w:val="center"/>
          </w:tcPr>
          <w:p w14:paraId="77096E4B" w14:textId="77777777" w:rsidR="003102D4" w:rsidRPr="00B170DF" w:rsidRDefault="003102D4" w:rsidP="003102D4">
            <w:pPr>
              <w:spacing w:beforeLines="0" w:before="0" w:afterLines="0" w:after="0" w:line="240" w:lineRule="auto"/>
              <w:ind w:firstLineChars="0" w:firstLine="0"/>
              <w:rPr>
                <w:b/>
                <w:bCs/>
                <w:sz w:val="21"/>
                <w:szCs w:val="21"/>
              </w:rPr>
            </w:pPr>
            <w:r w:rsidRPr="00B170DF">
              <w:rPr>
                <w:rFonts w:hint="eastAsia"/>
                <w:b/>
                <w:bCs/>
                <w:sz w:val="21"/>
                <w:szCs w:val="21"/>
              </w:rPr>
              <w:t>一、创新药研发项目</w:t>
            </w:r>
          </w:p>
        </w:tc>
        <w:tc>
          <w:tcPr>
            <w:tcW w:w="934" w:type="pct"/>
            <w:shd w:val="clear" w:color="auto" w:fill="FFFFFF"/>
            <w:tcMar>
              <w:top w:w="0" w:type="dxa"/>
              <w:left w:w="30" w:type="dxa"/>
              <w:bottom w:w="0" w:type="dxa"/>
              <w:right w:w="30" w:type="dxa"/>
            </w:tcMar>
            <w:vAlign w:val="center"/>
          </w:tcPr>
          <w:p w14:paraId="3FD926C9" w14:textId="77777777" w:rsidR="003102D4" w:rsidRPr="00B170DF" w:rsidRDefault="003102D4" w:rsidP="003102D4">
            <w:pPr>
              <w:spacing w:beforeLines="0" w:before="0" w:afterLines="0" w:after="0" w:line="240" w:lineRule="auto"/>
              <w:ind w:firstLineChars="0" w:firstLine="0"/>
              <w:jc w:val="right"/>
              <w:rPr>
                <w:sz w:val="21"/>
                <w:szCs w:val="21"/>
              </w:rPr>
            </w:pPr>
            <w:r w:rsidRPr="00B170DF">
              <w:rPr>
                <w:rFonts w:hint="eastAsia"/>
                <w:sz w:val="21"/>
                <w:szCs w:val="21"/>
              </w:rPr>
              <w:t>63,100.60</w:t>
            </w:r>
          </w:p>
        </w:tc>
        <w:tc>
          <w:tcPr>
            <w:tcW w:w="933" w:type="pct"/>
            <w:shd w:val="clear" w:color="auto" w:fill="FFFFFF"/>
            <w:tcMar>
              <w:top w:w="0" w:type="dxa"/>
              <w:left w:w="30" w:type="dxa"/>
              <w:bottom w:w="0" w:type="dxa"/>
              <w:right w:w="30" w:type="dxa"/>
            </w:tcMar>
            <w:vAlign w:val="center"/>
          </w:tcPr>
          <w:p w14:paraId="08B1CA75" w14:textId="77777777" w:rsidR="003102D4" w:rsidRPr="00B170DF" w:rsidRDefault="003102D4" w:rsidP="003102D4">
            <w:pPr>
              <w:spacing w:beforeLines="0" w:before="0" w:afterLines="0" w:after="0" w:line="240" w:lineRule="auto"/>
              <w:ind w:firstLineChars="0" w:firstLine="0"/>
              <w:jc w:val="right"/>
              <w:rPr>
                <w:sz w:val="21"/>
                <w:szCs w:val="21"/>
              </w:rPr>
            </w:pPr>
            <w:r w:rsidRPr="00B170DF">
              <w:rPr>
                <w:rFonts w:hint="eastAsia"/>
                <w:sz w:val="21"/>
                <w:szCs w:val="21"/>
              </w:rPr>
              <w:t>59,837.60</w:t>
            </w:r>
          </w:p>
        </w:tc>
        <w:tc>
          <w:tcPr>
            <w:tcW w:w="1133" w:type="pct"/>
            <w:shd w:val="clear" w:color="auto" w:fill="FFFFFF"/>
            <w:vAlign w:val="center"/>
          </w:tcPr>
          <w:p w14:paraId="27B0B163" w14:textId="77777777" w:rsidR="003102D4" w:rsidRPr="00B170DF" w:rsidRDefault="003102D4" w:rsidP="003102D4">
            <w:pPr>
              <w:spacing w:beforeLines="0" w:before="0" w:afterLines="0" w:after="0" w:line="240" w:lineRule="auto"/>
              <w:ind w:firstLineChars="0" w:firstLine="0"/>
              <w:jc w:val="center"/>
              <w:rPr>
                <w:sz w:val="21"/>
                <w:szCs w:val="21"/>
              </w:rPr>
            </w:pPr>
            <w:r w:rsidRPr="00B170DF">
              <w:rPr>
                <w:rFonts w:hint="eastAsia"/>
                <w:sz w:val="21"/>
                <w:szCs w:val="21"/>
              </w:rPr>
              <w:t>是</w:t>
            </w:r>
          </w:p>
        </w:tc>
      </w:tr>
      <w:tr w:rsidR="003102D4" w:rsidRPr="00B170DF" w14:paraId="29D3CDC3" w14:textId="77777777">
        <w:trPr>
          <w:trHeight w:val="397"/>
          <w:jc w:val="center"/>
        </w:trPr>
        <w:tc>
          <w:tcPr>
            <w:tcW w:w="2000" w:type="pct"/>
            <w:shd w:val="clear" w:color="auto" w:fill="FFFFFF"/>
            <w:tcMar>
              <w:top w:w="0" w:type="dxa"/>
              <w:left w:w="30" w:type="dxa"/>
              <w:bottom w:w="0" w:type="dxa"/>
              <w:right w:w="30" w:type="dxa"/>
            </w:tcMar>
            <w:vAlign w:val="center"/>
          </w:tcPr>
          <w:p w14:paraId="3AA507A1" w14:textId="77777777" w:rsidR="003102D4" w:rsidRPr="00B170DF" w:rsidRDefault="003102D4" w:rsidP="003102D4">
            <w:pPr>
              <w:spacing w:beforeLines="0" w:before="0" w:afterLines="0" w:after="0" w:line="240" w:lineRule="auto"/>
              <w:ind w:firstLineChars="0" w:firstLine="0"/>
              <w:rPr>
                <w:b/>
                <w:bCs/>
                <w:sz w:val="21"/>
                <w:szCs w:val="21"/>
              </w:rPr>
            </w:pPr>
            <w:r w:rsidRPr="00B170DF">
              <w:rPr>
                <w:rFonts w:hint="eastAsia"/>
                <w:b/>
                <w:bCs/>
                <w:sz w:val="21"/>
                <w:szCs w:val="21"/>
              </w:rPr>
              <w:t>二、中药传统名方产业化</w:t>
            </w:r>
          </w:p>
        </w:tc>
        <w:tc>
          <w:tcPr>
            <w:tcW w:w="934" w:type="pct"/>
            <w:shd w:val="clear" w:color="auto" w:fill="FFFFFF"/>
            <w:tcMar>
              <w:top w:w="0" w:type="dxa"/>
              <w:left w:w="30" w:type="dxa"/>
              <w:bottom w:w="0" w:type="dxa"/>
              <w:right w:w="30" w:type="dxa"/>
            </w:tcMar>
            <w:vAlign w:val="center"/>
          </w:tcPr>
          <w:p w14:paraId="68228E04" w14:textId="77777777" w:rsidR="003102D4" w:rsidRPr="00B170DF" w:rsidRDefault="003102D4" w:rsidP="003102D4">
            <w:pPr>
              <w:spacing w:beforeLines="0" w:before="0" w:afterLines="0" w:after="0" w:line="240" w:lineRule="auto"/>
              <w:ind w:firstLineChars="0" w:firstLine="0"/>
              <w:jc w:val="right"/>
              <w:rPr>
                <w:sz w:val="21"/>
                <w:szCs w:val="21"/>
              </w:rPr>
            </w:pPr>
            <w:r w:rsidRPr="00B170DF">
              <w:rPr>
                <w:sz w:val="21"/>
                <w:szCs w:val="21"/>
              </w:rPr>
              <w:t>10,525.29</w:t>
            </w:r>
          </w:p>
        </w:tc>
        <w:tc>
          <w:tcPr>
            <w:tcW w:w="933" w:type="pct"/>
            <w:shd w:val="clear" w:color="auto" w:fill="FFFFFF"/>
            <w:tcMar>
              <w:top w:w="0" w:type="dxa"/>
              <w:left w:w="30" w:type="dxa"/>
              <w:bottom w:w="0" w:type="dxa"/>
              <w:right w:w="30" w:type="dxa"/>
            </w:tcMar>
            <w:vAlign w:val="center"/>
          </w:tcPr>
          <w:p w14:paraId="10AF2A30" w14:textId="77777777" w:rsidR="003102D4" w:rsidRPr="00B170DF" w:rsidRDefault="008E518B" w:rsidP="003102D4">
            <w:pPr>
              <w:spacing w:beforeLines="0" w:before="0" w:afterLines="0" w:after="0" w:line="240" w:lineRule="auto"/>
              <w:ind w:firstLineChars="0" w:firstLine="0"/>
              <w:jc w:val="right"/>
              <w:rPr>
                <w:sz w:val="21"/>
                <w:szCs w:val="21"/>
              </w:rPr>
            </w:pPr>
            <w:r w:rsidRPr="00B170DF">
              <w:rPr>
                <w:sz w:val="21"/>
                <w:szCs w:val="21"/>
              </w:rPr>
              <w:t>8,849.05</w:t>
            </w:r>
          </w:p>
        </w:tc>
        <w:tc>
          <w:tcPr>
            <w:tcW w:w="1133" w:type="pct"/>
            <w:shd w:val="clear" w:color="auto" w:fill="FFFFFF"/>
            <w:vAlign w:val="center"/>
          </w:tcPr>
          <w:p w14:paraId="2AF23B25" w14:textId="77777777" w:rsidR="003102D4" w:rsidRPr="00B170DF" w:rsidRDefault="003102D4" w:rsidP="003102D4">
            <w:pPr>
              <w:spacing w:beforeLines="0" w:before="0" w:afterLines="0" w:after="0" w:line="240" w:lineRule="auto"/>
              <w:ind w:firstLineChars="0" w:firstLine="0"/>
              <w:jc w:val="center"/>
              <w:rPr>
                <w:sz w:val="21"/>
                <w:szCs w:val="21"/>
              </w:rPr>
            </w:pPr>
            <w:r w:rsidRPr="00B170DF">
              <w:rPr>
                <w:sz w:val="21"/>
                <w:szCs w:val="21"/>
              </w:rPr>
              <w:t>是</w:t>
            </w:r>
          </w:p>
        </w:tc>
      </w:tr>
      <w:tr w:rsidR="003102D4" w:rsidRPr="00B170DF" w14:paraId="1C8B9ECE" w14:textId="77777777">
        <w:trPr>
          <w:trHeight w:val="397"/>
          <w:jc w:val="center"/>
        </w:trPr>
        <w:tc>
          <w:tcPr>
            <w:tcW w:w="2000" w:type="pct"/>
            <w:shd w:val="clear" w:color="auto" w:fill="FFFFFF"/>
            <w:tcMar>
              <w:top w:w="0" w:type="dxa"/>
              <w:left w:w="30" w:type="dxa"/>
              <w:bottom w:w="0" w:type="dxa"/>
              <w:right w:w="30" w:type="dxa"/>
            </w:tcMar>
            <w:vAlign w:val="center"/>
          </w:tcPr>
          <w:p w14:paraId="3D898B14" w14:textId="77777777" w:rsidR="003102D4" w:rsidRPr="00B170DF" w:rsidRDefault="003102D4" w:rsidP="003102D4">
            <w:pPr>
              <w:spacing w:beforeLines="0" w:before="0" w:afterLines="0" w:after="0" w:line="240" w:lineRule="auto"/>
              <w:ind w:firstLineChars="0" w:firstLine="0"/>
              <w:rPr>
                <w:b/>
                <w:bCs/>
                <w:sz w:val="21"/>
                <w:szCs w:val="21"/>
              </w:rPr>
            </w:pPr>
            <w:r w:rsidRPr="00B170DF">
              <w:rPr>
                <w:rFonts w:hint="eastAsia"/>
                <w:b/>
                <w:bCs/>
                <w:sz w:val="21"/>
                <w:szCs w:val="21"/>
              </w:rPr>
              <w:t>三、</w:t>
            </w:r>
            <w:r w:rsidRPr="00B170DF">
              <w:rPr>
                <w:b/>
                <w:bCs/>
                <w:sz w:val="21"/>
                <w:szCs w:val="21"/>
              </w:rPr>
              <w:t>补充流动资金</w:t>
            </w:r>
          </w:p>
        </w:tc>
        <w:tc>
          <w:tcPr>
            <w:tcW w:w="934" w:type="pct"/>
            <w:shd w:val="clear" w:color="auto" w:fill="FFFFFF"/>
            <w:tcMar>
              <w:top w:w="0" w:type="dxa"/>
              <w:left w:w="30" w:type="dxa"/>
              <w:bottom w:w="0" w:type="dxa"/>
              <w:right w:w="30" w:type="dxa"/>
            </w:tcMar>
            <w:vAlign w:val="center"/>
          </w:tcPr>
          <w:p w14:paraId="60A964EA" w14:textId="77777777" w:rsidR="003102D4" w:rsidRPr="00B170DF" w:rsidRDefault="003102D4" w:rsidP="003102D4">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933" w:type="pct"/>
            <w:shd w:val="clear" w:color="auto" w:fill="FFFFFF"/>
            <w:tcMar>
              <w:top w:w="0" w:type="dxa"/>
              <w:left w:w="30" w:type="dxa"/>
              <w:bottom w:w="0" w:type="dxa"/>
              <w:right w:w="30" w:type="dxa"/>
            </w:tcMar>
            <w:vAlign w:val="center"/>
          </w:tcPr>
          <w:p w14:paraId="5D915F5D" w14:textId="77777777" w:rsidR="003102D4" w:rsidRPr="00B170DF" w:rsidRDefault="003102D4" w:rsidP="003102D4">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1133" w:type="pct"/>
            <w:shd w:val="clear" w:color="auto" w:fill="FFFFFF"/>
            <w:vAlign w:val="center"/>
          </w:tcPr>
          <w:p w14:paraId="2D046461" w14:textId="77777777" w:rsidR="003102D4" w:rsidRPr="00B170DF" w:rsidRDefault="003102D4" w:rsidP="003102D4">
            <w:pPr>
              <w:spacing w:beforeLines="0" w:before="0" w:afterLines="0" w:after="0" w:line="240" w:lineRule="auto"/>
              <w:ind w:firstLineChars="0" w:firstLine="0"/>
              <w:jc w:val="center"/>
              <w:rPr>
                <w:sz w:val="21"/>
                <w:szCs w:val="21"/>
              </w:rPr>
            </w:pPr>
            <w:r w:rsidRPr="00B170DF">
              <w:rPr>
                <w:sz w:val="21"/>
                <w:szCs w:val="21"/>
              </w:rPr>
              <w:t>否</w:t>
            </w:r>
          </w:p>
        </w:tc>
      </w:tr>
      <w:tr w:rsidR="003102D4" w:rsidRPr="00B170DF" w14:paraId="475274D5" w14:textId="77777777">
        <w:trPr>
          <w:trHeight w:val="397"/>
          <w:jc w:val="center"/>
        </w:trPr>
        <w:tc>
          <w:tcPr>
            <w:tcW w:w="2000" w:type="pct"/>
            <w:shd w:val="clear" w:color="auto" w:fill="FFFFFF"/>
            <w:vAlign w:val="center"/>
          </w:tcPr>
          <w:p w14:paraId="3357F5D7" w14:textId="77777777" w:rsidR="003102D4" w:rsidRPr="00B170DF" w:rsidRDefault="003102D4" w:rsidP="003102D4">
            <w:pPr>
              <w:spacing w:beforeLines="0" w:before="0" w:afterLines="0" w:after="0" w:line="240" w:lineRule="auto"/>
              <w:ind w:firstLineChars="0" w:firstLine="0"/>
              <w:jc w:val="center"/>
              <w:rPr>
                <w:b/>
                <w:sz w:val="21"/>
                <w:szCs w:val="21"/>
              </w:rPr>
            </w:pPr>
            <w:r w:rsidRPr="00B170DF">
              <w:rPr>
                <w:b/>
                <w:sz w:val="21"/>
                <w:szCs w:val="21"/>
              </w:rPr>
              <w:t>合计：</w:t>
            </w:r>
          </w:p>
        </w:tc>
        <w:tc>
          <w:tcPr>
            <w:tcW w:w="934" w:type="pct"/>
            <w:shd w:val="clear" w:color="auto" w:fill="FFFFFF"/>
            <w:tcMar>
              <w:top w:w="0" w:type="dxa"/>
              <w:left w:w="30" w:type="dxa"/>
              <w:bottom w:w="0" w:type="dxa"/>
              <w:right w:w="30" w:type="dxa"/>
            </w:tcMar>
            <w:vAlign w:val="center"/>
          </w:tcPr>
          <w:p w14:paraId="507F0B00" w14:textId="77777777" w:rsidR="003102D4" w:rsidRPr="00B170DF" w:rsidRDefault="003102D4" w:rsidP="003102D4">
            <w:pPr>
              <w:spacing w:beforeLines="0" w:before="0" w:afterLines="0" w:after="0" w:line="240" w:lineRule="auto"/>
              <w:ind w:firstLineChars="0" w:firstLine="0"/>
              <w:jc w:val="right"/>
              <w:rPr>
                <w:b/>
                <w:bCs/>
                <w:sz w:val="21"/>
                <w:szCs w:val="21"/>
              </w:rPr>
            </w:pPr>
            <w:r w:rsidRPr="00B170DF">
              <w:rPr>
                <w:b/>
                <w:bCs/>
                <w:sz w:val="21"/>
                <w:szCs w:val="21"/>
              </w:rPr>
              <w:t>102,625.89</w:t>
            </w:r>
          </w:p>
        </w:tc>
        <w:tc>
          <w:tcPr>
            <w:tcW w:w="933" w:type="pct"/>
            <w:shd w:val="clear" w:color="auto" w:fill="FFFFFF"/>
            <w:tcMar>
              <w:top w:w="0" w:type="dxa"/>
              <w:left w:w="30" w:type="dxa"/>
              <w:bottom w:w="0" w:type="dxa"/>
              <w:right w:w="30" w:type="dxa"/>
            </w:tcMar>
            <w:vAlign w:val="center"/>
          </w:tcPr>
          <w:p w14:paraId="34D5ED4C" w14:textId="77777777" w:rsidR="003102D4" w:rsidRPr="00B170DF" w:rsidRDefault="008E518B" w:rsidP="003102D4">
            <w:pPr>
              <w:spacing w:beforeLines="0" w:before="0" w:afterLines="0" w:after="0" w:line="240" w:lineRule="auto"/>
              <w:ind w:firstLineChars="0" w:firstLine="0"/>
              <w:jc w:val="right"/>
              <w:rPr>
                <w:b/>
                <w:bCs/>
                <w:sz w:val="21"/>
                <w:szCs w:val="21"/>
              </w:rPr>
            </w:pPr>
            <w:r w:rsidRPr="00B170DF">
              <w:rPr>
                <w:b/>
                <w:bCs/>
                <w:sz w:val="21"/>
                <w:szCs w:val="21"/>
              </w:rPr>
              <w:t>97,686.65</w:t>
            </w:r>
            <w:r w:rsidR="003102D4" w:rsidRPr="00B170DF">
              <w:rPr>
                <w:b/>
                <w:bCs/>
                <w:sz w:val="21"/>
                <w:szCs w:val="21"/>
              </w:rPr>
              <w:t xml:space="preserve"> </w:t>
            </w:r>
          </w:p>
        </w:tc>
        <w:tc>
          <w:tcPr>
            <w:tcW w:w="1133" w:type="pct"/>
            <w:shd w:val="clear" w:color="auto" w:fill="FFFFFF"/>
            <w:vAlign w:val="center"/>
          </w:tcPr>
          <w:p w14:paraId="0DFD3E7A" w14:textId="77777777" w:rsidR="003102D4" w:rsidRPr="00B170DF" w:rsidRDefault="003102D4" w:rsidP="003102D4">
            <w:pPr>
              <w:spacing w:beforeLines="0" w:before="0" w:afterLines="0" w:after="0" w:line="240" w:lineRule="auto"/>
              <w:ind w:firstLineChars="0" w:firstLine="0"/>
              <w:jc w:val="center"/>
              <w:rPr>
                <w:b/>
                <w:sz w:val="21"/>
                <w:szCs w:val="21"/>
              </w:rPr>
            </w:pPr>
            <w:r w:rsidRPr="00B170DF">
              <w:rPr>
                <w:b/>
                <w:sz w:val="21"/>
                <w:szCs w:val="21"/>
              </w:rPr>
              <w:t>-</w:t>
            </w:r>
          </w:p>
        </w:tc>
      </w:tr>
    </w:tbl>
    <w:p w14:paraId="4158F728" w14:textId="77777777" w:rsidR="00826B7B" w:rsidRPr="00B170DF" w:rsidRDefault="00826B7B" w:rsidP="00826B7B">
      <w:pPr>
        <w:autoSpaceDE w:val="0"/>
        <w:autoSpaceDN w:val="0"/>
        <w:spacing w:before="163" w:after="163"/>
        <w:ind w:firstLine="480"/>
        <w:rPr>
          <w:rFonts w:ascii="宋体" w:hAnsi="宋体" w:cs="宋体" w:hint="eastAsia"/>
          <w:kern w:val="0"/>
          <w:lang w:val="zh-CN" w:bidi="zh-CN"/>
        </w:rPr>
      </w:pPr>
      <w:r w:rsidRPr="00B170DF">
        <w:rPr>
          <w:rFonts w:ascii="宋体" w:hAnsi="宋体" w:cs="宋体" w:hint="eastAsia"/>
          <w:kern w:val="0"/>
          <w:lang w:val="zh-CN" w:bidi="zh-CN"/>
        </w:rPr>
        <w:t>若本次发行实际募集资金净额低于拟投资项目的实际资金需求，在不改变拟投资项目的前提下，董事会可根据项目的实际需求，对上述项目的募集资金投入金额、优先顺序进行适当调整，不足部分由公司自行筹措资金解决。</w:t>
      </w:r>
    </w:p>
    <w:p w14:paraId="0D0E82F7"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hint="eastAsia"/>
          <w:kern w:val="0"/>
          <w:lang w:val="zh-CN" w:bidi="zh-CN"/>
        </w:rPr>
        <w:t>若公司在本次发行募集资金到位前，根据项目进度的实际情况，以自有资金或其他方式筹集的资金先行投入上述项目，则先行投入部分将在本次募集资金到位后按照相关法律法规予以置换。</w:t>
      </w:r>
    </w:p>
    <w:p w14:paraId="00C2F183"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（八）本次发行前滚存未分配利润的安排</w:t>
      </w:r>
    </w:p>
    <w:p w14:paraId="51B7CF68"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本次向特定对象发行</w:t>
      </w:r>
      <w:r w:rsidRPr="00B170DF">
        <w:rPr>
          <w:kern w:val="0"/>
          <w:lang w:val="zh-CN" w:bidi="zh-CN"/>
        </w:rPr>
        <w:t>A</w:t>
      </w:r>
      <w:r w:rsidRPr="00B170DF">
        <w:rPr>
          <w:rFonts w:ascii="宋体" w:hAnsi="宋体" w:cs="宋体"/>
          <w:kern w:val="0"/>
          <w:lang w:val="zh-CN" w:bidi="zh-CN"/>
        </w:rPr>
        <w:t>股股票完成前的公司滚存利润由本次发行完成后的新老股东</w:t>
      </w:r>
      <w:r w:rsidRPr="00B170DF">
        <w:rPr>
          <w:rFonts w:ascii="宋体" w:hAnsi="宋体" w:cs="宋体" w:hint="eastAsia"/>
          <w:kern w:val="0"/>
          <w:lang w:val="zh-CN" w:bidi="zh-CN"/>
        </w:rPr>
        <w:t>按照发行后的股份比例</w:t>
      </w:r>
      <w:r w:rsidRPr="00B170DF">
        <w:rPr>
          <w:rFonts w:ascii="宋体" w:hAnsi="宋体" w:cs="宋体"/>
          <w:kern w:val="0"/>
          <w:lang w:val="zh-CN" w:bidi="zh-CN"/>
        </w:rPr>
        <w:t>共享。</w:t>
      </w:r>
    </w:p>
    <w:p w14:paraId="139CB80E"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（九）上市地点</w:t>
      </w:r>
    </w:p>
    <w:p w14:paraId="7E4DA5E8"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限售期届满后，本次向特定对象发行的股票将在深圳证券交易所创业板上市交易。</w:t>
      </w:r>
    </w:p>
    <w:p w14:paraId="03E2B7A9" w14:textId="77777777" w:rsidR="00826B7B" w:rsidRPr="00B170DF" w:rsidRDefault="00826B7B" w:rsidP="00826B7B">
      <w:pPr>
        <w:keepNext/>
        <w:keepLines/>
        <w:widowControl/>
        <w:spacing w:before="163" w:after="163"/>
        <w:ind w:firstLine="482"/>
        <w:jc w:val="left"/>
        <w:outlineLvl w:val="2"/>
        <w:rPr>
          <w:rFonts w:eastAsia="黑体"/>
          <w:b/>
          <w:bCs/>
          <w:szCs w:val="28"/>
        </w:rPr>
      </w:pPr>
      <w:r w:rsidRPr="00B170DF">
        <w:rPr>
          <w:rFonts w:eastAsia="黑体" w:hint="eastAsia"/>
          <w:b/>
          <w:bCs/>
          <w:szCs w:val="28"/>
        </w:rPr>
        <w:t>（十）发行决议有效期</w:t>
      </w:r>
    </w:p>
    <w:p w14:paraId="2BAC83F8" w14:textId="77777777" w:rsidR="00826B7B" w:rsidRPr="00B170DF" w:rsidRDefault="00826B7B" w:rsidP="00826B7B">
      <w:pPr>
        <w:autoSpaceDE w:val="0"/>
        <w:autoSpaceDN w:val="0"/>
        <w:adjustRightInd w:val="0"/>
        <w:spacing w:before="163" w:afterLines="0" w:after="0"/>
        <w:ind w:firstLine="480"/>
        <w:rPr>
          <w:rFonts w:ascii="宋体" w:hAnsi="宋体" w:cs="宋体" w:hint="eastAsia"/>
          <w:kern w:val="0"/>
          <w:lang w:val="zh-CN" w:bidi="zh-CN"/>
        </w:rPr>
      </w:pPr>
      <w:r w:rsidRPr="00B170DF">
        <w:rPr>
          <w:rFonts w:ascii="宋体" w:hAnsi="宋体" w:cs="宋体"/>
          <w:kern w:val="0"/>
          <w:lang w:val="zh-CN" w:bidi="zh-CN"/>
        </w:rPr>
        <w:t>本次</w:t>
      </w:r>
      <w:r w:rsidRPr="00B170DF">
        <w:rPr>
          <w:rFonts w:ascii="宋体" w:hAnsi="宋体" w:cs="宋体" w:hint="eastAsia"/>
          <w:kern w:val="0"/>
          <w:lang w:val="zh-CN" w:bidi="zh-CN"/>
        </w:rPr>
        <w:t>向特定对象</w:t>
      </w:r>
      <w:r w:rsidRPr="00B170DF">
        <w:rPr>
          <w:rFonts w:ascii="宋体" w:hAnsi="宋体" w:cs="宋体"/>
          <w:kern w:val="0"/>
          <w:lang w:val="zh-CN" w:bidi="zh-CN"/>
        </w:rPr>
        <w:t>发行</w:t>
      </w:r>
      <w:r w:rsidRPr="00B170DF">
        <w:rPr>
          <w:kern w:val="0"/>
          <w:lang w:val="zh-CN" w:bidi="zh-CN"/>
        </w:rPr>
        <w:t>A</w:t>
      </w:r>
      <w:r w:rsidRPr="00B170DF">
        <w:rPr>
          <w:rFonts w:ascii="宋体" w:hAnsi="宋体" w:cs="宋体" w:hint="eastAsia"/>
          <w:kern w:val="0"/>
          <w:lang w:val="zh-CN" w:bidi="zh-CN"/>
        </w:rPr>
        <w:t>股股票</w:t>
      </w:r>
      <w:r w:rsidRPr="00B170DF">
        <w:rPr>
          <w:rFonts w:ascii="宋体" w:hAnsi="宋体" w:cs="宋体"/>
          <w:kern w:val="0"/>
          <w:lang w:val="zh-CN" w:bidi="zh-CN"/>
        </w:rPr>
        <w:t>决议有效期为自股东大会审议通过之日起</w:t>
      </w:r>
      <w:r w:rsidRPr="00B170DF">
        <w:rPr>
          <w:kern w:val="0"/>
          <w:lang w:val="zh-CN" w:bidi="zh-CN"/>
        </w:rPr>
        <w:t>12</w:t>
      </w:r>
      <w:r w:rsidRPr="00B170DF">
        <w:rPr>
          <w:rFonts w:ascii="宋体" w:hAnsi="宋体" w:cs="宋体"/>
          <w:kern w:val="0"/>
          <w:lang w:val="zh-CN" w:bidi="zh-CN"/>
        </w:rPr>
        <w:t>个月。</w:t>
      </w:r>
    </w:p>
    <w:p w14:paraId="144F9611" w14:textId="77777777" w:rsidR="00BE1852" w:rsidRPr="00B170DF" w:rsidRDefault="00872CDB" w:rsidP="00BE1852">
      <w:pPr>
        <w:keepNext/>
        <w:keepLines/>
        <w:widowControl/>
        <w:spacing w:before="163" w:after="163"/>
        <w:ind w:firstLineChars="0" w:firstLine="0"/>
        <w:outlineLvl w:val="1"/>
        <w:rPr>
          <w:rFonts w:eastAsia="黑体"/>
          <w:b/>
          <w:bCs/>
          <w:color w:val="000000"/>
          <w:sz w:val="28"/>
          <w:szCs w:val="28"/>
        </w:rPr>
      </w:pPr>
      <w:bookmarkStart w:id="42" w:name="_Toc194169716"/>
      <w:r w:rsidRPr="00B170DF">
        <w:rPr>
          <w:rFonts w:eastAsia="黑体" w:hint="eastAsia"/>
          <w:b/>
          <w:bCs/>
          <w:color w:val="000000"/>
          <w:sz w:val="28"/>
          <w:szCs w:val="28"/>
        </w:rPr>
        <w:t>五</w:t>
      </w:r>
      <w:r w:rsidR="00BE1852" w:rsidRPr="00B170DF">
        <w:rPr>
          <w:rFonts w:eastAsia="黑体" w:hint="eastAsia"/>
          <w:b/>
          <w:bCs/>
          <w:color w:val="000000"/>
          <w:sz w:val="28"/>
          <w:szCs w:val="28"/>
        </w:rPr>
        <w:t>、</w:t>
      </w:r>
      <w:bookmarkEnd w:id="41"/>
      <w:r w:rsidR="0075678E" w:rsidRPr="00B170DF">
        <w:rPr>
          <w:rFonts w:eastAsia="黑体" w:hint="eastAsia"/>
          <w:b/>
          <w:bCs/>
          <w:color w:val="000000"/>
          <w:sz w:val="28"/>
          <w:szCs w:val="28"/>
        </w:rPr>
        <w:t>本次发行是否构成关联交易</w:t>
      </w:r>
      <w:bookmarkEnd w:id="42"/>
    </w:p>
    <w:p w14:paraId="4C3CBCE7" w14:textId="77777777" w:rsidR="00BE1852" w:rsidRPr="00B170DF" w:rsidRDefault="0075678E" w:rsidP="0075678E">
      <w:pPr>
        <w:spacing w:before="163" w:afterLines="0" w:after="0"/>
        <w:ind w:firstLine="480"/>
        <w:rPr>
          <w:color w:val="000000"/>
        </w:rPr>
      </w:pPr>
      <w:r w:rsidRPr="00B170DF">
        <w:rPr>
          <w:rFonts w:hint="eastAsia"/>
          <w:color w:val="000000"/>
        </w:rPr>
        <w:t>截至本预案公告日，公司尚未确定具体的发行对象，因而无法确定发行对象与公司的关系。具体发行对象与公司之间的关系将在本次发行结束后公告的《发</w:t>
      </w:r>
      <w:r w:rsidRPr="00B170DF">
        <w:rPr>
          <w:rFonts w:hint="eastAsia"/>
          <w:color w:val="000000"/>
        </w:rPr>
        <w:lastRenderedPageBreak/>
        <w:t>行情况报告书》中予以披露。</w:t>
      </w:r>
    </w:p>
    <w:p w14:paraId="5127C2A2" w14:textId="77777777" w:rsidR="00BE1852" w:rsidRPr="00B170DF" w:rsidRDefault="0075678E" w:rsidP="00BE1852">
      <w:pPr>
        <w:keepNext/>
        <w:keepLines/>
        <w:widowControl/>
        <w:spacing w:before="163" w:after="163"/>
        <w:ind w:firstLineChars="0" w:firstLine="0"/>
        <w:outlineLvl w:val="1"/>
        <w:rPr>
          <w:rFonts w:eastAsia="黑体"/>
          <w:b/>
          <w:bCs/>
          <w:color w:val="000000"/>
          <w:sz w:val="28"/>
          <w:szCs w:val="28"/>
        </w:rPr>
      </w:pPr>
      <w:bookmarkStart w:id="43" w:name="_Toc194169717"/>
      <w:r w:rsidRPr="00B170DF">
        <w:rPr>
          <w:rFonts w:eastAsia="黑体" w:hint="eastAsia"/>
          <w:b/>
          <w:bCs/>
          <w:color w:val="000000"/>
          <w:sz w:val="28"/>
          <w:szCs w:val="28"/>
        </w:rPr>
        <w:t>六、本次发行是否导致公司控制权发生变化</w:t>
      </w:r>
      <w:bookmarkEnd w:id="43"/>
    </w:p>
    <w:p w14:paraId="7D629D16" w14:textId="77777777" w:rsidR="007F56B2" w:rsidRPr="00B170DF" w:rsidRDefault="007F56B2" w:rsidP="00BE1852">
      <w:pPr>
        <w:spacing w:before="163" w:afterLines="0" w:after="0"/>
        <w:ind w:firstLine="480"/>
        <w:rPr>
          <w:color w:val="000000"/>
        </w:rPr>
      </w:pPr>
      <w:r w:rsidRPr="00B170DF">
        <w:rPr>
          <w:rFonts w:hint="eastAsia"/>
          <w:color w:val="000000"/>
        </w:rPr>
        <w:t>截至</w:t>
      </w:r>
      <w:r w:rsidRPr="00B170DF">
        <w:rPr>
          <w:rFonts w:hint="eastAsia"/>
          <w:color w:val="000000"/>
        </w:rPr>
        <w:t>2024</w:t>
      </w:r>
      <w:r w:rsidRPr="00B170DF">
        <w:rPr>
          <w:rFonts w:hint="eastAsia"/>
          <w:color w:val="000000"/>
        </w:rPr>
        <w:t>年</w:t>
      </w:r>
      <w:r w:rsidRPr="00B170DF">
        <w:rPr>
          <w:rFonts w:hint="eastAsia"/>
          <w:color w:val="000000"/>
        </w:rPr>
        <w:t>12</w:t>
      </w:r>
      <w:r w:rsidRPr="00B170DF">
        <w:rPr>
          <w:rFonts w:hint="eastAsia"/>
          <w:color w:val="000000"/>
        </w:rPr>
        <w:t>月</w:t>
      </w:r>
      <w:r w:rsidRPr="00B170DF">
        <w:rPr>
          <w:rFonts w:hint="eastAsia"/>
          <w:color w:val="000000"/>
        </w:rPr>
        <w:t>31</w:t>
      </w:r>
      <w:r w:rsidRPr="00B170DF">
        <w:rPr>
          <w:rFonts w:hint="eastAsia"/>
          <w:color w:val="000000"/>
        </w:rPr>
        <w:t>日，奥华集团直接持有公司</w:t>
      </w:r>
      <w:r w:rsidRPr="00B170DF">
        <w:rPr>
          <w:rFonts w:hint="eastAsia"/>
          <w:color w:val="000000"/>
        </w:rPr>
        <w:t>35,068,651</w:t>
      </w:r>
      <w:r w:rsidRPr="00B170DF">
        <w:rPr>
          <w:rFonts w:hint="eastAsia"/>
          <w:color w:val="000000"/>
        </w:rPr>
        <w:t>股的股份，占公司股份总数的</w:t>
      </w:r>
      <w:r w:rsidRPr="00B170DF">
        <w:rPr>
          <w:rFonts w:hint="eastAsia"/>
          <w:color w:val="000000"/>
        </w:rPr>
        <w:t>22.02%</w:t>
      </w:r>
      <w:r w:rsidRPr="00B170DF">
        <w:rPr>
          <w:rFonts w:hint="eastAsia"/>
          <w:color w:val="000000"/>
        </w:rPr>
        <w:t>，系公司控股股东；李国平先生、叶理青女士和李国栋先生直接和间接控制本公司</w:t>
      </w:r>
      <w:r w:rsidRPr="00B170DF">
        <w:rPr>
          <w:rFonts w:hint="eastAsia"/>
          <w:color w:val="000000"/>
        </w:rPr>
        <w:t>45.92%</w:t>
      </w:r>
      <w:r w:rsidRPr="00B170DF">
        <w:rPr>
          <w:rFonts w:hint="eastAsia"/>
          <w:color w:val="000000"/>
        </w:rPr>
        <w:t>的表决权，为公司实际控制人。</w:t>
      </w:r>
    </w:p>
    <w:p w14:paraId="4B3145D5" w14:textId="77777777" w:rsidR="007F56B2" w:rsidRPr="00B170DF" w:rsidRDefault="007F56B2" w:rsidP="007F56B2">
      <w:pPr>
        <w:spacing w:before="163" w:afterLines="0" w:after="0"/>
        <w:ind w:firstLine="480"/>
        <w:rPr>
          <w:color w:val="000000"/>
        </w:rPr>
      </w:pPr>
      <w:r w:rsidRPr="00B170DF">
        <w:rPr>
          <w:rFonts w:hint="eastAsia"/>
          <w:color w:val="000000"/>
        </w:rPr>
        <w:t>2025</w:t>
      </w:r>
      <w:r w:rsidRPr="00B170DF">
        <w:rPr>
          <w:rFonts w:hint="eastAsia"/>
          <w:color w:val="000000"/>
        </w:rPr>
        <w:t>年</w:t>
      </w:r>
      <w:r w:rsidRPr="00B170DF">
        <w:rPr>
          <w:rFonts w:hint="eastAsia"/>
          <w:color w:val="000000"/>
        </w:rPr>
        <w:t>1</w:t>
      </w:r>
      <w:r w:rsidRPr="00B170DF">
        <w:rPr>
          <w:rFonts w:hint="eastAsia"/>
          <w:color w:val="000000"/>
        </w:rPr>
        <w:t>月</w:t>
      </w:r>
      <w:r w:rsidRPr="00B170DF">
        <w:rPr>
          <w:rFonts w:hint="eastAsia"/>
          <w:color w:val="000000"/>
        </w:rPr>
        <w:t>24</w:t>
      </w:r>
      <w:r w:rsidRPr="00B170DF">
        <w:rPr>
          <w:rFonts w:hint="eastAsia"/>
          <w:color w:val="000000"/>
        </w:rPr>
        <w:t>日，公司披露了《关于控股股东协议转让公司部分股份引入战略投资者过户登记完成的公告》（</w:t>
      </w:r>
      <w:r w:rsidRPr="00B170DF">
        <w:rPr>
          <w:rFonts w:hint="eastAsia"/>
          <w:color w:val="000000"/>
        </w:rPr>
        <w:t>2025007</w:t>
      </w:r>
      <w:r w:rsidRPr="00B170DF">
        <w:rPr>
          <w:rFonts w:hint="eastAsia"/>
          <w:color w:val="000000"/>
        </w:rPr>
        <w:t>），公司控股股东奥华集团与漳州圆山大健康产业投资基金合伙企业（有限合伙）（以下简称“圆山基金”）的协议转让事项已在中国证券登记结算有限责任公司办理完成过户登记手续，并取得《证券过户登记确认书》。本次协议转让股份过户完成后，奥华集团持有公司</w:t>
      </w:r>
      <w:r w:rsidRPr="00B170DF">
        <w:rPr>
          <w:rFonts w:hint="eastAsia"/>
          <w:color w:val="000000"/>
        </w:rPr>
        <w:t>17.00%</w:t>
      </w:r>
      <w:r w:rsidRPr="00B170DF">
        <w:rPr>
          <w:rFonts w:hint="eastAsia"/>
          <w:color w:val="000000"/>
        </w:rPr>
        <w:t>的股份，李国平先生、叶理青女士和李国栋先生直接和间接控制本公司</w:t>
      </w:r>
      <w:r w:rsidRPr="00B170DF">
        <w:rPr>
          <w:rFonts w:hint="eastAsia"/>
          <w:color w:val="000000"/>
        </w:rPr>
        <w:t>40.</w:t>
      </w:r>
      <w:r w:rsidR="00736F82" w:rsidRPr="00B170DF">
        <w:rPr>
          <w:rFonts w:hint="eastAsia"/>
          <w:color w:val="000000"/>
        </w:rPr>
        <w:t>89</w:t>
      </w:r>
      <w:r w:rsidRPr="00B170DF">
        <w:rPr>
          <w:rFonts w:hint="eastAsia"/>
          <w:color w:val="000000"/>
        </w:rPr>
        <w:t>%</w:t>
      </w:r>
      <w:r w:rsidRPr="00B170DF">
        <w:rPr>
          <w:rFonts w:hint="eastAsia"/>
          <w:color w:val="000000"/>
        </w:rPr>
        <w:t>的表决权，公司的控股股东、实际控制人未发生变更。</w:t>
      </w:r>
    </w:p>
    <w:p w14:paraId="3C50EB80" w14:textId="77777777" w:rsidR="00BE1852" w:rsidRPr="00B170DF" w:rsidRDefault="007F56B2" w:rsidP="007F56B2">
      <w:pPr>
        <w:spacing w:before="163" w:afterLines="0" w:after="0"/>
        <w:ind w:firstLine="480"/>
        <w:rPr>
          <w:color w:val="000000"/>
        </w:rPr>
      </w:pPr>
      <w:r w:rsidRPr="00B170DF">
        <w:rPr>
          <w:rFonts w:hint="eastAsia"/>
          <w:color w:val="000000"/>
        </w:rPr>
        <w:t>本次</w:t>
      </w:r>
      <w:r w:rsidR="005B7FDD" w:rsidRPr="00B170DF">
        <w:rPr>
          <w:rFonts w:hint="eastAsia"/>
          <w:color w:val="000000"/>
        </w:rPr>
        <w:t>向特定对象发行</w:t>
      </w:r>
      <w:r w:rsidR="005B7FDD" w:rsidRPr="00B170DF">
        <w:rPr>
          <w:rFonts w:hint="eastAsia"/>
          <w:color w:val="000000"/>
        </w:rPr>
        <w:t>A</w:t>
      </w:r>
      <w:r w:rsidR="005B7FDD" w:rsidRPr="00B170DF">
        <w:rPr>
          <w:rFonts w:hint="eastAsia"/>
          <w:color w:val="000000"/>
        </w:rPr>
        <w:t>股股票</w:t>
      </w:r>
      <w:r w:rsidRPr="00B170DF">
        <w:rPr>
          <w:rFonts w:hint="eastAsia"/>
          <w:color w:val="000000"/>
        </w:rPr>
        <w:t>数量按照募集资金总额除以发行价格确定，且不超过本次向特定对象发行前公司总股本的百分之三十。若按目前公司总股本测算，本次</w:t>
      </w:r>
      <w:r w:rsidR="005B7FDD" w:rsidRPr="00B170DF">
        <w:rPr>
          <w:rFonts w:hint="eastAsia"/>
          <w:color w:val="000000"/>
        </w:rPr>
        <w:t>向特定对象发行</w:t>
      </w:r>
      <w:r w:rsidR="005B7FDD" w:rsidRPr="00B170DF">
        <w:rPr>
          <w:rFonts w:hint="eastAsia"/>
          <w:color w:val="000000"/>
        </w:rPr>
        <w:t>A</w:t>
      </w:r>
      <w:r w:rsidR="005B7FDD" w:rsidRPr="00B170DF">
        <w:rPr>
          <w:rFonts w:hint="eastAsia"/>
          <w:color w:val="000000"/>
        </w:rPr>
        <w:t>股股票</w:t>
      </w:r>
      <w:r w:rsidRPr="00B170DF">
        <w:rPr>
          <w:rFonts w:hint="eastAsia"/>
          <w:color w:val="000000"/>
        </w:rPr>
        <w:t>数量不超过</w:t>
      </w:r>
      <w:r w:rsidRPr="00B170DF">
        <w:rPr>
          <w:rFonts w:hint="eastAsia"/>
          <w:color w:val="000000"/>
        </w:rPr>
        <w:t>47,780,100</w:t>
      </w:r>
      <w:r w:rsidRPr="00B170DF">
        <w:rPr>
          <w:rFonts w:hint="eastAsia"/>
          <w:color w:val="000000"/>
        </w:rPr>
        <w:t>股（含本数）。本次发行后，李国平、叶理青（李国平的配偶）及李国栋（李国平的弟弟），其直接或间接通过奥华集团、奥泰投资共同控制发行人的表决权不低于</w:t>
      </w:r>
      <w:r w:rsidRPr="00B170DF">
        <w:rPr>
          <w:rFonts w:hint="eastAsia"/>
          <w:color w:val="000000"/>
        </w:rPr>
        <w:t>31.46%</w:t>
      </w:r>
      <w:r w:rsidRPr="00B170DF">
        <w:rPr>
          <w:rFonts w:hint="eastAsia"/>
          <w:color w:val="000000"/>
        </w:rPr>
        <w:t>，仍为公司实际控制人。依据上述发行方案，本次向特定对象发行不会导致发行人实际控制人的控制地位发生变化。</w:t>
      </w:r>
    </w:p>
    <w:p w14:paraId="07674F4A" w14:textId="77777777" w:rsidR="00BE1852" w:rsidRPr="00B170DF" w:rsidRDefault="007F56B2" w:rsidP="007F56B2">
      <w:pPr>
        <w:keepNext/>
        <w:keepLines/>
        <w:widowControl/>
        <w:spacing w:before="163" w:after="163"/>
        <w:ind w:firstLineChars="0" w:firstLine="0"/>
        <w:outlineLvl w:val="1"/>
        <w:rPr>
          <w:rFonts w:eastAsia="黑体"/>
          <w:b/>
          <w:bCs/>
          <w:color w:val="000000"/>
          <w:sz w:val="28"/>
          <w:szCs w:val="28"/>
        </w:rPr>
      </w:pPr>
      <w:bookmarkStart w:id="44" w:name="_Toc194169718"/>
      <w:r w:rsidRPr="00B170DF">
        <w:rPr>
          <w:rFonts w:eastAsia="黑体" w:hint="eastAsia"/>
          <w:b/>
          <w:bCs/>
          <w:color w:val="000000"/>
          <w:sz w:val="28"/>
          <w:szCs w:val="28"/>
        </w:rPr>
        <w:t>七、本次发行是否导致股权分布不具备上市条件</w:t>
      </w:r>
      <w:bookmarkEnd w:id="44"/>
    </w:p>
    <w:p w14:paraId="21598FCB" w14:textId="77777777" w:rsidR="009749C9" w:rsidRPr="00B170DF" w:rsidRDefault="009749C9" w:rsidP="009749C9">
      <w:pPr>
        <w:spacing w:before="163" w:after="163"/>
        <w:ind w:firstLine="480"/>
        <w:rPr>
          <w:szCs w:val="24"/>
        </w:rPr>
      </w:pPr>
      <w:r w:rsidRPr="00B170DF">
        <w:rPr>
          <w:rFonts w:hint="eastAsia"/>
          <w:szCs w:val="24"/>
        </w:rPr>
        <w:t>本次发行完成之后，公司社会公众股东合计持股比例将不低于公司总股本的</w:t>
      </w:r>
      <w:r w:rsidRPr="00B170DF">
        <w:rPr>
          <w:rFonts w:hint="eastAsia"/>
          <w:szCs w:val="24"/>
        </w:rPr>
        <w:t>25%</w:t>
      </w:r>
      <w:r w:rsidRPr="00B170DF">
        <w:rPr>
          <w:rFonts w:hint="eastAsia"/>
          <w:szCs w:val="24"/>
        </w:rPr>
        <w:t>，公司仍满足《公司法》《证券法》及《上市规则》等法律法规规定的股票上市条件。本次发行不会导致公司的股权分布不具备上市条件。</w:t>
      </w:r>
    </w:p>
    <w:p w14:paraId="03EE2449" w14:textId="77777777" w:rsidR="009749C9" w:rsidRPr="00B170DF" w:rsidRDefault="009749C9" w:rsidP="009749C9">
      <w:pPr>
        <w:keepNext/>
        <w:keepLines/>
        <w:widowControl/>
        <w:spacing w:before="163" w:after="163"/>
        <w:ind w:firstLineChars="0" w:firstLine="0"/>
        <w:outlineLvl w:val="1"/>
        <w:rPr>
          <w:rFonts w:eastAsia="黑体"/>
          <w:b/>
          <w:bCs/>
          <w:color w:val="000000"/>
          <w:sz w:val="28"/>
          <w:szCs w:val="28"/>
        </w:rPr>
      </w:pPr>
      <w:bookmarkStart w:id="45" w:name="_Toc194169719"/>
      <w:r w:rsidRPr="00B170DF">
        <w:rPr>
          <w:rFonts w:eastAsia="黑体" w:hint="eastAsia"/>
          <w:b/>
          <w:bCs/>
          <w:color w:val="000000"/>
          <w:sz w:val="28"/>
          <w:szCs w:val="28"/>
        </w:rPr>
        <w:lastRenderedPageBreak/>
        <w:t>八、本次发行取得批准的情况以及尚需呈报批准的程序</w:t>
      </w:r>
      <w:bookmarkEnd w:id="45"/>
    </w:p>
    <w:p w14:paraId="61F2A736" w14:textId="77777777" w:rsidR="009749C9" w:rsidRPr="00B170DF" w:rsidRDefault="009749C9" w:rsidP="009749C9">
      <w:pPr>
        <w:spacing w:before="163" w:after="163"/>
        <w:ind w:firstLine="480"/>
        <w:rPr>
          <w:szCs w:val="24"/>
        </w:rPr>
      </w:pPr>
      <w:r w:rsidRPr="00B170DF">
        <w:rPr>
          <w:rFonts w:hint="eastAsia"/>
          <w:szCs w:val="24"/>
        </w:rPr>
        <w:t>本次发行已经由</w:t>
      </w:r>
      <w:r w:rsidRPr="00B170DF">
        <w:rPr>
          <w:rFonts w:hint="eastAsia"/>
          <w:szCs w:val="24"/>
        </w:rPr>
        <w:t>2025</w:t>
      </w:r>
      <w:r w:rsidRPr="00B170DF">
        <w:rPr>
          <w:rFonts w:hint="eastAsia"/>
          <w:szCs w:val="24"/>
        </w:rPr>
        <w:t>年</w:t>
      </w:r>
      <w:r w:rsidR="00D514AB" w:rsidRPr="00B170DF">
        <w:rPr>
          <w:rFonts w:hint="eastAsia"/>
          <w:szCs w:val="24"/>
        </w:rPr>
        <w:t>4</w:t>
      </w:r>
      <w:r w:rsidRPr="00B170DF">
        <w:rPr>
          <w:rFonts w:hint="eastAsia"/>
          <w:szCs w:val="24"/>
        </w:rPr>
        <w:t>月</w:t>
      </w:r>
      <w:r w:rsidR="00736F82" w:rsidRPr="00B170DF">
        <w:rPr>
          <w:rFonts w:hint="eastAsia"/>
          <w:szCs w:val="24"/>
        </w:rPr>
        <w:t>2</w:t>
      </w:r>
      <w:r w:rsidRPr="00B170DF">
        <w:rPr>
          <w:rFonts w:hint="eastAsia"/>
          <w:szCs w:val="24"/>
        </w:rPr>
        <w:t>日召开的公司第五届董事会第</w:t>
      </w:r>
      <w:r w:rsidR="00D514AB" w:rsidRPr="00B170DF">
        <w:rPr>
          <w:rFonts w:hint="eastAsia"/>
          <w:szCs w:val="24"/>
        </w:rPr>
        <w:t>七</w:t>
      </w:r>
      <w:r w:rsidRPr="00B170DF">
        <w:rPr>
          <w:rFonts w:hint="eastAsia"/>
          <w:szCs w:val="24"/>
        </w:rPr>
        <w:t>次会议审议通过，尚需获得公司股东大会审议通过、深圳证券交易所审核通过并经中国证监会</w:t>
      </w:r>
      <w:proofErr w:type="gramStart"/>
      <w:r w:rsidRPr="00B170DF">
        <w:rPr>
          <w:rFonts w:hint="eastAsia"/>
          <w:szCs w:val="24"/>
        </w:rPr>
        <w:t>作出</w:t>
      </w:r>
      <w:proofErr w:type="gramEnd"/>
      <w:r w:rsidRPr="00B170DF">
        <w:rPr>
          <w:rFonts w:hint="eastAsia"/>
          <w:szCs w:val="24"/>
        </w:rPr>
        <w:t>予以注册决定。</w:t>
      </w:r>
    </w:p>
    <w:p w14:paraId="3505A047" w14:textId="77777777" w:rsidR="009749C9" w:rsidRPr="00B170DF" w:rsidRDefault="009749C9" w:rsidP="009749C9">
      <w:pPr>
        <w:pStyle w:val="001"/>
        <w:spacing w:before="163" w:after="163"/>
        <w:jc w:val="both"/>
        <w:rPr>
          <w:szCs w:val="24"/>
        </w:rPr>
      </w:pPr>
      <w:bookmarkStart w:id="46" w:name="_Toc194169720"/>
      <w:r w:rsidRPr="00B170DF">
        <w:rPr>
          <w:rFonts w:hint="eastAsia"/>
          <w:color w:val="000000"/>
        </w:rPr>
        <w:lastRenderedPageBreak/>
        <w:t>第二节</w:t>
      </w:r>
      <w:r w:rsidRPr="00B170DF">
        <w:rPr>
          <w:rFonts w:hint="eastAsia"/>
          <w:color w:val="000000"/>
        </w:rPr>
        <w:t xml:space="preserve"> </w:t>
      </w:r>
      <w:r w:rsidRPr="00B170DF">
        <w:rPr>
          <w:rFonts w:hint="eastAsia"/>
          <w:color w:val="000000"/>
        </w:rPr>
        <w:t>董事会关于本次发行募集资金运用的可行性分析</w:t>
      </w:r>
      <w:bookmarkEnd w:id="46"/>
    </w:p>
    <w:p w14:paraId="33E29F95" w14:textId="77777777" w:rsidR="009749C9" w:rsidRPr="00B170DF" w:rsidRDefault="00B546B4" w:rsidP="00B546B4">
      <w:pPr>
        <w:keepNext/>
        <w:keepLines/>
        <w:widowControl/>
        <w:spacing w:before="163" w:after="163"/>
        <w:ind w:firstLineChars="0" w:firstLine="0"/>
        <w:outlineLvl w:val="1"/>
        <w:rPr>
          <w:rFonts w:eastAsia="黑体"/>
          <w:b/>
          <w:bCs/>
          <w:color w:val="000000"/>
          <w:sz w:val="28"/>
          <w:szCs w:val="28"/>
        </w:rPr>
      </w:pPr>
      <w:bookmarkStart w:id="47" w:name="_Toc194169721"/>
      <w:r w:rsidRPr="00B170DF">
        <w:rPr>
          <w:rFonts w:eastAsia="黑体" w:hint="eastAsia"/>
          <w:b/>
          <w:bCs/>
          <w:color w:val="000000"/>
          <w:sz w:val="28"/>
          <w:szCs w:val="28"/>
        </w:rPr>
        <w:t>一、本次发行募集资金使用投资计划</w:t>
      </w:r>
      <w:bookmarkEnd w:id="47"/>
    </w:p>
    <w:p w14:paraId="1810DE2A" w14:textId="77777777" w:rsidR="00A17E3E" w:rsidRPr="00B170DF" w:rsidRDefault="00A17E3E" w:rsidP="0072011E">
      <w:pPr>
        <w:widowControl/>
        <w:kinsoku w:val="0"/>
        <w:autoSpaceDE w:val="0"/>
        <w:autoSpaceDN w:val="0"/>
        <w:adjustRightInd w:val="0"/>
        <w:snapToGrid w:val="0"/>
        <w:spacing w:before="163" w:after="163"/>
        <w:ind w:left="23" w:right="23" w:firstLineChars="0" w:firstLine="476"/>
        <w:textAlignment w:val="baseline"/>
        <w:rPr>
          <w:rFonts w:ascii="宋体" w:hAnsi="宋体" w:cs="宋体" w:hint="eastAsia"/>
          <w:noProof/>
          <w:snapToGrid w:val="0"/>
          <w:color w:val="000000"/>
          <w:kern w:val="0"/>
          <w:szCs w:val="24"/>
        </w:rPr>
      </w:pPr>
      <w:r w:rsidRPr="00B170DF">
        <w:rPr>
          <w:rFonts w:ascii="宋体" w:hAnsi="宋体" w:cs="宋体"/>
          <w:noProof/>
          <w:snapToGrid w:val="0"/>
          <w:color w:val="000000"/>
          <w:spacing w:val="-2"/>
          <w:kern w:val="0"/>
          <w:szCs w:val="24"/>
        </w:rPr>
        <w:t>本次向特定对象发行</w:t>
      </w:r>
      <w:r w:rsidR="008E518B" w:rsidRPr="00B170DF">
        <w:rPr>
          <w:rFonts w:eastAsia="等线" w:hint="eastAsia"/>
          <w:noProof/>
          <w:snapToGrid w:val="0"/>
          <w:color w:val="000000"/>
          <w:spacing w:val="-2"/>
          <w:kern w:val="0"/>
          <w:szCs w:val="24"/>
        </w:rPr>
        <w:t>A</w:t>
      </w:r>
      <w:r w:rsidRPr="00B170DF">
        <w:rPr>
          <w:rFonts w:ascii="宋体" w:hAnsi="宋体" w:cs="宋体"/>
          <w:noProof/>
          <w:snapToGrid w:val="0"/>
          <w:color w:val="000000"/>
          <w:spacing w:val="-2"/>
          <w:kern w:val="0"/>
          <w:szCs w:val="24"/>
        </w:rPr>
        <w:t>股股票拟募集资金总额不超过</w:t>
      </w:r>
      <w:r w:rsidR="008E518B" w:rsidRPr="00B170DF">
        <w:rPr>
          <w:rFonts w:ascii="宋体" w:hAnsi="宋体" w:cs="宋体"/>
          <w:noProof/>
          <w:snapToGrid w:val="0"/>
          <w:color w:val="000000"/>
          <w:spacing w:val="-2"/>
          <w:kern w:val="0"/>
          <w:szCs w:val="24"/>
        </w:rPr>
        <w:t>97,686.65</w:t>
      </w:r>
      <w:r w:rsidRPr="00B170DF">
        <w:rPr>
          <w:rFonts w:ascii="宋体" w:hAnsi="宋体" w:cs="宋体"/>
          <w:noProof/>
          <w:snapToGrid w:val="0"/>
          <w:color w:val="000000"/>
          <w:spacing w:val="-2"/>
          <w:kern w:val="0"/>
          <w:szCs w:val="24"/>
        </w:rPr>
        <w:t>万元（含本</w:t>
      </w:r>
      <w:r w:rsidRPr="00B170DF">
        <w:rPr>
          <w:rFonts w:ascii="宋体" w:hAnsi="宋体" w:cs="宋体"/>
          <w:noProof/>
          <w:snapToGrid w:val="0"/>
          <w:color w:val="000000"/>
          <w:spacing w:val="-8"/>
          <w:kern w:val="0"/>
          <w:szCs w:val="24"/>
        </w:rPr>
        <w:t>数</w:t>
      </w:r>
      <w:r w:rsidRPr="00B170DF">
        <w:rPr>
          <w:rFonts w:ascii="宋体" w:hAnsi="宋体" w:cs="宋体"/>
          <w:noProof/>
          <w:snapToGrid w:val="0"/>
          <w:color w:val="000000"/>
          <w:spacing w:val="-24"/>
          <w:kern w:val="0"/>
          <w:szCs w:val="24"/>
        </w:rPr>
        <w:t>），</w:t>
      </w:r>
      <w:r w:rsidRPr="00B170DF">
        <w:rPr>
          <w:rFonts w:ascii="宋体" w:hAnsi="宋体" w:cs="宋体"/>
          <w:noProof/>
          <w:snapToGrid w:val="0"/>
          <w:color w:val="000000"/>
          <w:spacing w:val="-8"/>
          <w:kern w:val="0"/>
          <w:szCs w:val="24"/>
        </w:rPr>
        <w:t>扣除发行费用后全部用于以下项目：</w:t>
      </w:r>
    </w:p>
    <w:p w14:paraId="5A27AC3A" w14:textId="77777777" w:rsidR="00A17E3E" w:rsidRPr="00B170DF" w:rsidRDefault="00A17E3E" w:rsidP="00A17E3E">
      <w:pPr>
        <w:spacing w:before="163" w:after="163"/>
        <w:ind w:firstLineChars="0" w:firstLine="0"/>
        <w:jc w:val="right"/>
        <w:rPr>
          <w:sz w:val="21"/>
          <w:szCs w:val="21"/>
        </w:rPr>
      </w:pPr>
      <w:r w:rsidRPr="00B170DF">
        <w:rPr>
          <w:rFonts w:hint="eastAsia"/>
          <w:sz w:val="21"/>
          <w:szCs w:val="21"/>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311"/>
        <w:gridCol w:w="1546"/>
        <w:gridCol w:w="1544"/>
        <w:gridCol w:w="1875"/>
      </w:tblGrid>
      <w:tr w:rsidR="00A17E3E" w:rsidRPr="00B170DF" w14:paraId="6CC3A9C5" w14:textId="77777777">
        <w:trPr>
          <w:trHeight w:val="397"/>
          <w:tblHeader/>
          <w:jc w:val="center"/>
        </w:trPr>
        <w:tc>
          <w:tcPr>
            <w:tcW w:w="2000" w:type="pct"/>
            <w:shd w:val="clear" w:color="auto" w:fill="FFFFFF"/>
            <w:tcMar>
              <w:top w:w="0" w:type="dxa"/>
              <w:left w:w="30" w:type="dxa"/>
              <w:bottom w:w="0" w:type="dxa"/>
              <w:right w:w="30" w:type="dxa"/>
            </w:tcMar>
            <w:vAlign w:val="center"/>
          </w:tcPr>
          <w:p w14:paraId="3F070509" w14:textId="77777777" w:rsidR="00A17E3E" w:rsidRPr="00B170DF" w:rsidRDefault="00A17E3E" w:rsidP="00A17E3E">
            <w:pPr>
              <w:keepNext/>
              <w:spacing w:beforeLines="0" w:before="0" w:afterLines="0" w:after="0" w:line="240" w:lineRule="auto"/>
              <w:ind w:firstLineChars="0" w:firstLine="0"/>
              <w:jc w:val="center"/>
              <w:rPr>
                <w:b/>
                <w:sz w:val="21"/>
                <w:szCs w:val="21"/>
              </w:rPr>
            </w:pPr>
            <w:r w:rsidRPr="00B170DF">
              <w:rPr>
                <w:b/>
                <w:sz w:val="21"/>
                <w:szCs w:val="21"/>
              </w:rPr>
              <w:t>项目名称</w:t>
            </w:r>
          </w:p>
        </w:tc>
        <w:tc>
          <w:tcPr>
            <w:tcW w:w="934" w:type="pct"/>
            <w:shd w:val="clear" w:color="auto" w:fill="FFFFFF"/>
            <w:tcMar>
              <w:top w:w="0" w:type="dxa"/>
              <w:left w:w="30" w:type="dxa"/>
              <w:bottom w:w="0" w:type="dxa"/>
              <w:right w:w="30" w:type="dxa"/>
            </w:tcMar>
            <w:vAlign w:val="center"/>
          </w:tcPr>
          <w:p w14:paraId="0B590D8E" w14:textId="77777777" w:rsidR="00A17E3E" w:rsidRPr="00B170DF" w:rsidRDefault="00A17E3E" w:rsidP="00A17E3E">
            <w:pPr>
              <w:keepNext/>
              <w:spacing w:beforeLines="0" w:before="0" w:afterLines="0" w:after="0" w:line="240" w:lineRule="auto"/>
              <w:ind w:firstLineChars="0" w:firstLine="0"/>
              <w:jc w:val="center"/>
              <w:rPr>
                <w:b/>
                <w:sz w:val="21"/>
                <w:szCs w:val="21"/>
              </w:rPr>
            </w:pPr>
            <w:r w:rsidRPr="00B170DF">
              <w:rPr>
                <w:b/>
                <w:sz w:val="21"/>
                <w:szCs w:val="21"/>
              </w:rPr>
              <w:t>投资金额</w:t>
            </w:r>
          </w:p>
        </w:tc>
        <w:tc>
          <w:tcPr>
            <w:tcW w:w="933" w:type="pct"/>
            <w:shd w:val="clear" w:color="auto" w:fill="FFFFFF"/>
            <w:tcMar>
              <w:top w:w="0" w:type="dxa"/>
              <w:left w:w="30" w:type="dxa"/>
              <w:bottom w:w="0" w:type="dxa"/>
              <w:right w:w="30" w:type="dxa"/>
            </w:tcMar>
            <w:vAlign w:val="center"/>
          </w:tcPr>
          <w:p w14:paraId="7269A78C" w14:textId="77777777" w:rsidR="00A17E3E" w:rsidRPr="00B170DF" w:rsidRDefault="00A17E3E" w:rsidP="00A17E3E">
            <w:pPr>
              <w:keepNext/>
              <w:spacing w:beforeLines="0" w:before="0" w:afterLines="0" w:after="0" w:line="240" w:lineRule="auto"/>
              <w:ind w:firstLineChars="0" w:firstLine="0"/>
              <w:jc w:val="center"/>
              <w:rPr>
                <w:b/>
                <w:sz w:val="21"/>
                <w:szCs w:val="21"/>
              </w:rPr>
            </w:pPr>
            <w:r w:rsidRPr="00B170DF">
              <w:rPr>
                <w:b/>
                <w:sz w:val="21"/>
                <w:szCs w:val="21"/>
              </w:rPr>
              <w:t>拟使用募集资金金额</w:t>
            </w:r>
          </w:p>
        </w:tc>
        <w:tc>
          <w:tcPr>
            <w:tcW w:w="1133" w:type="pct"/>
            <w:shd w:val="clear" w:color="auto" w:fill="FFFFFF"/>
            <w:vAlign w:val="center"/>
          </w:tcPr>
          <w:p w14:paraId="5A4D9115" w14:textId="77777777" w:rsidR="00A17E3E" w:rsidRPr="00B170DF" w:rsidRDefault="00A17E3E" w:rsidP="00A17E3E">
            <w:pPr>
              <w:keepNext/>
              <w:spacing w:beforeLines="0" w:before="0" w:afterLines="0" w:after="0" w:line="240" w:lineRule="auto"/>
              <w:ind w:firstLineChars="0" w:firstLine="0"/>
              <w:jc w:val="center"/>
              <w:rPr>
                <w:b/>
                <w:sz w:val="21"/>
                <w:szCs w:val="21"/>
              </w:rPr>
            </w:pPr>
            <w:r w:rsidRPr="00B170DF">
              <w:rPr>
                <w:b/>
                <w:sz w:val="21"/>
                <w:szCs w:val="21"/>
              </w:rPr>
              <w:t>募集资金是否属于资本化阶段</w:t>
            </w:r>
          </w:p>
        </w:tc>
      </w:tr>
      <w:tr w:rsidR="00A17E3E" w:rsidRPr="00B170DF" w14:paraId="4AF1F7DF" w14:textId="77777777">
        <w:trPr>
          <w:trHeight w:val="397"/>
          <w:jc w:val="center"/>
        </w:trPr>
        <w:tc>
          <w:tcPr>
            <w:tcW w:w="2000" w:type="pct"/>
            <w:shd w:val="clear" w:color="auto" w:fill="FFFFFF"/>
            <w:tcMar>
              <w:top w:w="0" w:type="dxa"/>
              <w:left w:w="30" w:type="dxa"/>
              <w:bottom w:w="0" w:type="dxa"/>
              <w:right w:w="30" w:type="dxa"/>
            </w:tcMar>
            <w:vAlign w:val="center"/>
          </w:tcPr>
          <w:p w14:paraId="2954CDEC" w14:textId="77777777" w:rsidR="00A17E3E" w:rsidRPr="00B170DF" w:rsidRDefault="00A17E3E" w:rsidP="00A17E3E">
            <w:pPr>
              <w:spacing w:beforeLines="0" w:before="0" w:afterLines="0" w:after="0" w:line="240" w:lineRule="auto"/>
              <w:ind w:firstLineChars="0" w:firstLine="0"/>
              <w:rPr>
                <w:b/>
                <w:bCs/>
                <w:sz w:val="21"/>
                <w:szCs w:val="21"/>
              </w:rPr>
            </w:pPr>
            <w:r w:rsidRPr="00B170DF">
              <w:rPr>
                <w:rFonts w:hint="eastAsia"/>
                <w:b/>
                <w:bCs/>
                <w:sz w:val="21"/>
                <w:szCs w:val="21"/>
              </w:rPr>
              <w:t>一、创新药研发项目</w:t>
            </w:r>
          </w:p>
        </w:tc>
        <w:tc>
          <w:tcPr>
            <w:tcW w:w="934" w:type="pct"/>
            <w:shd w:val="clear" w:color="auto" w:fill="FFFFFF"/>
            <w:tcMar>
              <w:top w:w="0" w:type="dxa"/>
              <w:left w:w="30" w:type="dxa"/>
              <w:bottom w:w="0" w:type="dxa"/>
              <w:right w:w="30" w:type="dxa"/>
            </w:tcMar>
            <w:vAlign w:val="center"/>
          </w:tcPr>
          <w:p w14:paraId="356CAB2E" w14:textId="77777777" w:rsidR="00A17E3E" w:rsidRPr="00B170DF" w:rsidRDefault="00A17E3E" w:rsidP="00A17E3E">
            <w:pPr>
              <w:spacing w:beforeLines="0" w:before="0" w:afterLines="0" w:after="0" w:line="240" w:lineRule="auto"/>
              <w:ind w:firstLineChars="0" w:firstLine="0"/>
              <w:jc w:val="right"/>
              <w:rPr>
                <w:sz w:val="21"/>
                <w:szCs w:val="21"/>
              </w:rPr>
            </w:pPr>
            <w:r w:rsidRPr="00B170DF">
              <w:rPr>
                <w:rFonts w:hint="eastAsia"/>
                <w:sz w:val="21"/>
                <w:szCs w:val="21"/>
              </w:rPr>
              <w:t>63,100.60</w:t>
            </w:r>
          </w:p>
        </w:tc>
        <w:tc>
          <w:tcPr>
            <w:tcW w:w="933" w:type="pct"/>
            <w:shd w:val="clear" w:color="auto" w:fill="FFFFFF"/>
            <w:tcMar>
              <w:top w:w="0" w:type="dxa"/>
              <w:left w:w="30" w:type="dxa"/>
              <w:bottom w:w="0" w:type="dxa"/>
              <w:right w:w="30" w:type="dxa"/>
            </w:tcMar>
            <w:vAlign w:val="center"/>
          </w:tcPr>
          <w:p w14:paraId="24EFD263" w14:textId="77777777" w:rsidR="00A17E3E" w:rsidRPr="00B170DF" w:rsidRDefault="00A17E3E" w:rsidP="00A17E3E">
            <w:pPr>
              <w:spacing w:beforeLines="0" w:before="0" w:afterLines="0" w:after="0" w:line="240" w:lineRule="auto"/>
              <w:ind w:firstLineChars="0" w:firstLine="0"/>
              <w:jc w:val="right"/>
              <w:rPr>
                <w:sz w:val="21"/>
                <w:szCs w:val="21"/>
              </w:rPr>
            </w:pPr>
            <w:r w:rsidRPr="00B170DF">
              <w:rPr>
                <w:rFonts w:hint="eastAsia"/>
                <w:sz w:val="21"/>
                <w:szCs w:val="21"/>
              </w:rPr>
              <w:t>59,837.60</w:t>
            </w:r>
          </w:p>
        </w:tc>
        <w:tc>
          <w:tcPr>
            <w:tcW w:w="1133" w:type="pct"/>
            <w:shd w:val="clear" w:color="auto" w:fill="FFFFFF"/>
            <w:vAlign w:val="center"/>
          </w:tcPr>
          <w:p w14:paraId="1F66EF2B" w14:textId="77777777" w:rsidR="00A17E3E" w:rsidRPr="00B170DF" w:rsidRDefault="00A17E3E" w:rsidP="00A17E3E">
            <w:pPr>
              <w:spacing w:beforeLines="0" w:before="0" w:afterLines="0" w:after="0" w:line="240" w:lineRule="auto"/>
              <w:ind w:firstLineChars="0" w:firstLine="0"/>
              <w:jc w:val="center"/>
              <w:rPr>
                <w:sz w:val="21"/>
                <w:szCs w:val="21"/>
              </w:rPr>
            </w:pPr>
            <w:r w:rsidRPr="00B170DF">
              <w:rPr>
                <w:rFonts w:hint="eastAsia"/>
                <w:sz w:val="21"/>
                <w:szCs w:val="21"/>
              </w:rPr>
              <w:t>是</w:t>
            </w:r>
          </w:p>
        </w:tc>
      </w:tr>
      <w:tr w:rsidR="00A17E3E" w:rsidRPr="00B170DF" w14:paraId="125C376F" w14:textId="77777777">
        <w:trPr>
          <w:trHeight w:val="397"/>
          <w:jc w:val="center"/>
        </w:trPr>
        <w:tc>
          <w:tcPr>
            <w:tcW w:w="2000" w:type="pct"/>
            <w:shd w:val="clear" w:color="auto" w:fill="FFFFFF"/>
            <w:tcMar>
              <w:top w:w="0" w:type="dxa"/>
              <w:left w:w="30" w:type="dxa"/>
              <w:bottom w:w="0" w:type="dxa"/>
              <w:right w:w="30" w:type="dxa"/>
            </w:tcMar>
            <w:vAlign w:val="center"/>
          </w:tcPr>
          <w:p w14:paraId="3FBF0924" w14:textId="77777777" w:rsidR="00A17E3E" w:rsidRPr="00B170DF" w:rsidRDefault="00A17E3E" w:rsidP="00A17E3E">
            <w:pPr>
              <w:spacing w:beforeLines="0" w:before="0" w:afterLines="0" w:after="0" w:line="240" w:lineRule="auto"/>
              <w:ind w:firstLineChars="0" w:firstLine="0"/>
              <w:rPr>
                <w:b/>
                <w:bCs/>
                <w:sz w:val="21"/>
                <w:szCs w:val="21"/>
              </w:rPr>
            </w:pPr>
            <w:r w:rsidRPr="00B170DF">
              <w:rPr>
                <w:rFonts w:hint="eastAsia"/>
                <w:b/>
                <w:bCs/>
                <w:sz w:val="21"/>
                <w:szCs w:val="21"/>
              </w:rPr>
              <w:t>二、中药传统名方产业化</w:t>
            </w:r>
          </w:p>
        </w:tc>
        <w:tc>
          <w:tcPr>
            <w:tcW w:w="934" w:type="pct"/>
            <w:shd w:val="clear" w:color="auto" w:fill="FFFFFF"/>
            <w:tcMar>
              <w:top w:w="0" w:type="dxa"/>
              <w:left w:w="30" w:type="dxa"/>
              <w:bottom w:w="0" w:type="dxa"/>
              <w:right w:w="30" w:type="dxa"/>
            </w:tcMar>
            <w:vAlign w:val="center"/>
          </w:tcPr>
          <w:p w14:paraId="1ECE8FD5" w14:textId="77777777" w:rsidR="00A17E3E" w:rsidRPr="00B170DF" w:rsidRDefault="00A17E3E" w:rsidP="00A17E3E">
            <w:pPr>
              <w:spacing w:beforeLines="0" w:before="0" w:afterLines="0" w:after="0" w:line="240" w:lineRule="auto"/>
              <w:ind w:firstLineChars="0" w:firstLine="0"/>
              <w:jc w:val="right"/>
              <w:rPr>
                <w:sz w:val="21"/>
                <w:szCs w:val="21"/>
              </w:rPr>
            </w:pPr>
            <w:r w:rsidRPr="00B170DF">
              <w:rPr>
                <w:sz w:val="21"/>
                <w:szCs w:val="21"/>
              </w:rPr>
              <w:t>10,525.29</w:t>
            </w:r>
          </w:p>
        </w:tc>
        <w:tc>
          <w:tcPr>
            <w:tcW w:w="933" w:type="pct"/>
            <w:shd w:val="clear" w:color="auto" w:fill="FFFFFF"/>
            <w:tcMar>
              <w:top w:w="0" w:type="dxa"/>
              <w:left w:w="30" w:type="dxa"/>
              <w:bottom w:w="0" w:type="dxa"/>
              <w:right w:w="30" w:type="dxa"/>
            </w:tcMar>
            <w:vAlign w:val="center"/>
          </w:tcPr>
          <w:p w14:paraId="7570AB7A" w14:textId="77777777" w:rsidR="00A17E3E" w:rsidRPr="00B170DF" w:rsidRDefault="008E518B" w:rsidP="00A17E3E">
            <w:pPr>
              <w:spacing w:beforeLines="0" w:before="0" w:afterLines="0" w:after="0" w:line="240" w:lineRule="auto"/>
              <w:ind w:firstLineChars="0" w:firstLine="0"/>
              <w:jc w:val="right"/>
              <w:rPr>
                <w:sz w:val="21"/>
                <w:szCs w:val="21"/>
              </w:rPr>
            </w:pPr>
            <w:r w:rsidRPr="00B170DF">
              <w:rPr>
                <w:sz w:val="21"/>
                <w:szCs w:val="21"/>
              </w:rPr>
              <w:t>8,849.05</w:t>
            </w:r>
          </w:p>
        </w:tc>
        <w:tc>
          <w:tcPr>
            <w:tcW w:w="1133" w:type="pct"/>
            <w:shd w:val="clear" w:color="auto" w:fill="FFFFFF"/>
            <w:vAlign w:val="center"/>
          </w:tcPr>
          <w:p w14:paraId="7E6F63FF" w14:textId="77777777" w:rsidR="00A17E3E" w:rsidRPr="00B170DF" w:rsidRDefault="00A17E3E" w:rsidP="00A17E3E">
            <w:pPr>
              <w:spacing w:beforeLines="0" w:before="0" w:afterLines="0" w:after="0" w:line="240" w:lineRule="auto"/>
              <w:ind w:firstLineChars="0" w:firstLine="0"/>
              <w:jc w:val="center"/>
              <w:rPr>
                <w:sz w:val="21"/>
                <w:szCs w:val="21"/>
              </w:rPr>
            </w:pPr>
            <w:r w:rsidRPr="00B170DF">
              <w:rPr>
                <w:sz w:val="21"/>
                <w:szCs w:val="21"/>
              </w:rPr>
              <w:t>是</w:t>
            </w:r>
          </w:p>
        </w:tc>
      </w:tr>
      <w:tr w:rsidR="00A17E3E" w:rsidRPr="00B170DF" w14:paraId="63CD6838" w14:textId="77777777">
        <w:trPr>
          <w:trHeight w:val="397"/>
          <w:jc w:val="center"/>
        </w:trPr>
        <w:tc>
          <w:tcPr>
            <w:tcW w:w="2000" w:type="pct"/>
            <w:shd w:val="clear" w:color="auto" w:fill="FFFFFF"/>
            <w:tcMar>
              <w:top w:w="0" w:type="dxa"/>
              <w:left w:w="30" w:type="dxa"/>
              <w:bottom w:w="0" w:type="dxa"/>
              <w:right w:w="30" w:type="dxa"/>
            </w:tcMar>
            <w:vAlign w:val="center"/>
          </w:tcPr>
          <w:p w14:paraId="76C7524C" w14:textId="77777777" w:rsidR="00A17E3E" w:rsidRPr="00B170DF" w:rsidRDefault="00A17E3E" w:rsidP="00A17E3E">
            <w:pPr>
              <w:spacing w:beforeLines="0" w:before="0" w:afterLines="0" w:after="0" w:line="240" w:lineRule="auto"/>
              <w:ind w:firstLineChars="0" w:firstLine="0"/>
              <w:rPr>
                <w:b/>
                <w:bCs/>
                <w:sz w:val="21"/>
                <w:szCs w:val="21"/>
              </w:rPr>
            </w:pPr>
            <w:r w:rsidRPr="00B170DF">
              <w:rPr>
                <w:rFonts w:hint="eastAsia"/>
                <w:b/>
                <w:bCs/>
                <w:sz w:val="21"/>
                <w:szCs w:val="21"/>
              </w:rPr>
              <w:t>三、</w:t>
            </w:r>
            <w:r w:rsidRPr="00B170DF">
              <w:rPr>
                <w:b/>
                <w:bCs/>
                <w:sz w:val="21"/>
                <w:szCs w:val="21"/>
              </w:rPr>
              <w:t>补充流动资金</w:t>
            </w:r>
          </w:p>
        </w:tc>
        <w:tc>
          <w:tcPr>
            <w:tcW w:w="934" w:type="pct"/>
            <w:shd w:val="clear" w:color="auto" w:fill="FFFFFF"/>
            <w:tcMar>
              <w:top w:w="0" w:type="dxa"/>
              <w:left w:w="30" w:type="dxa"/>
              <w:bottom w:w="0" w:type="dxa"/>
              <w:right w:w="30" w:type="dxa"/>
            </w:tcMar>
            <w:vAlign w:val="center"/>
          </w:tcPr>
          <w:p w14:paraId="57AD178F" w14:textId="77777777" w:rsidR="00A17E3E" w:rsidRPr="00B170DF" w:rsidRDefault="00A17E3E" w:rsidP="00A17E3E">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933" w:type="pct"/>
            <w:shd w:val="clear" w:color="auto" w:fill="FFFFFF"/>
            <w:tcMar>
              <w:top w:w="0" w:type="dxa"/>
              <w:left w:w="30" w:type="dxa"/>
              <w:bottom w:w="0" w:type="dxa"/>
              <w:right w:w="30" w:type="dxa"/>
            </w:tcMar>
            <w:vAlign w:val="center"/>
          </w:tcPr>
          <w:p w14:paraId="266D9CCC" w14:textId="77777777" w:rsidR="00A17E3E" w:rsidRPr="00B170DF" w:rsidRDefault="00A17E3E" w:rsidP="00A17E3E">
            <w:pPr>
              <w:spacing w:beforeLines="0" w:before="0" w:afterLines="0" w:after="0" w:line="240" w:lineRule="auto"/>
              <w:ind w:firstLineChars="0" w:firstLine="0"/>
              <w:jc w:val="right"/>
              <w:rPr>
                <w:sz w:val="21"/>
                <w:szCs w:val="21"/>
              </w:rPr>
            </w:pPr>
            <w:r w:rsidRPr="00B170DF">
              <w:rPr>
                <w:sz w:val="21"/>
                <w:szCs w:val="21"/>
              </w:rPr>
              <w:t>2</w:t>
            </w:r>
            <w:r w:rsidRPr="00B170DF">
              <w:rPr>
                <w:rFonts w:hint="eastAsia"/>
                <w:sz w:val="21"/>
                <w:szCs w:val="21"/>
              </w:rPr>
              <w:t>9</w:t>
            </w:r>
            <w:r w:rsidRPr="00B170DF">
              <w:rPr>
                <w:sz w:val="21"/>
                <w:szCs w:val="21"/>
              </w:rPr>
              <w:t>,000.00</w:t>
            </w:r>
          </w:p>
        </w:tc>
        <w:tc>
          <w:tcPr>
            <w:tcW w:w="1133" w:type="pct"/>
            <w:shd w:val="clear" w:color="auto" w:fill="FFFFFF"/>
            <w:vAlign w:val="center"/>
          </w:tcPr>
          <w:p w14:paraId="5624FB66" w14:textId="77777777" w:rsidR="00A17E3E" w:rsidRPr="00B170DF" w:rsidRDefault="00A17E3E" w:rsidP="00A17E3E">
            <w:pPr>
              <w:spacing w:beforeLines="0" w:before="0" w:afterLines="0" w:after="0" w:line="240" w:lineRule="auto"/>
              <w:ind w:firstLineChars="0" w:firstLine="0"/>
              <w:jc w:val="center"/>
              <w:rPr>
                <w:sz w:val="21"/>
                <w:szCs w:val="21"/>
              </w:rPr>
            </w:pPr>
            <w:r w:rsidRPr="00B170DF">
              <w:rPr>
                <w:sz w:val="21"/>
                <w:szCs w:val="21"/>
              </w:rPr>
              <w:t>否</w:t>
            </w:r>
          </w:p>
        </w:tc>
      </w:tr>
      <w:tr w:rsidR="00A17E3E" w:rsidRPr="00B170DF" w14:paraId="2044D421" w14:textId="77777777">
        <w:trPr>
          <w:trHeight w:val="397"/>
          <w:jc w:val="center"/>
        </w:trPr>
        <w:tc>
          <w:tcPr>
            <w:tcW w:w="2000" w:type="pct"/>
            <w:shd w:val="clear" w:color="auto" w:fill="FFFFFF"/>
            <w:vAlign w:val="center"/>
          </w:tcPr>
          <w:p w14:paraId="5A242953" w14:textId="77777777" w:rsidR="00A17E3E" w:rsidRPr="00B170DF" w:rsidRDefault="00A17E3E" w:rsidP="00A17E3E">
            <w:pPr>
              <w:spacing w:beforeLines="0" w:before="0" w:afterLines="0" w:after="0" w:line="240" w:lineRule="auto"/>
              <w:ind w:firstLineChars="0" w:firstLine="0"/>
              <w:jc w:val="center"/>
              <w:rPr>
                <w:b/>
                <w:sz w:val="21"/>
                <w:szCs w:val="21"/>
              </w:rPr>
            </w:pPr>
            <w:r w:rsidRPr="00B170DF">
              <w:rPr>
                <w:b/>
                <w:sz w:val="21"/>
                <w:szCs w:val="21"/>
              </w:rPr>
              <w:t>合计：</w:t>
            </w:r>
          </w:p>
        </w:tc>
        <w:tc>
          <w:tcPr>
            <w:tcW w:w="934" w:type="pct"/>
            <w:shd w:val="clear" w:color="auto" w:fill="FFFFFF"/>
            <w:tcMar>
              <w:top w:w="0" w:type="dxa"/>
              <w:left w:w="30" w:type="dxa"/>
              <w:bottom w:w="0" w:type="dxa"/>
              <w:right w:w="30" w:type="dxa"/>
            </w:tcMar>
            <w:vAlign w:val="center"/>
          </w:tcPr>
          <w:p w14:paraId="38522E18" w14:textId="77777777" w:rsidR="00A17E3E" w:rsidRPr="00B170DF" w:rsidRDefault="00A17E3E" w:rsidP="00A17E3E">
            <w:pPr>
              <w:spacing w:beforeLines="0" w:before="0" w:afterLines="0" w:after="0" w:line="240" w:lineRule="auto"/>
              <w:ind w:firstLineChars="0" w:firstLine="0"/>
              <w:jc w:val="right"/>
              <w:rPr>
                <w:b/>
                <w:bCs/>
                <w:sz w:val="21"/>
                <w:szCs w:val="21"/>
              </w:rPr>
            </w:pPr>
            <w:r w:rsidRPr="00B170DF">
              <w:rPr>
                <w:b/>
                <w:bCs/>
                <w:sz w:val="21"/>
                <w:szCs w:val="21"/>
              </w:rPr>
              <w:t>102,625.89</w:t>
            </w:r>
          </w:p>
        </w:tc>
        <w:tc>
          <w:tcPr>
            <w:tcW w:w="933" w:type="pct"/>
            <w:shd w:val="clear" w:color="auto" w:fill="FFFFFF"/>
            <w:tcMar>
              <w:top w:w="0" w:type="dxa"/>
              <w:left w:w="30" w:type="dxa"/>
              <w:bottom w:w="0" w:type="dxa"/>
              <w:right w:w="30" w:type="dxa"/>
            </w:tcMar>
            <w:vAlign w:val="center"/>
          </w:tcPr>
          <w:p w14:paraId="43BF197F" w14:textId="77777777" w:rsidR="00A17E3E" w:rsidRPr="00B170DF" w:rsidRDefault="008E518B" w:rsidP="00A17E3E">
            <w:pPr>
              <w:spacing w:beforeLines="0" w:before="0" w:afterLines="0" w:after="0" w:line="240" w:lineRule="auto"/>
              <w:ind w:firstLineChars="0" w:firstLine="0"/>
              <w:jc w:val="right"/>
              <w:rPr>
                <w:b/>
                <w:bCs/>
                <w:sz w:val="21"/>
                <w:szCs w:val="21"/>
              </w:rPr>
            </w:pPr>
            <w:r w:rsidRPr="00B170DF">
              <w:rPr>
                <w:b/>
                <w:bCs/>
                <w:sz w:val="21"/>
                <w:szCs w:val="21"/>
              </w:rPr>
              <w:t>97,686.65</w:t>
            </w:r>
            <w:r w:rsidR="00A17E3E" w:rsidRPr="00B170DF">
              <w:rPr>
                <w:b/>
                <w:bCs/>
                <w:sz w:val="21"/>
                <w:szCs w:val="21"/>
              </w:rPr>
              <w:t xml:space="preserve"> </w:t>
            </w:r>
          </w:p>
        </w:tc>
        <w:tc>
          <w:tcPr>
            <w:tcW w:w="1133" w:type="pct"/>
            <w:shd w:val="clear" w:color="auto" w:fill="FFFFFF"/>
            <w:vAlign w:val="center"/>
          </w:tcPr>
          <w:p w14:paraId="1542019E" w14:textId="77777777" w:rsidR="00A17E3E" w:rsidRPr="00B170DF" w:rsidRDefault="00A17E3E" w:rsidP="00A17E3E">
            <w:pPr>
              <w:spacing w:beforeLines="0" w:before="0" w:afterLines="0" w:after="0" w:line="240" w:lineRule="auto"/>
              <w:ind w:firstLineChars="0" w:firstLine="0"/>
              <w:jc w:val="center"/>
              <w:rPr>
                <w:b/>
                <w:sz w:val="21"/>
                <w:szCs w:val="21"/>
              </w:rPr>
            </w:pPr>
            <w:r w:rsidRPr="00B170DF">
              <w:rPr>
                <w:b/>
                <w:sz w:val="21"/>
                <w:szCs w:val="21"/>
              </w:rPr>
              <w:t>-</w:t>
            </w:r>
          </w:p>
        </w:tc>
      </w:tr>
    </w:tbl>
    <w:p w14:paraId="0B8AC5A4" w14:textId="77777777" w:rsidR="001929E6" w:rsidRPr="00B170DF" w:rsidRDefault="001929E6" w:rsidP="001929E6">
      <w:pPr>
        <w:autoSpaceDE w:val="0"/>
        <w:autoSpaceDN w:val="0"/>
        <w:spacing w:before="163" w:after="163"/>
        <w:ind w:firstLine="480"/>
        <w:rPr>
          <w:kern w:val="0"/>
          <w:lang w:val="zh-CN" w:bidi="zh-CN"/>
        </w:rPr>
      </w:pPr>
      <w:r w:rsidRPr="00B170DF">
        <w:rPr>
          <w:kern w:val="0"/>
          <w:lang w:val="zh-CN" w:bidi="zh-CN"/>
        </w:rPr>
        <w:t>若本次发行实际募集资金净额低于拟投资项目的实际资金需求，在不改变拟投资项目的前提下，董事会可根据项目的实际需求，对上述项目的募集资金投入金额、优先顺序进行适当调整，不足部分由公司自行筹措资金解决。</w:t>
      </w:r>
    </w:p>
    <w:p w14:paraId="65CCDB46" w14:textId="77777777" w:rsidR="001929E6" w:rsidRPr="00B170DF" w:rsidRDefault="001929E6" w:rsidP="001929E6">
      <w:pPr>
        <w:autoSpaceDE w:val="0"/>
        <w:autoSpaceDN w:val="0"/>
        <w:adjustRightInd w:val="0"/>
        <w:spacing w:before="163" w:afterLines="0"/>
        <w:ind w:firstLine="480"/>
        <w:rPr>
          <w:kern w:val="0"/>
          <w:lang w:val="zh-CN" w:bidi="zh-CN"/>
        </w:rPr>
      </w:pPr>
      <w:r w:rsidRPr="00B170DF">
        <w:rPr>
          <w:kern w:val="0"/>
          <w:lang w:val="zh-CN" w:bidi="zh-CN"/>
        </w:rPr>
        <w:t>若公司在本次发行募集资金到位前，根据项目进度的实际情况，以自有资金或其他方式筹集的资金先行投入上述项目，则先行投入部分将在本次募集资金到位后按照相关法律法规予以置换。</w:t>
      </w:r>
    </w:p>
    <w:p w14:paraId="7F04FD31" w14:textId="77777777" w:rsidR="009749C9" w:rsidRPr="00B170DF" w:rsidRDefault="001929E6" w:rsidP="001929E6">
      <w:pPr>
        <w:keepNext/>
        <w:keepLines/>
        <w:widowControl/>
        <w:spacing w:before="163" w:after="163"/>
        <w:ind w:firstLineChars="0" w:firstLine="0"/>
        <w:outlineLvl w:val="1"/>
        <w:rPr>
          <w:rFonts w:eastAsia="黑体"/>
          <w:b/>
          <w:bCs/>
          <w:color w:val="000000"/>
          <w:sz w:val="28"/>
          <w:szCs w:val="28"/>
        </w:rPr>
      </w:pPr>
      <w:bookmarkStart w:id="48" w:name="_Toc194169722"/>
      <w:r w:rsidRPr="00B170DF">
        <w:rPr>
          <w:rFonts w:eastAsia="黑体" w:hint="eastAsia"/>
          <w:b/>
          <w:bCs/>
          <w:color w:val="000000"/>
          <w:sz w:val="28"/>
          <w:szCs w:val="28"/>
        </w:rPr>
        <w:t>二、本次发行募集资金投资项目的基本情况</w:t>
      </w:r>
      <w:bookmarkEnd w:id="48"/>
    </w:p>
    <w:p w14:paraId="7D724F29" w14:textId="77777777" w:rsidR="009749C9" w:rsidRPr="00B170DF" w:rsidRDefault="001929E6" w:rsidP="001929E6">
      <w:pPr>
        <w:keepNext/>
        <w:keepLines/>
        <w:widowControl/>
        <w:spacing w:before="163" w:after="163"/>
        <w:ind w:firstLine="482"/>
        <w:jc w:val="left"/>
        <w:outlineLvl w:val="2"/>
        <w:rPr>
          <w:rFonts w:eastAsia="黑体"/>
          <w:b/>
          <w:bCs/>
          <w:szCs w:val="28"/>
        </w:rPr>
      </w:pPr>
      <w:r w:rsidRPr="00B170DF">
        <w:rPr>
          <w:rFonts w:eastAsia="黑体" w:hint="eastAsia"/>
          <w:b/>
          <w:bCs/>
          <w:szCs w:val="28"/>
        </w:rPr>
        <w:t>（一）创新药研发项目</w:t>
      </w:r>
    </w:p>
    <w:p w14:paraId="2553DC98" w14:textId="77777777" w:rsidR="001929E6" w:rsidRPr="00B170DF" w:rsidRDefault="001929E6" w:rsidP="001929E6">
      <w:pPr>
        <w:keepNext/>
        <w:keepLines/>
        <w:spacing w:before="163" w:afterLines="0" w:after="0"/>
        <w:ind w:firstLine="482"/>
        <w:rPr>
          <w:b/>
          <w:bCs/>
          <w:kern w:val="0"/>
          <w:szCs w:val="24"/>
        </w:rPr>
      </w:pPr>
      <w:r w:rsidRPr="00B170DF">
        <w:rPr>
          <w:rFonts w:hint="eastAsia"/>
          <w:b/>
          <w:bCs/>
          <w:kern w:val="0"/>
          <w:szCs w:val="24"/>
        </w:rPr>
        <w:t>1</w:t>
      </w:r>
      <w:r w:rsidRPr="00B170DF">
        <w:rPr>
          <w:rFonts w:hint="eastAsia"/>
          <w:b/>
          <w:bCs/>
          <w:kern w:val="0"/>
          <w:szCs w:val="24"/>
        </w:rPr>
        <w:t>、</w:t>
      </w:r>
      <w:r w:rsidRPr="00B170DF">
        <w:rPr>
          <w:b/>
          <w:bCs/>
          <w:kern w:val="0"/>
          <w:szCs w:val="24"/>
        </w:rPr>
        <w:t>项目概况</w:t>
      </w:r>
    </w:p>
    <w:p w14:paraId="1D428112" w14:textId="77777777" w:rsidR="003F0511" w:rsidRPr="00B170DF" w:rsidRDefault="001929E6" w:rsidP="003F0511">
      <w:pPr>
        <w:spacing w:before="163" w:after="163"/>
        <w:ind w:firstLine="480"/>
        <w:rPr>
          <w:szCs w:val="20"/>
        </w:rPr>
      </w:pPr>
      <w:r w:rsidRPr="00B170DF">
        <w:rPr>
          <w:rFonts w:hint="eastAsia"/>
          <w:szCs w:val="20"/>
        </w:rPr>
        <w:t>创新药</w:t>
      </w:r>
      <w:r w:rsidR="003F0511" w:rsidRPr="00B170DF">
        <w:rPr>
          <w:rFonts w:hint="eastAsia"/>
          <w:szCs w:val="20"/>
        </w:rPr>
        <w:t>研发</w:t>
      </w:r>
      <w:r w:rsidRPr="00B170DF">
        <w:rPr>
          <w:rFonts w:hint="eastAsia"/>
          <w:szCs w:val="20"/>
        </w:rPr>
        <w:t>项目包括创新药</w:t>
      </w:r>
      <w:r w:rsidRPr="00B170DF">
        <w:rPr>
          <w:rFonts w:hint="eastAsia"/>
          <w:szCs w:val="20"/>
        </w:rPr>
        <w:t>GST-HG141</w:t>
      </w:r>
      <w:r w:rsidRPr="00B170DF">
        <w:rPr>
          <w:rFonts w:hint="eastAsia"/>
          <w:szCs w:val="20"/>
        </w:rPr>
        <w:t>的</w:t>
      </w:r>
      <w:r w:rsidRPr="00B170DF">
        <w:rPr>
          <w:rFonts w:hint="eastAsia"/>
          <w:szCs w:val="20"/>
        </w:rPr>
        <w:t>III</w:t>
      </w:r>
      <w:r w:rsidRPr="00B170DF">
        <w:rPr>
          <w:rFonts w:hint="eastAsia"/>
          <w:szCs w:val="20"/>
        </w:rPr>
        <w:t>期临床研究及上市注册项目、</w:t>
      </w:r>
      <w:r w:rsidRPr="00B170DF">
        <w:rPr>
          <w:rFonts w:hint="eastAsia"/>
          <w:szCs w:val="20"/>
        </w:rPr>
        <w:t>GST-HG131</w:t>
      </w:r>
      <w:r w:rsidRPr="00B170DF">
        <w:rPr>
          <w:rFonts w:hint="eastAsia"/>
          <w:szCs w:val="20"/>
        </w:rPr>
        <w:t>联合</w:t>
      </w:r>
      <w:r w:rsidRPr="00B170DF">
        <w:rPr>
          <w:rFonts w:hint="eastAsia"/>
          <w:szCs w:val="20"/>
        </w:rPr>
        <w:t>GST-HG141</w:t>
      </w:r>
      <w:r w:rsidR="00314A00" w:rsidRPr="00B170DF">
        <w:rPr>
          <w:rFonts w:hint="eastAsia"/>
          <w:szCs w:val="20"/>
        </w:rPr>
        <w:t>的</w:t>
      </w:r>
      <w:r w:rsidRPr="00B170DF">
        <w:rPr>
          <w:rFonts w:hint="eastAsia"/>
          <w:szCs w:val="20"/>
        </w:rPr>
        <w:t xml:space="preserve"> II</w:t>
      </w:r>
      <w:r w:rsidRPr="00B170DF">
        <w:rPr>
          <w:rFonts w:hint="eastAsia"/>
          <w:szCs w:val="20"/>
        </w:rPr>
        <w:t>期及</w:t>
      </w:r>
      <w:r w:rsidRPr="00B170DF">
        <w:rPr>
          <w:rFonts w:hint="eastAsia"/>
          <w:szCs w:val="20"/>
        </w:rPr>
        <w:t>III</w:t>
      </w:r>
      <w:r w:rsidRPr="00B170DF">
        <w:rPr>
          <w:rFonts w:hint="eastAsia"/>
          <w:szCs w:val="20"/>
        </w:rPr>
        <w:t>期临床研究及上市注册项目。</w:t>
      </w:r>
    </w:p>
    <w:p w14:paraId="1B5E5ED1" w14:textId="77777777" w:rsidR="003F0511" w:rsidRPr="00B170DF" w:rsidRDefault="003F0511" w:rsidP="003F0511">
      <w:pPr>
        <w:spacing w:before="163" w:after="163"/>
        <w:ind w:firstLine="482"/>
        <w:rPr>
          <w:b/>
          <w:bCs/>
          <w:szCs w:val="20"/>
        </w:rPr>
      </w:pPr>
      <w:r w:rsidRPr="00B170DF">
        <w:rPr>
          <w:b/>
          <w:bCs/>
          <w:szCs w:val="20"/>
        </w:rPr>
        <w:fldChar w:fldCharType="begin"/>
      </w:r>
      <w:r w:rsidRPr="00B170DF">
        <w:rPr>
          <w:b/>
          <w:bCs/>
          <w:szCs w:val="20"/>
        </w:rPr>
        <w:instrText xml:space="preserve"> </w:instrText>
      </w:r>
      <w:r w:rsidRPr="00B170DF">
        <w:rPr>
          <w:rFonts w:hint="eastAsia"/>
          <w:b/>
          <w:bCs/>
          <w:szCs w:val="20"/>
        </w:rPr>
        <w:instrText>= 1 \* GB3</w:instrText>
      </w:r>
      <w:r w:rsidRPr="00B170DF">
        <w:rPr>
          <w:b/>
          <w:bCs/>
          <w:szCs w:val="20"/>
        </w:rPr>
        <w:instrText xml:space="preserve"> </w:instrText>
      </w:r>
      <w:r w:rsidRPr="00B170DF">
        <w:rPr>
          <w:b/>
          <w:bCs/>
          <w:szCs w:val="20"/>
        </w:rPr>
        <w:fldChar w:fldCharType="separate"/>
      </w:r>
      <w:r w:rsidRPr="00B170DF">
        <w:rPr>
          <w:rFonts w:hint="eastAsia"/>
          <w:b/>
          <w:bCs/>
          <w:noProof/>
          <w:szCs w:val="20"/>
        </w:rPr>
        <w:t>①</w:t>
      </w:r>
      <w:r w:rsidRPr="00B170DF">
        <w:rPr>
          <w:b/>
          <w:bCs/>
          <w:szCs w:val="20"/>
        </w:rPr>
        <w:fldChar w:fldCharType="end"/>
      </w:r>
      <w:r w:rsidRPr="00B170DF">
        <w:rPr>
          <w:rFonts w:hint="eastAsia"/>
          <w:b/>
          <w:bCs/>
          <w:szCs w:val="20"/>
        </w:rPr>
        <w:t>GST-HG141</w:t>
      </w:r>
      <w:r w:rsidR="00314A00" w:rsidRPr="00B170DF">
        <w:rPr>
          <w:rFonts w:hint="eastAsia"/>
          <w:b/>
          <w:bCs/>
          <w:szCs w:val="20"/>
        </w:rPr>
        <w:t>的</w:t>
      </w:r>
      <w:r w:rsidRPr="00B170DF">
        <w:rPr>
          <w:rFonts w:hint="eastAsia"/>
          <w:b/>
          <w:bCs/>
          <w:szCs w:val="20"/>
        </w:rPr>
        <w:t xml:space="preserve"> III</w:t>
      </w:r>
      <w:r w:rsidRPr="00B170DF">
        <w:rPr>
          <w:rFonts w:hint="eastAsia"/>
          <w:b/>
          <w:bCs/>
          <w:szCs w:val="20"/>
        </w:rPr>
        <w:t>期临床研究及上市注册项目</w:t>
      </w:r>
    </w:p>
    <w:p w14:paraId="0E683226" w14:textId="77777777" w:rsidR="003F0511" w:rsidRPr="00B170DF" w:rsidRDefault="00D514AB" w:rsidP="003F0511">
      <w:pPr>
        <w:spacing w:before="163" w:after="163"/>
        <w:ind w:firstLine="480"/>
        <w:rPr>
          <w:szCs w:val="20"/>
        </w:rPr>
      </w:pPr>
      <w:r w:rsidRPr="00B170DF">
        <w:rPr>
          <w:rFonts w:hint="eastAsia"/>
          <w:szCs w:val="20"/>
        </w:rPr>
        <w:t>GST-HG141</w:t>
      </w:r>
      <w:r w:rsidRPr="00B170DF">
        <w:rPr>
          <w:rFonts w:hint="eastAsia"/>
          <w:szCs w:val="20"/>
        </w:rPr>
        <w:t>是一种高效的新型乙肝病毒核心蛋白调节剂，是一种新型</w:t>
      </w:r>
      <w:r w:rsidRPr="00B170DF">
        <w:rPr>
          <w:rFonts w:hint="eastAsia"/>
          <w:szCs w:val="20"/>
        </w:rPr>
        <w:t xml:space="preserve">MOA </w:t>
      </w:r>
      <w:r w:rsidRPr="00B170DF">
        <w:rPr>
          <w:rFonts w:hint="eastAsia"/>
          <w:szCs w:val="20"/>
        </w:rPr>
        <w:lastRenderedPageBreak/>
        <w:t xml:space="preserve">II </w:t>
      </w:r>
      <w:proofErr w:type="spellStart"/>
      <w:r w:rsidRPr="00B170DF">
        <w:rPr>
          <w:rFonts w:hint="eastAsia"/>
          <w:szCs w:val="20"/>
        </w:rPr>
        <w:t>CpAMs</w:t>
      </w:r>
      <w:proofErr w:type="spellEnd"/>
      <w:r w:rsidRPr="00B170DF">
        <w:rPr>
          <w:rFonts w:hint="eastAsia"/>
          <w:szCs w:val="20"/>
        </w:rPr>
        <w:t>，具有双重作用机制。</w:t>
      </w:r>
      <w:r w:rsidRPr="00B170DF">
        <w:rPr>
          <w:rFonts w:hint="eastAsia"/>
          <w:szCs w:val="20"/>
        </w:rPr>
        <w:t>GST-HG141</w:t>
      </w:r>
      <w:r w:rsidRPr="00B170DF">
        <w:rPr>
          <w:rFonts w:hint="eastAsia"/>
          <w:szCs w:val="20"/>
        </w:rPr>
        <w:t>通过与</w:t>
      </w:r>
      <w:r w:rsidRPr="00B170DF">
        <w:rPr>
          <w:rFonts w:hint="eastAsia"/>
          <w:szCs w:val="20"/>
        </w:rPr>
        <w:t xml:space="preserve">HBV </w:t>
      </w:r>
      <w:r w:rsidRPr="00B170DF">
        <w:rPr>
          <w:rFonts w:hint="eastAsia"/>
          <w:szCs w:val="20"/>
        </w:rPr>
        <w:t>核心蛋白二聚体单元的结合，</w:t>
      </w:r>
      <w:proofErr w:type="gramStart"/>
      <w:r w:rsidRPr="00B170DF">
        <w:rPr>
          <w:rFonts w:hint="eastAsia"/>
          <w:szCs w:val="20"/>
        </w:rPr>
        <w:t>起到核衣壳</w:t>
      </w:r>
      <w:proofErr w:type="gramEnd"/>
      <w:r w:rsidRPr="00B170DF">
        <w:rPr>
          <w:rFonts w:hint="eastAsia"/>
          <w:szCs w:val="20"/>
        </w:rPr>
        <w:t>变构调节作用，从而改变或异化病毒的衣壳组装行为，一方面阻止了</w:t>
      </w:r>
      <w:proofErr w:type="spellStart"/>
      <w:r w:rsidRPr="00B170DF">
        <w:rPr>
          <w:rFonts w:hint="eastAsia"/>
          <w:szCs w:val="20"/>
        </w:rPr>
        <w:t>pgRNA</w:t>
      </w:r>
      <w:proofErr w:type="spellEnd"/>
      <w:r w:rsidRPr="00B170DF">
        <w:rPr>
          <w:rFonts w:hint="eastAsia"/>
          <w:szCs w:val="20"/>
        </w:rPr>
        <w:t>的包装过程，形成大量空泡病毒及</w:t>
      </w:r>
      <w:proofErr w:type="gramStart"/>
      <w:r w:rsidRPr="00B170DF">
        <w:rPr>
          <w:rFonts w:hint="eastAsia"/>
          <w:szCs w:val="20"/>
        </w:rPr>
        <w:t>非成熟</w:t>
      </w:r>
      <w:proofErr w:type="gramEnd"/>
      <w:r w:rsidRPr="00B170DF">
        <w:rPr>
          <w:rFonts w:hint="eastAsia"/>
          <w:szCs w:val="20"/>
        </w:rPr>
        <w:t>的病毒样颗粒，使病毒失去毒力，该过程还影响到</w:t>
      </w:r>
      <w:r w:rsidRPr="00B170DF">
        <w:rPr>
          <w:rFonts w:hint="eastAsia"/>
          <w:szCs w:val="20"/>
        </w:rPr>
        <w:t>HBV</w:t>
      </w:r>
      <w:r w:rsidRPr="00B170DF">
        <w:rPr>
          <w:rFonts w:hint="eastAsia"/>
          <w:szCs w:val="20"/>
        </w:rPr>
        <w:t>的逆转录过程，因此起到显著的直接抗病毒作用；另一方面</w:t>
      </w:r>
      <w:r w:rsidRPr="00B170DF">
        <w:rPr>
          <w:rFonts w:hint="eastAsia"/>
          <w:szCs w:val="20"/>
        </w:rPr>
        <w:t>GST-HG141</w:t>
      </w:r>
      <w:r w:rsidRPr="00B170DF">
        <w:rPr>
          <w:rFonts w:hint="eastAsia"/>
          <w:szCs w:val="20"/>
        </w:rPr>
        <w:t>加强了核心蛋白二聚体间的结合力和病毒衣壳的结构强度，干扰了病毒在肝细胞核上的脱壳过程，阻止了病毒核酸向核内释放形成</w:t>
      </w:r>
      <w:proofErr w:type="spellStart"/>
      <w:r w:rsidRPr="00B170DF">
        <w:rPr>
          <w:rFonts w:hint="eastAsia"/>
          <w:szCs w:val="20"/>
        </w:rPr>
        <w:t>cccDNA</w:t>
      </w:r>
      <w:proofErr w:type="spellEnd"/>
      <w:r w:rsidRPr="00B170DF">
        <w:rPr>
          <w:rFonts w:hint="eastAsia"/>
          <w:szCs w:val="20"/>
        </w:rPr>
        <w:t>的过程，从而起到削减</w:t>
      </w:r>
      <w:proofErr w:type="spellStart"/>
      <w:r w:rsidRPr="00B170DF">
        <w:rPr>
          <w:rFonts w:hint="eastAsia"/>
          <w:szCs w:val="20"/>
        </w:rPr>
        <w:t>cccDNA</w:t>
      </w:r>
      <w:proofErr w:type="spellEnd"/>
      <w:r w:rsidRPr="00B170DF">
        <w:rPr>
          <w:rFonts w:hint="eastAsia"/>
          <w:szCs w:val="20"/>
        </w:rPr>
        <w:t>病毒池的作用。截至本预案</w:t>
      </w:r>
      <w:r w:rsidR="00951CFA" w:rsidRPr="00B170DF">
        <w:rPr>
          <w:rFonts w:hint="eastAsia"/>
          <w:szCs w:val="20"/>
        </w:rPr>
        <w:t>公告之日</w:t>
      </w:r>
      <w:r w:rsidRPr="00B170DF">
        <w:rPr>
          <w:rFonts w:hint="eastAsia"/>
          <w:szCs w:val="20"/>
        </w:rPr>
        <w:t>，</w:t>
      </w:r>
      <w:r w:rsidRPr="00B170DF">
        <w:rPr>
          <w:rFonts w:hint="eastAsia"/>
          <w:szCs w:val="20"/>
        </w:rPr>
        <w:t>GST-HG141</w:t>
      </w:r>
      <w:r w:rsidRPr="00B170DF">
        <w:rPr>
          <w:rFonts w:hint="eastAsia"/>
          <w:szCs w:val="20"/>
        </w:rPr>
        <w:t>已完成</w:t>
      </w:r>
      <w:r w:rsidRPr="00B170DF">
        <w:rPr>
          <w:rFonts w:hint="eastAsia"/>
          <w:szCs w:val="20"/>
        </w:rPr>
        <w:t>II</w:t>
      </w:r>
      <w:r w:rsidRPr="00B170DF">
        <w:rPr>
          <w:rFonts w:hint="eastAsia"/>
          <w:szCs w:val="20"/>
        </w:rPr>
        <w:t>期临床试验，根据《</w:t>
      </w:r>
      <w:r w:rsidRPr="00B170DF">
        <w:rPr>
          <w:rFonts w:hint="eastAsia"/>
          <w:szCs w:val="20"/>
        </w:rPr>
        <w:t>GST-HG</w:t>
      </w:r>
      <w:r w:rsidR="009D4071" w:rsidRPr="00B170DF">
        <w:rPr>
          <w:rFonts w:hint="eastAsia"/>
          <w:szCs w:val="20"/>
        </w:rPr>
        <w:t xml:space="preserve"> </w:t>
      </w:r>
      <w:r w:rsidRPr="00B170DF">
        <w:rPr>
          <w:rFonts w:hint="eastAsia"/>
          <w:szCs w:val="20"/>
        </w:rPr>
        <w:t>141II</w:t>
      </w:r>
      <w:r w:rsidRPr="00B170DF">
        <w:rPr>
          <w:rFonts w:hint="eastAsia"/>
          <w:szCs w:val="20"/>
        </w:rPr>
        <w:t>期临床研究报告》，</w:t>
      </w:r>
      <w:r w:rsidRPr="00B170DF">
        <w:rPr>
          <w:rFonts w:hint="eastAsia"/>
          <w:szCs w:val="20"/>
        </w:rPr>
        <w:t>GST-HIG141</w:t>
      </w:r>
      <w:r w:rsidRPr="00B170DF">
        <w:rPr>
          <w:rFonts w:hint="eastAsia"/>
          <w:szCs w:val="20"/>
        </w:rPr>
        <w:t>低剂量组及高剂量组均具有良好的</w:t>
      </w:r>
      <w:r w:rsidRPr="00B170DF">
        <w:rPr>
          <w:rFonts w:hint="eastAsia"/>
          <w:szCs w:val="20"/>
        </w:rPr>
        <w:t>HBV DNA</w:t>
      </w:r>
      <w:r w:rsidRPr="00B170DF">
        <w:rPr>
          <w:rFonts w:hint="eastAsia"/>
          <w:szCs w:val="20"/>
        </w:rPr>
        <w:t>和</w:t>
      </w:r>
      <w:proofErr w:type="spellStart"/>
      <w:r w:rsidRPr="00B170DF">
        <w:rPr>
          <w:rFonts w:hint="eastAsia"/>
          <w:szCs w:val="20"/>
        </w:rPr>
        <w:t>pgRNA</w:t>
      </w:r>
      <w:proofErr w:type="spellEnd"/>
      <w:r w:rsidRPr="00B170DF">
        <w:rPr>
          <w:rFonts w:hint="eastAsia"/>
          <w:szCs w:val="20"/>
        </w:rPr>
        <w:t>抑制作用，用药安全性良好，研究结果支持进一步开展</w:t>
      </w:r>
      <w:r w:rsidRPr="00B170DF">
        <w:rPr>
          <w:rFonts w:hint="eastAsia"/>
          <w:szCs w:val="20"/>
        </w:rPr>
        <w:t>III</w:t>
      </w:r>
      <w:proofErr w:type="gramStart"/>
      <w:r w:rsidRPr="00B170DF">
        <w:rPr>
          <w:rFonts w:hint="eastAsia"/>
          <w:szCs w:val="20"/>
        </w:rPr>
        <w:t>期注册性</w:t>
      </w:r>
      <w:proofErr w:type="gramEnd"/>
      <w:r w:rsidRPr="00B170DF">
        <w:rPr>
          <w:rFonts w:hint="eastAsia"/>
          <w:szCs w:val="20"/>
        </w:rPr>
        <w:t>临床试验。</w:t>
      </w:r>
      <w:r w:rsidRPr="00B170DF">
        <w:rPr>
          <w:rFonts w:hint="eastAsia"/>
          <w:szCs w:val="20"/>
        </w:rPr>
        <w:t>2024</w:t>
      </w:r>
      <w:r w:rsidRPr="00B170DF">
        <w:rPr>
          <w:rFonts w:hint="eastAsia"/>
          <w:szCs w:val="20"/>
        </w:rPr>
        <w:t>年</w:t>
      </w:r>
      <w:r w:rsidRPr="00B170DF">
        <w:rPr>
          <w:rFonts w:hint="eastAsia"/>
          <w:szCs w:val="20"/>
        </w:rPr>
        <w:t>12</w:t>
      </w:r>
      <w:r w:rsidRPr="00B170DF">
        <w:rPr>
          <w:rFonts w:hint="eastAsia"/>
          <w:szCs w:val="20"/>
        </w:rPr>
        <w:t>月</w:t>
      </w:r>
      <w:r w:rsidRPr="00B170DF">
        <w:rPr>
          <w:rFonts w:hint="eastAsia"/>
          <w:szCs w:val="20"/>
        </w:rPr>
        <w:t>GST-HG141</w:t>
      </w:r>
      <w:r w:rsidRPr="00B170DF">
        <w:rPr>
          <w:rFonts w:hint="eastAsia"/>
          <w:szCs w:val="20"/>
        </w:rPr>
        <w:t>被</w:t>
      </w:r>
      <w:r w:rsidRPr="00B170DF">
        <w:rPr>
          <w:rFonts w:hint="eastAsia"/>
          <w:szCs w:val="20"/>
        </w:rPr>
        <w:t>CDE</w:t>
      </w:r>
      <w:r w:rsidRPr="00B170DF">
        <w:rPr>
          <w:rFonts w:hint="eastAsia"/>
          <w:szCs w:val="20"/>
        </w:rPr>
        <w:t>列入突破性治疗品种名单。</w:t>
      </w:r>
      <w:r w:rsidR="00305266" w:rsidRPr="00B170DF">
        <w:rPr>
          <w:rFonts w:hint="eastAsia"/>
          <w:szCs w:val="20"/>
        </w:rPr>
        <w:t>被</w:t>
      </w:r>
      <w:r w:rsidR="00305266" w:rsidRPr="00B170DF">
        <w:rPr>
          <w:rFonts w:hint="eastAsia"/>
          <w:szCs w:val="20"/>
        </w:rPr>
        <w:t>CDE</w:t>
      </w:r>
      <w:r w:rsidR="0007726A" w:rsidRPr="00B170DF">
        <w:rPr>
          <w:rFonts w:hint="eastAsia"/>
          <w:szCs w:val="20"/>
        </w:rPr>
        <w:t>纳入突破性治疗品种名单，是对</w:t>
      </w:r>
      <w:r w:rsidR="0007726A" w:rsidRPr="00B170DF">
        <w:rPr>
          <w:szCs w:val="20"/>
        </w:rPr>
        <w:t>GST-HG141</w:t>
      </w:r>
      <w:r w:rsidR="0007726A" w:rsidRPr="00B170DF">
        <w:rPr>
          <w:rFonts w:hint="eastAsia"/>
          <w:szCs w:val="20"/>
        </w:rPr>
        <w:t>明显临床优势数据的认可，有望加快药物研发进程。</w:t>
      </w:r>
    </w:p>
    <w:p w14:paraId="4E589473" w14:textId="77777777" w:rsidR="003F0511" w:rsidRPr="00B170DF" w:rsidRDefault="003F0511" w:rsidP="003F0511">
      <w:pPr>
        <w:spacing w:before="163" w:after="163"/>
        <w:ind w:firstLine="482"/>
        <w:rPr>
          <w:b/>
          <w:bCs/>
          <w:szCs w:val="20"/>
        </w:rPr>
      </w:pPr>
      <w:r w:rsidRPr="00B170DF">
        <w:rPr>
          <w:b/>
          <w:bCs/>
          <w:szCs w:val="20"/>
        </w:rPr>
        <w:fldChar w:fldCharType="begin"/>
      </w:r>
      <w:r w:rsidRPr="00B170DF">
        <w:rPr>
          <w:b/>
          <w:bCs/>
          <w:szCs w:val="20"/>
        </w:rPr>
        <w:instrText xml:space="preserve"> </w:instrText>
      </w:r>
      <w:r w:rsidRPr="00B170DF">
        <w:rPr>
          <w:rFonts w:hint="eastAsia"/>
          <w:b/>
          <w:bCs/>
          <w:szCs w:val="20"/>
        </w:rPr>
        <w:instrText>= 2 \* GB3</w:instrText>
      </w:r>
      <w:r w:rsidRPr="00B170DF">
        <w:rPr>
          <w:b/>
          <w:bCs/>
          <w:szCs w:val="20"/>
        </w:rPr>
        <w:instrText xml:space="preserve"> </w:instrText>
      </w:r>
      <w:r w:rsidRPr="00B170DF">
        <w:rPr>
          <w:b/>
          <w:bCs/>
          <w:szCs w:val="20"/>
        </w:rPr>
        <w:fldChar w:fldCharType="separate"/>
      </w:r>
      <w:r w:rsidRPr="00B170DF">
        <w:rPr>
          <w:rFonts w:hint="eastAsia"/>
          <w:b/>
          <w:bCs/>
          <w:noProof/>
          <w:szCs w:val="20"/>
        </w:rPr>
        <w:t>②</w:t>
      </w:r>
      <w:r w:rsidRPr="00B170DF">
        <w:rPr>
          <w:b/>
          <w:bCs/>
          <w:szCs w:val="20"/>
        </w:rPr>
        <w:fldChar w:fldCharType="end"/>
      </w:r>
      <w:r w:rsidRPr="00B170DF">
        <w:rPr>
          <w:rFonts w:hint="eastAsia"/>
          <w:b/>
          <w:bCs/>
          <w:szCs w:val="20"/>
        </w:rPr>
        <w:t>GST-HG131</w:t>
      </w:r>
      <w:r w:rsidRPr="00B170DF">
        <w:rPr>
          <w:rFonts w:hint="eastAsia"/>
          <w:b/>
          <w:bCs/>
          <w:szCs w:val="20"/>
        </w:rPr>
        <w:t>联合</w:t>
      </w:r>
      <w:r w:rsidRPr="00B170DF">
        <w:rPr>
          <w:rFonts w:hint="eastAsia"/>
          <w:b/>
          <w:bCs/>
          <w:szCs w:val="20"/>
        </w:rPr>
        <w:t>GST-HG141</w:t>
      </w:r>
      <w:r w:rsidRPr="00B170DF">
        <w:rPr>
          <w:rFonts w:hint="eastAsia"/>
          <w:b/>
          <w:bCs/>
          <w:szCs w:val="20"/>
        </w:rPr>
        <w:t>创新药</w:t>
      </w:r>
      <w:r w:rsidRPr="00B170DF">
        <w:rPr>
          <w:rFonts w:hint="eastAsia"/>
          <w:b/>
          <w:bCs/>
          <w:szCs w:val="20"/>
        </w:rPr>
        <w:t>II</w:t>
      </w:r>
      <w:r w:rsidRPr="00B170DF">
        <w:rPr>
          <w:rFonts w:hint="eastAsia"/>
          <w:b/>
          <w:bCs/>
          <w:szCs w:val="20"/>
        </w:rPr>
        <w:t>期及</w:t>
      </w:r>
      <w:r w:rsidRPr="00B170DF">
        <w:rPr>
          <w:rFonts w:hint="eastAsia"/>
          <w:b/>
          <w:bCs/>
          <w:szCs w:val="20"/>
        </w:rPr>
        <w:t>III</w:t>
      </w:r>
      <w:r w:rsidRPr="00B170DF">
        <w:rPr>
          <w:rFonts w:hint="eastAsia"/>
          <w:b/>
          <w:bCs/>
          <w:szCs w:val="20"/>
        </w:rPr>
        <w:t>期临床研究及上市注册项目</w:t>
      </w:r>
    </w:p>
    <w:p w14:paraId="3743E5E8" w14:textId="77777777" w:rsidR="003F0511" w:rsidRPr="00B170DF" w:rsidRDefault="00D514AB" w:rsidP="003F0511">
      <w:pPr>
        <w:spacing w:beforeLines="0" w:before="0" w:afterLines="0" w:after="0"/>
        <w:ind w:firstLine="480"/>
        <w:rPr>
          <w:szCs w:val="20"/>
        </w:rPr>
      </w:pPr>
      <w:r w:rsidRPr="00B170DF">
        <w:rPr>
          <w:rFonts w:hint="eastAsia"/>
          <w:szCs w:val="21"/>
        </w:rPr>
        <w:t>乙肝临床治愈的最重要病毒学和血清学特征在于经过一段时间的治疗，停药后达到</w:t>
      </w:r>
      <w:r w:rsidRPr="00B170DF">
        <w:rPr>
          <w:rFonts w:hint="eastAsia"/>
          <w:szCs w:val="21"/>
        </w:rPr>
        <w:t>HBV DNA</w:t>
      </w:r>
      <w:r w:rsidRPr="00B170DF">
        <w:rPr>
          <w:rFonts w:hint="eastAsia"/>
          <w:szCs w:val="21"/>
        </w:rPr>
        <w:t>和</w:t>
      </w:r>
      <w:r w:rsidRPr="00B170DF">
        <w:rPr>
          <w:rFonts w:hint="eastAsia"/>
          <w:szCs w:val="21"/>
        </w:rPr>
        <w:t>HBsAg</w:t>
      </w:r>
      <w:r w:rsidRPr="00B170DF">
        <w:rPr>
          <w:rFonts w:hint="eastAsia"/>
          <w:szCs w:val="21"/>
        </w:rPr>
        <w:t>的持续阴转，通常是至少</w:t>
      </w:r>
      <w:r w:rsidRPr="00B170DF">
        <w:rPr>
          <w:rFonts w:hint="eastAsia"/>
          <w:szCs w:val="21"/>
        </w:rPr>
        <w:t>24</w:t>
      </w:r>
      <w:r w:rsidRPr="00B170DF">
        <w:rPr>
          <w:rFonts w:hint="eastAsia"/>
          <w:szCs w:val="21"/>
        </w:rPr>
        <w:t>周以上。</w:t>
      </w:r>
      <w:r w:rsidR="009D4071" w:rsidRPr="00B170DF">
        <w:rPr>
          <w:rFonts w:hint="eastAsia"/>
          <w:szCs w:val="21"/>
        </w:rPr>
        <w:t>根据</w:t>
      </w:r>
      <w:r w:rsidRPr="00B170DF">
        <w:rPr>
          <w:rFonts w:hint="eastAsia"/>
          <w:szCs w:val="21"/>
        </w:rPr>
        <w:t>GST-HG131</w:t>
      </w:r>
      <w:r w:rsidR="009D4071" w:rsidRPr="00B170DF">
        <w:rPr>
          <w:rFonts w:hint="eastAsia"/>
          <w:szCs w:val="21"/>
        </w:rPr>
        <w:t>和</w:t>
      </w:r>
      <w:r w:rsidRPr="00B170DF">
        <w:rPr>
          <w:rFonts w:hint="eastAsia"/>
          <w:szCs w:val="21"/>
        </w:rPr>
        <w:t>GST-HG141</w:t>
      </w:r>
      <w:r w:rsidRPr="00B170DF">
        <w:rPr>
          <w:rFonts w:hint="eastAsia"/>
          <w:szCs w:val="21"/>
        </w:rPr>
        <w:t>非临床研究和临床研究结果，</w:t>
      </w:r>
      <w:r w:rsidRPr="00B170DF">
        <w:rPr>
          <w:rFonts w:hint="eastAsia"/>
          <w:szCs w:val="21"/>
        </w:rPr>
        <w:t>GST-HG131</w:t>
      </w:r>
      <w:r w:rsidRPr="00B170DF">
        <w:rPr>
          <w:rFonts w:hint="eastAsia"/>
          <w:szCs w:val="21"/>
        </w:rPr>
        <w:t>片对</w:t>
      </w:r>
      <w:r w:rsidRPr="00B170DF">
        <w:rPr>
          <w:rFonts w:hint="eastAsia"/>
          <w:szCs w:val="21"/>
        </w:rPr>
        <w:t>HBsAg</w:t>
      </w:r>
      <w:r w:rsidRPr="00B170DF">
        <w:rPr>
          <w:rFonts w:hint="eastAsia"/>
          <w:szCs w:val="21"/>
        </w:rPr>
        <w:t>有显著抑制作用，</w:t>
      </w:r>
      <w:r w:rsidRPr="00B170DF">
        <w:rPr>
          <w:rFonts w:hint="eastAsia"/>
          <w:szCs w:val="21"/>
        </w:rPr>
        <w:t>GST-HG141</w:t>
      </w:r>
      <w:r w:rsidRPr="00B170DF">
        <w:rPr>
          <w:rFonts w:hint="eastAsia"/>
          <w:szCs w:val="21"/>
        </w:rPr>
        <w:t>片对</w:t>
      </w:r>
      <w:r w:rsidRPr="00B170DF">
        <w:rPr>
          <w:rFonts w:hint="eastAsia"/>
          <w:szCs w:val="21"/>
        </w:rPr>
        <w:t>HBV DNA</w:t>
      </w:r>
      <w:r w:rsidRPr="00B170DF">
        <w:rPr>
          <w:rFonts w:hint="eastAsia"/>
          <w:szCs w:val="21"/>
        </w:rPr>
        <w:t>和</w:t>
      </w:r>
      <w:proofErr w:type="spellStart"/>
      <w:r w:rsidRPr="00B170DF">
        <w:rPr>
          <w:rFonts w:hint="eastAsia"/>
          <w:szCs w:val="21"/>
        </w:rPr>
        <w:t>pgRNA</w:t>
      </w:r>
      <w:proofErr w:type="spellEnd"/>
      <w:r w:rsidRPr="00B170DF">
        <w:rPr>
          <w:rFonts w:hint="eastAsia"/>
          <w:szCs w:val="21"/>
        </w:rPr>
        <w:t>具有显著抑制和耗竭作用，这是临床治愈的两个关键。基于</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在抗病毒机制上存在重要针对性和协同互补作用，</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的联用，有望针对乙肝表面抗原、乙肝病毒在体内复制、病毒衣壳装配、</w:t>
      </w:r>
      <w:proofErr w:type="spellStart"/>
      <w:r w:rsidRPr="00B170DF">
        <w:rPr>
          <w:rFonts w:hint="eastAsia"/>
          <w:szCs w:val="21"/>
        </w:rPr>
        <w:t>cccDNA</w:t>
      </w:r>
      <w:proofErr w:type="spellEnd"/>
      <w:r w:rsidRPr="00B170DF">
        <w:rPr>
          <w:rFonts w:hint="eastAsia"/>
          <w:szCs w:val="21"/>
        </w:rPr>
        <w:t>清除等多方面的问题</w:t>
      </w:r>
      <w:r w:rsidR="009D4071" w:rsidRPr="00B170DF">
        <w:rPr>
          <w:rFonts w:hint="eastAsia"/>
          <w:szCs w:val="21"/>
        </w:rPr>
        <w:t>提供解决方案</w:t>
      </w:r>
      <w:r w:rsidRPr="00B170DF">
        <w:rPr>
          <w:rFonts w:hint="eastAsia"/>
          <w:szCs w:val="21"/>
        </w:rPr>
        <w:t>。因此，可以合理的推断二者联合，机制上可能产生协同增效。</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口服给药更具便利性，有利于提高患者治疗的依从性，更易于与口服核苷类药物联用和长期给药，有望提高慢乙肝临床治愈比例，为慢性乙肝临床治愈这一未被满足的巨大临床需求提供更好的治疗方案。</w:t>
      </w:r>
      <w:r w:rsidR="00F75B1D" w:rsidRPr="00B170DF">
        <w:rPr>
          <w:rFonts w:hint="eastAsia"/>
          <w:szCs w:val="21"/>
        </w:rPr>
        <w:t>2025</w:t>
      </w:r>
      <w:r w:rsidR="00F75B1D" w:rsidRPr="00B170DF">
        <w:rPr>
          <w:rFonts w:hint="eastAsia"/>
          <w:szCs w:val="21"/>
        </w:rPr>
        <w:t>年</w:t>
      </w:r>
      <w:r w:rsidR="00F75B1D" w:rsidRPr="00B170DF">
        <w:rPr>
          <w:rFonts w:hint="eastAsia"/>
          <w:szCs w:val="21"/>
        </w:rPr>
        <w:t>3</w:t>
      </w:r>
      <w:r w:rsidR="00F75B1D" w:rsidRPr="00B170DF">
        <w:rPr>
          <w:rFonts w:hint="eastAsia"/>
          <w:szCs w:val="21"/>
        </w:rPr>
        <w:t>月</w:t>
      </w:r>
      <w:r w:rsidR="00F75B1D" w:rsidRPr="00B170DF">
        <w:rPr>
          <w:rFonts w:hint="eastAsia"/>
          <w:szCs w:val="21"/>
        </w:rPr>
        <w:t>7</w:t>
      </w:r>
      <w:r w:rsidR="00F75B1D" w:rsidRPr="00B170DF">
        <w:rPr>
          <w:rFonts w:hint="eastAsia"/>
          <w:szCs w:val="21"/>
        </w:rPr>
        <w:t>日，</w:t>
      </w:r>
      <w:r w:rsidR="00F75B1D" w:rsidRPr="00B170DF">
        <w:rPr>
          <w:rFonts w:hint="eastAsia"/>
          <w:szCs w:val="21"/>
        </w:rPr>
        <w:t>GST-HG131</w:t>
      </w:r>
      <w:r w:rsidR="00F75B1D" w:rsidRPr="00B170DF">
        <w:rPr>
          <w:rFonts w:hint="eastAsia"/>
          <w:szCs w:val="21"/>
        </w:rPr>
        <w:t>联合</w:t>
      </w:r>
      <w:r w:rsidR="00F75B1D" w:rsidRPr="00B170DF">
        <w:rPr>
          <w:rFonts w:hint="eastAsia"/>
          <w:szCs w:val="21"/>
        </w:rPr>
        <w:t>GST-HG141</w:t>
      </w:r>
      <w:r w:rsidR="00F75B1D" w:rsidRPr="00B170DF">
        <w:rPr>
          <w:rFonts w:hint="eastAsia"/>
          <w:szCs w:val="21"/>
        </w:rPr>
        <w:t>项目取得北京市药品监督管理局下发的</w:t>
      </w:r>
      <w:r w:rsidR="009D4071" w:rsidRPr="00B170DF">
        <w:rPr>
          <w:rFonts w:hint="eastAsia"/>
          <w:szCs w:val="21"/>
        </w:rPr>
        <w:t>《</w:t>
      </w:r>
      <w:r w:rsidR="00F75B1D" w:rsidRPr="00B170DF">
        <w:rPr>
          <w:rFonts w:hint="eastAsia"/>
          <w:szCs w:val="21"/>
        </w:rPr>
        <w:t>优化创新药临床试验审评审批试点项目确认书</w:t>
      </w:r>
      <w:r w:rsidR="009D4071" w:rsidRPr="00B170DF">
        <w:rPr>
          <w:rFonts w:hint="eastAsia"/>
          <w:szCs w:val="21"/>
        </w:rPr>
        <w:t>》</w:t>
      </w:r>
      <w:r w:rsidR="00F75B1D" w:rsidRPr="00B170DF">
        <w:rPr>
          <w:rFonts w:hint="eastAsia"/>
          <w:szCs w:val="21"/>
        </w:rPr>
        <w:t>，同意</w:t>
      </w:r>
      <w:r w:rsidR="00F75B1D" w:rsidRPr="00B170DF">
        <w:rPr>
          <w:rFonts w:hint="eastAsia"/>
          <w:szCs w:val="21"/>
        </w:rPr>
        <w:t>GST-HG131</w:t>
      </w:r>
      <w:r w:rsidR="00F75B1D" w:rsidRPr="00B170DF">
        <w:rPr>
          <w:rFonts w:hint="eastAsia"/>
          <w:szCs w:val="21"/>
        </w:rPr>
        <w:t>联合</w:t>
      </w:r>
      <w:r w:rsidR="00F75B1D" w:rsidRPr="00B170DF">
        <w:rPr>
          <w:rFonts w:hint="eastAsia"/>
          <w:szCs w:val="21"/>
        </w:rPr>
        <w:t>GST-</w:t>
      </w:r>
      <w:r w:rsidR="00F75B1D" w:rsidRPr="00B170DF">
        <w:rPr>
          <w:rFonts w:hint="eastAsia"/>
          <w:szCs w:val="21"/>
        </w:rPr>
        <w:lastRenderedPageBreak/>
        <w:t>HG141</w:t>
      </w:r>
      <w:r w:rsidR="00F75B1D" w:rsidRPr="00B170DF">
        <w:rPr>
          <w:rFonts w:hint="eastAsia"/>
          <w:szCs w:val="21"/>
        </w:rPr>
        <w:t>纳入试点项目</w:t>
      </w:r>
      <w:r w:rsidR="009C2FBF" w:rsidRPr="00B170DF">
        <w:rPr>
          <w:rFonts w:hint="eastAsia"/>
          <w:szCs w:val="21"/>
        </w:rPr>
        <w:t>，将有效缩短临床审批周期</w:t>
      </w:r>
      <w:r w:rsidR="00F75B1D" w:rsidRPr="00B170DF">
        <w:rPr>
          <w:rFonts w:hint="eastAsia"/>
          <w:szCs w:val="21"/>
        </w:rPr>
        <w:t>。</w:t>
      </w:r>
      <w:r w:rsidR="00F75B1D" w:rsidRPr="00B170DF">
        <w:rPr>
          <w:rFonts w:hint="eastAsia"/>
          <w:szCs w:val="21"/>
        </w:rPr>
        <w:t>GST-HG131</w:t>
      </w:r>
      <w:r w:rsidR="00F75B1D" w:rsidRPr="00B170DF">
        <w:rPr>
          <w:rFonts w:hint="eastAsia"/>
          <w:szCs w:val="21"/>
        </w:rPr>
        <w:t>联合</w:t>
      </w:r>
      <w:r w:rsidR="00F75B1D" w:rsidRPr="00B170DF">
        <w:rPr>
          <w:rFonts w:hint="eastAsia"/>
          <w:szCs w:val="21"/>
        </w:rPr>
        <w:t>GST-HG141</w:t>
      </w:r>
      <w:r w:rsidR="00F75B1D" w:rsidRPr="00B170DF">
        <w:rPr>
          <w:rFonts w:hint="eastAsia"/>
          <w:szCs w:val="21"/>
        </w:rPr>
        <w:t>创新</w:t>
      </w:r>
      <w:proofErr w:type="gramStart"/>
      <w:r w:rsidR="00F75B1D" w:rsidRPr="00B170DF">
        <w:rPr>
          <w:rFonts w:hint="eastAsia"/>
          <w:szCs w:val="21"/>
        </w:rPr>
        <w:t>药项目</w:t>
      </w:r>
      <w:proofErr w:type="gramEnd"/>
      <w:r w:rsidR="00F75B1D" w:rsidRPr="00B170DF">
        <w:rPr>
          <w:rFonts w:hint="eastAsia"/>
          <w:szCs w:val="21"/>
        </w:rPr>
        <w:t>已向</w:t>
      </w:r>
      <w:r w:rsidR="00F75B1D" w:rsidRPr="00B170DF">
        <w:rPr>
          <w:rFonts w:hint="eastAsia"/>
          <w:szCs w:val="21"/>
        </w:rPr>
        <w:t>CDE</w:t>
      </w:r>
      <w:r w:rsidR="00F75B1D" w:rsidRPr="00B170DF">
        <w:rPr>
          <w:rFonts w:hint="eastAsia"/>
          <w:szCs w:val="21"/>
        </w:rPr>
        <w:t>申报</w:t>
      </w:r>
      <w:r w:rsidR="00F75B1D" w:rsidRPr="00B170DF">
        <w:rPr>
          <w:rFonts w:hint="eastAsia"/>
          <w:szCs w:val="21"/>
        </w:rPr>
        <w:t>II</w:t>
      </w:r>
      <w:r w:rsidR="00F75B1D" w:rsidRPr="00B170DF">
        <w:rPr>
          <w:rFonts w:hint="eastAsia"/>
          <w:szCs w:val="21"/>
        </w:rPr>
        <w:t>期临床研究临床批件，并取得了受理通知书。</w:t>
      </w:r>
    </w:p>
    <w:p w14:paraId="42D7BEDC" w14:textId="77777777" w:rsidR="001929E6" w:rsidRPr="00B170DF" w:rsidRDefault="001929E6" w:rsidP="001929E6">
      <w:pPr>
        <w:keepNext/>
        <w:keepLines/>
        <w:spacing w:before="163" w:afterLines="0" w:after="0"/>
        <w:ind w:firstLine="482"/>
        <w:rPr>
          <w:b/>
          <w:bCs/>
          <w:kern w:val="0"/>
          <w:szCs w:val="24"/>
        </w:rPr>
      </w:pPr>
      <w:r w:rsidRPr="00B170DF">
        <w:rPr>
          <w:rFonts w:hint="eastAsia"/>
          <w:b/>
          <w:bCs/>
          <w:kern w:val="0"/>
          <w:szCs w:val="24"/>
        </w:rPr>
        <w:t>2</w:t>
      </w:r>
      <w:r w:rsidRPr="00B170DF">
        <w:rPr>
          <w:rFonts w:hint="eastAsia"/>
          <w:b/>
          <w:bCs/>
          <w:kern w:val="0"/>
          <w:szCs w:val="24"/>
        </w:rPr>
        <w:t>、项目实施的必要性</w:t>
      </w:r>
    </w:p>
    <w:p w14:paraId="69C1E5FF" w14:textId="77777777" w:rsidR="00314A00" w:rsidRPr="00B170DF" w:rsidRDefault="001929E6" w:rsidP="00314A00">
      <w:pPr>
        <w:spacing w:before="163" w:afterLines="0" w:after="160"/>
        <w:ind w:firstLineChars="0" w:firstLine="420"/>
        <w:rPr>
          <w:szCs w:val="21"/>
        </w:rPr>
      </w:pPr>
      <w:r w:rsidRPr="00B170DF">
        <w:rPr>
          <w:b/>
          <w:bCs/>
        </w:rPr>
        <w:fldChar w:fldCharType="begin"/>
      </w:r>
      <w:r w:rsidRPr="00B170DF">
        <w:rPr>
          <w:b/>
          <w:bCs/>
        </w:rPr>
        <w:instrText xml:space="preserve"> </w:instrText>
      </w:r>
      <w:r w:rsidRPr="00B170DF">
        <w:rPr>
          <w:rFonts w:hint="eastAsia"/>
          <w:b/>
          <w:bCs/>
        </w:rPr>
        <w:instrText>= 1 \* GB3</w:instrText>
      </w:r>
      <w:r w:rsidRPr="00B170DF">
        <w:rPr>
          <w:b/>
          <w:bCs/>
        </w:rPr>
        <w:instrText xml:space="preserve"> </w:instrText>
      </w:r>
      <w:r w:rsidRPr="00B170DF">
        <w:rPr>
          <w:b/>
          <w:bCs/>
        </w:rPr>
        <w:fldChar w:fldCharType="separate"/>
      </w:r>
      <w:r w:rsidRPr="00B170DF">
        <w:rPr>
          <w:rFonts w:hint="eastAsia"/>
          <w:b/>
          <w:bCs/>
          <w:noProof/>
        </w:rPr>
        <w:t>①</w:t>
      </w:r>
      <w:r w:rsidRPr="00B170DF">
        <w:rPr>
          <w:b/>
          <w:bCs/>
        </w:rPr>
        <w:fldChar w:fldCharType="end"/>
      </w:r>
      <w:r w:rsidR="00314A00" w:rsidRPr="00B170DF">
        <w:rPr>
          <w:rFonts w:hint="eastAsia"/>
          <w:b/>
          <w:bCs/>
        </w:rPr>
        <w:t>部分乙肝患者对现有核苷类似物药物治疗应答不佳，存在未满足的临床需求</w:t>
      </w:r>
    </w:p>
    <w:p w14:paraId="4EA14CF0" w14:textId="77777777" w:rsidR="009D4071" w:rsidRPr="00B170DF" w:rsidRDefault="009D4071" w:rsidP="009D4071">
      <w:pPr>
        <w:spacing w:before="163" w:afterLines="0" w:after="160"/>
        <w:ind w:firstLineChars="0" w:firstLine="420"/>
        <w:rPr>
          <w:szCs w:val="21"/>
        </w:rPr>
      </w:pPr>
      <w:r w:rsidRPr="00B170DF">
        <w:rPr>
          <w:rFonts w:hint="eastAsia"/>
          <w:szCs w:val="21"/>
        </w:rPr>
        <w:t>目前，乙肝基本上是不能彻底治愈的，临床上的治疗目标有两个，即保证肝功能正常运转和延缓或阻止肝脏病理性恶化（即肝硬化、肝癌等病变）。恩</w:t>
      </w:r>
      <w:proofErr w:type="gramStart"/>
      <w:r w:rsidRPr="00B170DF">
        <w:rPr>
          <w:rFonts w:hint="eastAsia"/>
          <w:szCs w:val="21"/>
        </w:rPr>
        <w:t>替卡韦</w:t>
      </w:r>
      <w:r w:rsidRPr="00B170DF">
        <w:rPr>
          <w:rFonts w:hint="eastAsia"/>
          <w:szCs w:val="21"/>
        </w:rPr>
        <w:t>(</w:t>
      </w:r>
      <w:proofErr w:type="gramEnd"/>
      <w:r w:rsidRPr="00B170DF">
        <w:rPr>
          <w:rFonts w:hint="eastAsia"/>
          <w:szCs w:val="21"/>
        </w:rPr>
        <w:t>ETV)</w:t>
      </w:r>
      <w:r w:rsidRPr="00B170DF">
        <w:rPr>
          <w:rFonts w:hint="eastAsia"/>
          <w:szCs w:val="21"/>
        </w:rPr>
        <w:t>、富马酸</w:t>
      </w:r>
      <w:proofErr w:type="gramStart"/>
      <w:r w:rsidRPr="00B170DF">
        <w:rPr>
          <w:rFonts w:hint="eastAsia"/>
          <w:szCs w:val="21"/>
        </w:rPr>
        <w:t>替诺福韦酯</w:t>
      </w:r>
      <w:r w:rsidRPr="00B170DF">
        <w:rPr>
          <w:rFonts w:hint="eastAsia"/>
          <w:szCs w:val="21"/>
        </w:rPr>
        <w:t>(</w:t>
      </w:r>
      <w:proofErr w:type="gramEnd"/>
      <w:r w:rsidRPr="00B170DF">
        <w:rPr>
          <w:rFonts w:hint="eastAsia"/>
          <w:szCs w:val="21"/>
        </w:rPr>
        <w:t>TDF)</w:t>
      </w:r>
      <w:r w:rsidRPr="00B170DF">
        <w:rPr>
          <w:rFonts w:hint="eastAsia"/>
          <w:szCs w:val="21"/>
        </w:rPr>
        <w:t>和富马酸丙</w:t>
      </w:r>
      <w:proofErr w:type="gramStart"/>
      <w:r w:rsidRPr="00B170DF">
        <w:rPr>
          <w:rFonts w:hint="eastAsia"/>
          <w:szCs w:val="21"/>
        </w:rPr>
        <w:t>酚替诺福韦</w:t>
      </w:r>
      <w:r w:rsidRPr="00B170DF">
        <w:rPr>
          <w:rFonts w:hint="eastAsia"/>
          <w:szCs w:val="21"/>
        </w:rPr>
        <w:t>(</w:t>
      </w:r>
      <w:proofErr w:type="gramEnd"/>
      <w:r w:rsidRPr="00B170DF">
        <w:rPr>
          <w:rFonts w:hint="eastAsia"/>
          <w:szCs w:val="21"/>
        </w:rPr>
        <w:t>TAF)</w:t>
      </w:r>
      <w:r w:rsidRPr="00B170DF">
        <w:rPr>
          <w:rFonts w:hint="eastAsia"/>
          <w:szCs w:val="21"/>
        </w:rPr>
        <w:t>因其抗病毒作用强、耐药性低、副作用小等优势已作为一线用药在临床广泛应用。经过</w:t>
      </w:r>
      <w:r w:rsidRPr="00B170DF">
        <w:rPr>
          <w:rFonts w:hint="eastAsia"/>
          <w:szCs w:val="21"/>
        </w:rPr>
        <w:t>48</w:t>
      </w:r>
      <w:r w:rsidRPr="00B170DF">
        <w:rPr>
          <w:rFonts w:hint="eastAsia"/>
          <w:szCs w:val="21"/>
        </w:rPr>
        <w:t>周的抗病毒治疗，核苷类似物药物（如</w:t>
      </w:r>
      <w:r w:rsidRPr="00B170DF">
        <w:rPr>
          <w:rFonts w:hint="eastAsia"/>
          <w:szCs w:val="21"/>
        </w:rPr>
        <w:t>ETV</w:t>
      </w:r>
      <w:r w:rsidRPr="00B170DF">
        <w:rPr>
          <w:rFonts w:hint="eastAsia"/>
          <w:szCs w:val="21"/>
        </w:rPr>
        <w:t>、</w:t>
      </w:r>
      <w:r w:rsidRPr="00B170DF">
        <w:rPr>
          <w:rFonts w:hint="eastAsia"/>
          <w:szCs w:val="21"/>
        </w:rPr>
        <w:t>TDF</w:t>
      </w:r>
      <w:r w:rsidRPr="00B170DF">
        <w:rPr>
          <w:rFonts w:hint="eastAsia"/>
          <w:szCs w:val="21"/>
        </w:rPr>
        <w:t>、</w:t>
      </w:r>
      <w:r w:rsidRPr="00B170DF">
        <w:rPr>
          <w:rFonts w:hint="eastAsia"/>
          <w:szCs w:val="21"/>
        </w:rPr>
        <w:t>TAF</w:t>
      </w:r>
      <w:r w:rsidRPr="00B170DF">
        <w:rPr>
          <w:rFonts w:hint="eastAsia"/>
          <w:szCs w:val="21"/>
        </w:rPr>
        <w:t>等）能够有效抑制</w:t>
      </w:r>
      <w:r w:rsidRPr="00B170DF">
        <w:rPr>
          <w:rFonts w:hint="eastAsia"/>
          <w:szCs w:val="21"/>
        </w:rPr>
        <w:t>HBV</w:t>
      </w:r>
      <w:r w:rsidRPr="00B170DF">
        <w:rPr>
          <w:rFonts w:hint="eastAsia"/>
          <w:szCs w:val="21"/>
        </w:rPr>
        <w:t>病毒复制，</w:t>
      </w:r>
      <w:r w:rsidRPr="00B170DF">
        <w:rPr>
          <w:rFonts w:hint="eastAsia"/>
          <w:szCs w:val="21"/>
        </w:rPr>
        <w:t>50%</w:t>
      </w:r>
      <w:r w:rsidRPr="00B170DF">
        <w:rPr>
          <w:rFonts w:hint="eastAsia"/>
          <w:szCs w:val="21"/>
        </w:rPr>
        <w:t>～</w:t>
      </w:r>
      <w:r w:rsidRPr="00B170DF">
        <w:rPr>
          <w:rFonts w:hint="eastAsia"/>
          <w:szCs w:val="21"/>
        </w:rPr>
        <w:t>80%</w:t>
      </w:r>
      <w:r w:rsidRPr="00B170DF">
        <w:rPr>
          <w:rFonts w:hint="eastAsia"/>
          <w:szCs w:val="21"/>
        </w:rPr>
        <w:t>的患者可以实现完全病毒学应答，但是对</w:t>
      </w:r>
      <w:proofErr w:type="spellStart"/>
      <w:r w:rsidRPr="00B170DF">
        <w:rPr>
          <w:rFonts w:hint="eastAsia"/>
          <w:szCs w:val="21"/>
        </w:rPr>
        <w:t>cccDNA</w:t>
      </w:r>
      <w:proofErr w:type="spellEnd"/>
      <w:r w:rsidRPr="00B170DF">
        <w:rPr>
          <w:rFonts w:hint="eastAsia"/>
          <w:szCs w:val="21"/>
        </w:rPr>
        <w:t>没有作用，</w:t>
      </w:r>
      <w:r w:rsidR="008C7456" w:rsidRPr="00B170DF">
        <w:rPr>
          <w:rFonts w:hint="eastAsia"/>
          <w:szCs w:val="21"/>
        </w:rPr>
        <w:t>根据服药年限不同，</w:t>
      </w:r>
      <w:r w:rsidRPr="00B170DF">
        <w:rPr>
          <w:rFonts w:hint="eastAsia"/>
          <w:szCs w:val="21"/>
        </w:rPr>
        <w:t>仍有</w:t>
      </w:r>
      <w:r w:rsidRPr="00B170DF">
        <w:rPr>
          <w:rFonts w:hint="eastAsia"/>
          <w:szCs w:val="21"/>
        </w:rPr>
        <w:t>10%</w:t>
      </w:r>
      <w:r w:rsidRPr="00B170DF">
        <w:rPr>
          <w:rFonts w:hint="eastAsia"/>
          <w:szCs w:val="21"/>
        </w:rPr>
        <w:t>～</w:t>
      </w:r>
      <w:r w:rsidRPr="00B170DF">
        <w:rPr>
          <w:rFonts w:hint="eastAsia"/>
          <w:szCs w:val="21"/>
        </w:rPr>
        <w:t>45%</w:t>
      </w:r>
      <w:r w:rsidRPr="00B170DF">
        <w:rPr>
          <w:rFonts w:hint="eastAsia"/>
          <w:szCs w:val="21"/>
        </w:rPr>
        <w:t>的患者不能有效抑制</w:t>
      </w:r>
      <w:r w:rsidRPr="00B170DF">
        <w:rPr>
          <w:rFonts w:hint="eastAsia"/>
          <w:szCs w:val="21"/>
        </w:rPr>
        <w:t>HBV DNA</w:t>
      </w:r>
      <w:r w:rsidRPr="00B170DF">
        <w:rPr>
          <w:rFonts w:hint="eastAsia"/>
          <w:szCs w:val="21"/>
        </w:rPr>
        <w:t>。研究表明，持续的低病毒载量可以加速肝纤维化进程，不仅不能达到应有的治疗目标，还存在后续一系列的风险，包括增加耐药风险、出现病毒学突破，进展为肝纤维化、肝硬化等，显著增加肝硬化患者</w:t>
      </w:r>
      <w:r w:rsidRPr="00B170DF">
        <w:rPr>
          <w:rFonts w:hint="eastAsia"/>
          <w:szCs w:val="21"/>
        </w:rPr>
        <w:t>HCC</w:t>
      </w:r>
      <w:r w:rsidRPr="00B170DF">
        <w:rPr>
          <w:rFonts w:hint="eastAsia"/>
          <w:szCs w:val="21"/>
        </w:rPr>
        <w:t>风险，是肝细胞癌发生及复发的危险因素。</w:t>
      </w:r>
    </w:p>
    <w:p w14:paraId="1D118335" w14:textId="6814D04E" w:rsidR="00314A00" w:rsidRPr="00B170DF" w:rsidRDefault="009D4071" w:rsidP="003E04F8">
      <w:pPr>
        <w:spacing w:before="163" w:after="163"/>
        <w:ind w:firstLine="480"/>
        <w:rPr>
          <w:szCs w:val="21"/>
        </w:rPr>
      </w:pPr>
      <w:r w:rsidRPr="00B170DF">
        <w:rPr>
          <w:rFonts w:hint="eastAsia"/>
          <w:szCs w:val="21"/>
        </w:rPr>
        <w:t>综上所述，</w:t>
      </w:r>
      <w:r w:rsidRPr="00B170DF">
        <w:rPr>
          <w:rFonts w:hint="eastAsia"/>
          <w:szCs w:val="21"/>
        </w:rPr>
        <w:t>CHB</w:t>
      </w:r>
      <w:r w:rsidRPr="00B170DF">
        <w:rPr>
          <w:rFonts w:hint="eastAsia"/>
          <w:szCs w:val="21"/>
        </w:rPr>
        <w:t>严重危及人类生命健康，</w:t>
      </w:r>
      <w:r w:rsidRPr="00B170DF">
        <w:rPr>
          <w:rFonts w:hint="eastAsia"/>
          <w:szCs w:val="21"/>
        </w:rPr>
        <w:t>HBV DNA</w:t>
      </w:r>
      <w:r w:rsidRPr="00B170DF">
        <w:rPr>
          <w:rFonts w:hint="eastAsia"/>
          <w:szCs w:val="21"/>
        </w:rPr>
        <w:t>完全抑制是目前国内外最新慢性乙肝防治指南推荐的治疗目标。目前针对核苷类似物药物治疗应答不佳没有特别有效的治疗方案和治疗手段。</w:t>
      </w:r>
      <w:r w:rsidRPr="00B170DF">
        <w:rPr>
          <w:rFonts w:hint="eastAsia"/>
          <w:szCs w:val="21"/>
        </w:rPr>
        <w:t>GST-HG141 II</w:t>
      </w:r>
      <w:r w:rsidRPr="00B170DF">
        <w:rPr>
          <w:rFonts w:hint="eastAsia"/>
          <w:szCs w:val="21"/>
        </w:rPr>
        <w:t>期临床总结报告显示</w:t>
      </w:r>
      <w:r w:rsidR="003E04F8" w:rsidRPr="00B170DF">
        <w:rPr>
          <w:rFonts w:hint="eastAsia"/>
          <w:szCs w:val="21"/>
        </w:rPr>
        <w:t>，</w:t>
      </w:r>
      <w:r w:rsidRPr="00B170DF">
        <w:rPr>
          <w:rFonts w:hint="eastAsia"/>
          <w:szCs w:val="21"/>
        </w:rPr>
        <w:t>在核苷类药物治疗基础上</w:t>
      </w:r>
      <w:r w:rsidR="003E04F8" w:rsidRPr="00B170DF">
        <w:rPr>
          <w:rFonts w:hint="eastAsia"/>
          <w:szCs w:val="21"/>
        </w:rPr>
        <w:t>，其低剂量组及高剂量组均具有良好的</w:t>
      </w:r>
      <w:r w:rsidR="003E04F8" w:rsidRPr="00B170DF">
        <w:rPr>
          <w:rFonts w:hint="eastAsia"/>
          <w:szCs w:val="21"/>
        </w:rPr>
        <w:t>HBV DNA</w:t>
      </w:r>
      <w:r w:rsidR="003E04F8" w:rsidRPr="00B170DF">
        <w:rPr>
          <w:rFonts w:hint="eastAsia"/>
          <w:szCs w:val="21"/>
        </w:rPr>
        <w:t>和</w:t>
      </w:r>
      <w:proofErr w:type="spellStart"/>
      <w:r w:rsidR="003E04F8" w:rsidRPr="00B170DF">
        <w:rPr>
          <w:rFonts w:hint="eastAsia"/>
          <w:szCs w:val="21"/>
        </w:rPr>
        <w:t>pgRNA</w:t>
      </w:r>
      <w:proofErr w:type="spellEnd"/>
      <w:r w:rsidR="003E04F8" w:rsidRPr="00B170DF">
        <w:rPr>
          <w:rFonts w:hint="eastAsia"/>
          <w:szCs w:val="21"/>
        </w:rPr>
        <w:t>抑制作用，用药安全性良好，</w:t>
      </w:r>
      <w:r w:rsidRPr="00B170DF">
        <w:rPr>
          <w:rFonts w:hint="eastAsia"/>
          <w:szCs w:val="21"/>
        </w:rPr>
        <w:t>因此</w:t>
      </w:r>
      <w:r w:rsidR="0075678C" w:rsidRPr="00B170DF">
        <w:rPr>
          <w:rFonts w:hint="eastAsia"/>
          <w:szCs w:val="21"/>
        </w:rPr>
        <w:t>，</w:t>
      </w:r>
      <w:r w:rsidRPr="00B170DF">
        <w:rPr>
          <w:rFonts w:hint="eastAsia"/>
          <w:szCs w:val="21"/>
        </w:rPr>
        <w:t>公司开展针对乙肝治疗的</w:t>
      </w:r>
      <w:r w:rsidRPr="00B170DF">
        <w:rPr>
          <w:rFonts w:hint="eastAsia"/>
          <w:szCs w:val="21"/>
        </w:rPr>
        <w:t>GST-HG141</w:t>
      </w:r>
      <w:r w:rsidRPr="00B170DF">
        <w:rPr>
          <w:rFonts w:hint="eastAsia"/>
          <w:szCs w:val="21"/>
        </w:rPr>
        <w:t>研发具有必要性。</w:t>
      </w:r>
      <w:r w:rsidR="005D3149">
        <w:rPr>
          <w:rFonts w:hint="eastAsia"/>
          <w:szCs w:val="21"/>
        </w:rPr>
        <w:t xml:space="preserve">   </w:t>
      </w:r>
    </w:p>
    <w:p w14:paraId="43E350EF" w14:textId="77777777" w:rsidR="001929E6" w:rsidRPr="00B170DF" w:rsidRDefault="001929E6" w:rsidP="00314A00">
      <w:pPr>
        <w:spacing w:before="163" w:after="163"/>
        <w:ind w:firstLine="482"/>
        <w:rPr>
          <w:b/>
          <w:bCs/>
          <w:szCs w:val="21"/>
        </w:rPr>
      </w:pPr>
      <w:r w:rsidRPr="00B170DF">
        <w:rPr>
          <w:b/>
          <w:bCs/>
          <w:szCs w:val="21"/>
        </w:rPr>
        <w:fldChar w:fldCharType="begin"/>
      </w:r>
      <w:r w:rsidRPr="00B170DF">
        <w:rPr>
          <w:b/>
          <w:bCs/>
          <w:szCs w:val="21"/>
        </w:rPr>
        <w:instrText xml:space="preserve"> </w:instrText>
      </w:r>
      <w:r w:rsidRPr="00B170DF">
        <w:rPr>
          <w:rFonts w:hint="eastAsia"/>
          <w:b/>
          <w:bCs/>
          <w:szCs w:val="21"/>
        </w:rPr>
        <w:instrText>= 2 \* GB3</w:instrText>
      </w:r>
      <w:r w:rsidRPr="00B170DF">
        <w:rPr>
          <w:b/>
          <w:bCs/>
          <w:szCs w:val="21"/>
        </w:rPr>
        <w:instrText xml:space="preserve"> </w:instrText>
      </w:r>
      <w:r w:rsidRPr="00B170DF">
        <w:rPr>
          <w:b/>
          <w:bCs/>
          <w:szCs w:val="21"/>
        </w:rPr>
        <w:fldChar w:fldCharType="separate"/>
      </w:r>
      <w:r w:rsidRPr="00B170DF">
        <w:rPr>
          <w:rFonts w:hint="eastAsia"/>
          <w:b/>
          <w:bCs/>
          <w:noProof/>
          <w:szCs w:val="21"/>
        </w:rPr>
        <w:t>②</w:t>
      </w:r>
      <w:r w:rsidRPr="00B170DF">
        <w:rPr>
          <w:b/>
          <w:bCs/>
          <w:szCs w:val="21"/>
        </w:rPr>
        <w:fldChar w:fldCharType="end"/>
      </w:r>
      <w:r w:rsidRPr="00B170DF">
        <w:rPr>
          <w:rFonts w:hint="eastAsia"/>
          <w:b/>
          <w:bCs/>
          <w:szCs w:val="21"/>
        </w:rPr>
        <w:t>乙肝临床治愈仍为难点，市场亟需乙肝创新药</w:t>
      </w:r>
    </w:p>
    <w:p w14:paraId="02A4C203" w14:textId="79438FD1" w:rsidR="00CD74AA" w:rsidRPr="00B170DF" w:rsidRDefault="00CD74AA" w:rsidP="009D4071">
      <w:pPr>
        <w:adjustRightInd w:val="0"/>
        <w:spacing w:before="163" w:after="163"/>
        <w:ind w:firstLine="480"/>
        <w:rPr>
          <w:szCs w:val="20"/>
        </w:rPr>
      </w:pPr>
      <w:bookmarkStart w:id="49" w:name="_Hlk190783754"/>
      <w:r w:rsidRPr="00B170DF">
        <w:rPr>
          <w:rFonts w:hint="eastAsia"/>
          <w:szCs w:val="20"/>
        </w:rPr>
        <w:t>据估计，</w:t>
      </w:r>
      <w:r w:rsidRPr="00B170DF">
        <w:rPr>
          <w:rFonts w:hint="eastAsia"/>
          <w:szCs w:val="20"/>
        </w:rPr>
        <w:t>2022</w:t>
      </w:r>
      <w:r w:rsidRPr="00B170DF">
        <w:rPr>
          <w:rFonts w:hint="eastAsia"/>
          <w:szCs w:val="20"/>
        </w:rPr>
        <w:t>年全球有</w:t>
      </w:r>
      <w:r w:rsidRPr="00B170DF">
        <w:rPr>
          <w:rFonts w:hint="eastAsia"/>
          <w:szCs w:val="20"/>
        </w:rPr>
        <w:t>2.54</w:t>
      </w:r>
      <w:r w:rsidRPr="00B170DF">
        <w:rPr>
          <w:rFonts w:hint="eastAsia"/>
          <w:szCs w:val="20"/>
        </w:rPr>
        <w:t>亿人患有慢性乙肝感染，每年有</w:t>
      </w:r>
      <w:r w:rsidRPr="00B170DF">
        <w:rPr>
          <w:rFonts w:hint="eastAsia"/>
          <w:szCs w:val="20"/>
        </w:rPr>
        <w:t>120</w:t>
      </w:r>
      <w:r w:rsidRPr="00B170DF">
        <w:rPr>
          <w:rFonts w:hint="eastAsia"/>
          <w:szCs w:val="20"/>
        </w:rPr>
        <w:t>万新发感染者。</w:t>
      </w:r>
      <w:r w:rsidRPr="00B170DF">
        <w:rPr>
          <w:rFonts w:hint="eastAsia"/>
          <w:szCs w:val="20"/>
        </w:rPr>
        <w:t>2021</w:t>
      </w:r>
      <w:r w:rsidRPr="00B170DF">
        <w:rPr>
          <w:rFonts w:hint="eastAsia"/>
          <w:szCs w:val="20"/>
        </w:rPr>
        <w:t>年</w:t>
      </w:r>
      <w:r w:rsidR="00D21E24">
        <w:rPr>
          <w:rFonts w:hint="eastAsia"/>
          <w:szCs w:val="20"/>
        </w:rPr>
        <w:t>中国</w:t>
      </w:r>
      <w:r w:rsidRPr="00B170DF">
        <w:rPr>
          <w:rFonts w:hint="eastAsia"/>
          <w:szCs w:val="20"/>
        </w:rPr>
        <w:t>共有</w:t>
      </w:r>
      <w:r w:rsidRPr="00B170DF">
        <w:rPr>
          <w:rFonts w:hint="eastAsia"/>
          <w:szCs w:val="20"/>
        </w:rPr>
        <w:t>2,800</w:t>
      </w:r>
      <w:r w:rsidRPr="00B170DF">
        <w:rPr>
          <w:rFonts w:hint="eastAsia"/>
          <w:szCs w:val="20"/>
        </w:rPr>
        <w:t>万乙肝患者，中国乙肝病毒携带者数量约为</w:t>
      </w:r>
      <w:r w:rsidRPr="00B170DF">
        <w:rPr>
          <w:rFonts w:hint="eastAsia"/>
          <w:szCs w:val="20"/>
        </w:rPr>
        <w:t>8,600</w:t>
      </w:r>
      <w:r w:rsidRPr="00B170DF">
        <w:rPr>
          <w:rFonts w:hint="eastAsia"/>
          <w:szCs w:val="20"/>
        </w:rPr>
        <w:t>万人</w:t>
      </w:r>
      <w:r w:rsidR="009D4071" w:rsidRPr="00B170DF">
        <w:rPr>
          <w:rFonts w:hint="eastAsia"/>
          <w:szCs w:val="20"/>
        </w:rPr>
        <w:t>，而</w:t>
      </w:r>
      <w:r w:rsidRPr="00B170DF">
        <w:rPr>
          <w:rFonts w:hint="eastAsia"/>
          <w:szCs w:val="20"/>
        </w:rPr>
        <w:t>我国</w:t>
      </w:r>
      <w:r w:rsidRPr="00B170DF">
        <w:rPr>
          <w:rFonts w:hint="eastAsia"/>
          <w:szCs w:val="20"/>
        </w:rPr>
        <w:t>CHB</w:t>
      </w:r>
      <w:r w:rsidRPr="00B170DF">
        <w:rPr>
          <w:rFonts w:hint="eastAsia"/>
          <w:szCs w:val="20"/>
        </w:rPr>
        <w:t>的诊断率为</w:t>
      </w:r>
      <w:r w:rsidRPr="00B170DF">
        <w:rPr>
          <w:rFonts w:hint="eastAsia"/>
          <w:szCs w:val="20"/>
        </w:rPr>
        <w:t>22%</w:t>
      </w:r>
      <w:r w:rsidRPr="00B170DF">
        <w:rPr>
          <w:rFonts w:hint="eastAsia"/>
          <w:szCs w:val="20"/>
        </w:rPr>
        <w:t>，治疗率为</w:t>
      </w:r>
      <w:r w:rsidRPr="00B170DF">
        <w:rPr>
          <w:rFonts w:hint="eastAsia"/>
          <w:szCs w:val="20"/>
        </w:rPr>
        <w:t>15%</w:t>
      </w:r>
      <w:r w:rsidRPr="00B170DF">
        <w:rPr>
          <w:rFonts w:hint="eastAsia"/>
          <w:szCs w:val="20"/>
        </w:rPr>
        <w:t>，远低于</w:t>
      </w:r>
      <w:r w:rsidRPr="00B170DF">
        <w:rPr>
          <w:rFonts w:hint="eastAsia"/>
          <w:szCs w:val="20"/>
        </w:rPr>
        <w:t>WHO</w:t>
      </w:r>
      <w:r w:rsidRPr="00B170DF">
        <w:rPr>
          <w:rFonts w:hint="eastAsia"/>
          <w:szCs w:val="20"/>
        </w:rPr>
        <w:t>提出的“</w:t>
      </w:r>
      <w:r w:rsidRPr="00B170DF">
        <w:rPr>
          <w:rFonts w:hint="eastAsia"/>
          <w:szCs w:val="20"/>
        </w:rPr>
        <w:t>2030</w:t>
      </w:r>
      <w:r w:rsidRPr="00B170DF">
        <w:rPr>
          <w:rFonts w:hint="eastAsia"/>
          <w:szCs w:val="20"/>
        </w:rPr>
        <w:t>年消除病毒性肝炎作为公共卫生危害”的目标，即</w:t>
      </w:r>
      <w:r w:rsidRPr="00B170DF">
        <w:rPr>
          <w:rFonts w:hint="eastAsia"/>
          <w:szCs w:val="20"/>
        </w:rPr>
        <w:t>CHB</w:t>
      </w:r>
      <w:r w:rsidRPr="00B170DF">
        <w:rPr>
          <w:rFonts w:hint="eastAsia"/>
          <w:szCs w:val="20"/>
        </w:rPr>
        <w:t>新发感染率减少</w:t>
      </w:r>
      <w:r w:rsidRPr="00B170DF">
        <w:rPr>
          <w:rFonts w:hint="eastAsia"/>
          <w:szCs w:val="20"/>
        </w:rPr>
        <w:t>90%</w:t>
      </w:r>
      <w:r w:rsidRPr="00B170DF">
        <w:rPr>
          <w:rFonts w:hint="eastAsia"/>
          <w:szCs w:val="20"/>
        </w:rPr>
        <w:t>、</w:t>
      </w:r>
      <w:r w:rsidRPr="00B170DF">
        <w:rPr>
          <w:rFonts w:hint="eastAsia"/>
          <w:szCs w:val="20"/>
        </w:rPr>
        <w:lastRenderedPageBreak/>
        <w:t>死亡率减少</w:t>
      </w:r>
      <w:r w:rsidRPr="00B170DF">
        <w:rPr>
          <w:rFonts w:hint="eastAsia"/>
          <w:szCs w:val="20"/>
        </w:rPr>
        <w:t>65%</w:t>
      </w:r>
      <w:r w:rsidRPr="00B170DF">
        <w:rPr>
          <w:rFonts w:hint="eastAsia"/>
          <w:szCs w:val="20"/>
        </w:rPr>
        <w:t>、诊断率达到</w:t>
      </w:r>
      <w:r w:rsidRPr="00B170DF">
        <w:rPr>
          <w:rFonts w:hint="eastAsia"/>
          <w:szCs w:val="20"/>
        </w:rPr>
        <w:t>90%</w:t>
      </w:r>
      <w:r w:rsidRPr="00B170DF">
        <w:rPr>
          <w:rFonts w:hint="eastAsia"/>
          <w:szCs w:val="20"/>
        </w:rPr>
        <w:t>和治疗率达到</w:t>
      </w:r>
      <w:r w:rsidRPr="00B170DF">
        <w:rPr>
          <w:rFonts w:hint="eastAsia"/>
          <w:szCs w:val="20"/>
        </w:rPr>
        <w:t>80%</w:t>
      </w:r>
      <w:r w:rsidR="009D4071" w:rsidRPr="00B170DF">
        <w:rPr>
          <w:rFonts w:hint="eastAsia"/>
          <w:szCs w:val="20"/>
        </w:rPr>
        <w:t>，详见“第一节</w:t>
      </w:r>
      <w:r w:rsidR="009D4071" w:rsidRPr="00B170DF">
        <w:rPr>
          <w:rFonts w:hint="eastAsia"/>
          <w:szCs w:val="20"/>
        </w:rPr>
        <w:t xml:space="preserve"> </w:t>
      </w:r>
      <w:r w:rsidR="009D4071" w:rsidRPr="00B170DF">
        <w:rPr>
          <w:rFonts w:hint="eastAsia"/>
          <w:szCs w:val="20"/>
        </w:rPr>
        <w:t>本次向特定对象发行</w:t>
      </w:r>
      <w:r w:rsidR="009D4071" w:rsidRPr="00B170DF">
        <w:rPr>
          <w:rFonts w:hint="eastAsia"/>
          <w:szCs w:val="20"/>
        </w:rPr>
        <w:t>A</w:t>
      </w:r>
      <w:r w:rsidR="009D4071" w:rsidRPr="00B170DF">
        <w:rPr>
          <w:rFonts w:hint="eastAsia"/>
          <w:szCs w:val="20"/>
        </w:rPr>
        <w:t>股股票方案概要之（一）本次发行的背景”中关于“</w:t>
      </w:r>
      <w:r w:rsidR="009D4071" w:rsidRPr="00B170DF">
        <w:rPr>
          <w:rFonts w:hint="eastAsia"/>
          <w:szCs w:val="20"/>
        </w:rPr>
        <w:t>3</w:t>
      </w:r>
      <w:r w:rsidR="009D4071" w:rsidRPr="00B170DF">
        <w:rPr>
          <w:rFonts w:hint="eastAsia"/>
          <w:szCs w:val="20"/>
        </w:rPr>
        <w:t>、乙肝药物具有广阔发展空间”的相关阐述</w:t>
      </w:r>
      <w:r w:rsidRPr="00B170DF">
        <w:rPr>
          <w:rFonts w:hint="eastAsia"/>
          <w:szCs w:val="20"/>
        </w:rPr>
        <w:t>。</w:t>
      </w:r>
    </w:p>
    <w:p w14:paraId="05B390C2" w14:textId="77777777" w:rsidR="001929E6" w:rsidRPr="00B170DF" w:rsidRDefault="009D4071" w:rsidP="00CD74AA">
      <w:pPr>
        <w:adjustRightInd w:val="0"/>
        <w:spacing w:before="163" w:after="163"/>
        <w:ind w:firstLine="480"/>
        <w:rPr>
          <w:szCs w:val="20"/>
        </w:rPr>
      </w:pPr>
      <w:r w:rsidRPr="00B170DF">
        <w:rPr>
          <w:rFonts w:hint="eastAsia"/>
          <w:szCs w:val="20"/>
        </w:rPr>
        <w:t>慢乙肝的治疗目标是延缓或减少肝硬化失代偿、肝功能衰竭和</w:t>
      </w:r>
      <w:r w:rsidRPr="00B170DF">
        <w:rPr>
          <w:rFonts w:hint="eastAsia"/>
          <w:szCs w:val="20"/>
        </w:rPr>
        <w:t>HCC</w:t>
      </w:r>
      <w:r w:rsidRPr="00B170DF">
        <w:rPr>
          <w:rFonts w:hint="eastAsia"/>
          <w:szCs w:val="20"/>
        </w:rPr>
        <w:t>的发生，从而改善患者生活质量和延长生存时间。受乙肝病毒特性影响，现有药物难以实现乙肝完全彻底地治愈。</w:t>
      </w:r>
      <w:r w:rsidRPr="00B170DF">
        <w:rPr>
          <w:rFonts w:hint="eastAsia"/>
          <w:szCs w:val="20"/>
        </w:rPr>
        <w:t>HBsAg</w:t>
      </w:r>
      <w:r w:rsidRPr="00B170DF">
        <w:rPr>
          <w:rFonts w:hint="eastAsia"/>
          <w:szCs w:val="20"/>
        </w:rPr>
        <w:t>阴转与肝脏功能改善、组织病理改善以及长期预后改善相关，是目前国内外最新慢乙肝防治指南推荐的理想治疗目标，即功能性治愈或称为临床治愈。目前治疗慢性乙肝的抗病毒包括核苷（酸）类药物和干扰素类药物（主要为长效干扰素）。常用的核苷类药物（恩</w:t>
      </w:r>
      <w:proofErr w:type="gramStart"/>
      <w:r w:rsidRPr="00B170DF">
        <w:rPr>
          <w:rFonts w:hint="eastAsia"/>
          <w:szCs w:val="20"/>
        </w:rPr>
        <w:t>替卡韦、替诺福韦</w:t>
      </w:r>
      <w:proofErr w:type="gramEnd"/>
      <w:r w:rsidRPr="00B170DF">
        <w:rPr>
          <w:rFonts w:hint="eastAsia"/>
          <w:szCs w:val="20"/>
        </w:rPr>
        <w:t>等）临床治愈率仅约为</w:t>
      </w:r>
      <w:r w:rsidRPr="00B170DF">
        <w:rPr>
          <w:rFonts w:hint="eastAsia"/>
          <w:szCs w:val="20"/>
        </w:rPr>
        <w:t>0%-3%</w:t>
      </w:r>
      <w:r w:rsidRPr="00B170DF">
        <w:rPr>
          <w:rFonts w:hint="eastAsia"/>
          <w:szCs w:val="20"/>
        </w:rPr>
        <w:t>，绝大多数患者需要终生服药。因此乙肝实现完全治愈仍为当前医学界的重难点问题，市场亟需乙肝治愈创新药。为了进一步提高未来乙肝临床治愈率，公司及众多国内外医药公司正致力于乙肝临床治愈药物的研发，以满足众多乙肝患者治疗需求。因此，公司开展针对乙肝临床治愈的</w:t>
      </w:r>
      <w:r w:rsidRPr="00B170DF">
        <w:rPr>
          <w:rFonts w:hint="eastAsia"/>
          <w:szCs w:val="20"/>
        </w:rPr>
        <w:t>GST-HG131</w:t>
      </w:r>
      <w:r w:rsidRPr="00B170DF">
        <w:rPr>
          <w:rFonts w:hint="eastAsia"/>
          <w:szCs w:val="20"/>
        </w:rPr>
        <w:t>联</w:t>
      </w:r>
      <w:r w:rsidR="0075678C" w:rsidRPr="00B170DF">
        <w:rPr>
          <w:rFonts w:hint="eastAsia"/>
          <w:szCs w:val="20"/>
        </w:rPr>
        <w:t>合</w:t>
      </w:r>
      <w:r w:rsidRPr="00B170DF">
        <w:rPr>
          <w:rFonts w:hint="eastAsia"/>
          <w:szCs w:val="20"/>
        </w:rPr>
        <w:t>GST-HG141</w:t>
      </w:r>
      <w:r w:rsidRPr="00B170DF">
        <w:rPr>
          <w:rFonts w:hint="eastAsia"/>
          <w:szCs w:val="20"/>
        </w:rPr>
        <w:t>研发具有必要性。</w:t>
      </w:r>
    </w:p>
    <w:bookmarkEnd w:id="49"/>
    <w:p w14:paraId="54C527A3" w14:textId="77777777" w:rsidR="001929E6" w:rsidRPr="00B170DF" w:rsidRDefault="001929E6" w:rsidP="001929E6">
      <w:pPr>
        <w:spacing w:before="163" w:afterLines="0" w:after="160"/>
        <w:ind w:firstLineChars="0" w:firstLine="420"/>
        <w:rPr>
          <w:b/>
          <w:bCs/>
        </w:rPr>
      </w:pPr>
      <w:r w:rsidRPr="00B170DF">
        <w:rPr>
          <w:b/>
          <w:bCs/>
        </w:rPr>
        <w:fldChar w:fldCharType="begin"/>
      </w:r>
      <w:r w:rsidRPr="00B170DF">
        <w:rPr>
          <w:b/>
          <w:bCs/>
        </w:rPr>
        <w:instrText xml:space="preserve"> </w:instrText>
      </w:r>
      <w:r w:rsidRPr="00B170DF">
        <w:rPr>
          <w:rFonts w:hint="eastAsia"/>
          <w:b/>
          <w:bCs/>
        </w:rPr>
        <w:instrText>= 3 \* GB3</w:instrText>
      </w:r>
      <w:r w:rsidRPr="00B170DF">
        <w:rPr>
          <w:b/>
          <w:bCs/>
        </w:rPr>
        <w:instrText xml:space="preserve"> </w:instrText>
      </w:r>
      <w:r w:rsidRPr="00B170DF">
        <w:rPr>
          <w:b/>
          <w:bCs/>
        </w:rPr>
        <w:fldChar w:fldCharType="separate"/>
      </w:r>
      <w:r w:rsidRPr="00B170DF">
        <w:rPr>
          <w:rFonts w:hint="eastAsia"/>
          <w:b/>
          <w:bCs/>
          <w:noProof/>
        </w:rPr>
        <w:t>③</w:t>
      </w:r>
      <w:r w:rsidRPr="00B170DF">
        <w:rPr>
          <w:b/>
          <w:bCs/>
        </w:rPr>
        <w:fldChar w:fldCharType="end"/>
      </w:r>
      <w:r w:rsidRPr="00B170DF">
        <w:rPr>
          <w:rFonts w:hint="eastAsia"/>
          <w:b/>
          <w:bCs/>
        </w:rPr>
        <w:t>加快公司创新药研发进程，提升公司核心竞争能力</w:t>
      </w:r>
    </w:p>
    <w:p w14:paraId="2A8E7BC9" w14:textId="01882C29" w:rsidR="00CD74AA" w:rsidRPr="00B170DF" w:rsidRDefault="00CD74AA" w:rsidP="00CD74AA">
      <w:pPr>
        <w:spacing w:before="163" w:afterLines="0" w:after="160"/>
        <w:ind w:firstLine="480"/>
      </w:pPr>
      <w:r w:rsidRPr="00B170DF">
        <w:rPr>
          <w:rFonts w:hint="eastAsia"/>
        </w:rPr>
        <w:t>在国内医药企业持续增强研发的行业大趋势下，公司基于自身主营业务领域，坚定不移地持续实施创新发展战略，加大研发投入推进创新药研发进展，进一步提升公司的核心竞争力。</w:t>
      </w:r>
      <w:r w:rsidR="009D4071" w:rsidRPr="00B170DF">
        <w:rPr>
          <w:rFonts w:hint="eastAsia"/>
        </w:rPr>
        <w:t>目前，公司已有</w:t>
      </w:r>
      <w:r w:rsidR="009D4071" w:rsidRPr="00B170DF">
        <w:rPr>
          <w:rFonts w:hint="eastAsia"/>
        </w:rPr>
        <w:t>1</w:t>
      </w:r>
      <w:r w:rsidR="009D4071" w:rsidRPr="00B170DF">
        <w:rPr>
          <w:rFonts w:hint="eastAsia"/>
        </w:rPr>
        <w:t>款</w:t>
      </w:r>
      <w:proofErr w:type="gramStart"/>
      <w:r w:rsidR="009D4071" w:rsidRPr="00B170DF">
        <w:rPr>
          <w:rFonts w:hint="eastAsia"/>
        </w:rPr>
        <w:t>创新药获批</w:t>
      </w:r>
      <w:proofErr w:type="gramEnd"/>
      <w:r w:rsidR="009D4071" w:rsidRPr="00B170DF">
        <w:rPr>
          <w:rFonts w:hint="eastAsia"/>
        </w:rPr>
        <w:t>上市，其余</w:t>
      </w:r>
      <w:r w:rsidR="0075678C" w:rsidRPr="00B170DF">
        <w:rPr>
          <w:rFonts w:hint="eastAsia"/>
        </w:rPr>
        <w:t>5</w:t>
      </w:r>
      <w:r w:rsidR="0075678C" w:rsidRPr="00B170DF">
        <w:rPr>
          <w:rFonts w:hint="eastAsia"/>
        </w:rPr>
        <w:t>款</w:t>
      </w:r>
      <w:r w:rsidR="009D4071" w:rsidRPr="00B170DF">
        <w:rPr>
          <w:rFonts w:hint="eastAsia"/>
        </w:rPr>
        <w:t>创新</w:t>
      </w:r>
      <w:proofErr w:type="gramStart"/>
      <w:r w:rsidR="009D4071" w:rsidRPr="00B170DF">
        <w:rPr>
          <w:rFonts w:hint="eastAsia"/>
        </w:rPr>
        <w:t>药项目</w:t>
      </w:r>
      <w:proofErr w:type="gramEnd"/>
      <w:r w:rsidR="009D4071" w:rsidRPr="00B170DF">
        <w:rPr>
          <w:rFonts w:hint="eastAsia"/>
        </w:rPr>
        <w:t>也均处于临床研究阶段：（</w:t>
      </w:r>
      <w:r w:rsidR="009D4071" w:rsidRPr="00B170DF">
        <w:rPr>
          <w:rFonts w:hint="eastAsia"/>
        </w:rPr>
        <w:t>1</w:t>
      </w:r>
      <w:r w:rsidR="009D4071" w:rsidRPr="00B170DF">
        <w:rPr>
          <w:rFonts w:hint="eastAsia"/>
        </w:rPr>
        <w:t>）</w:t>
      </w:r>
      <w:r w:rsidR="009D4071" w:rsidRPr="00B170DF">
        <w:rPr>
          <w:rFonts w:hint="eastAsia"/>
        </w:rPr>
        <w:t>2023</w:t>
      </w:r>
      <w:r w:rsidR="009D4071" w:rsidRPr="00B170DF">
        <w:rPr>
          <w:rFonts w:hint="eastAsia"/>
        </w:rPr>
        <w:t>年</w:t>
      </w:r>
      <w:r w:rsidR="009D4071" w:rsidRPr="00B170DF">
        <w:rPr>
          <w:rFonts w:hint="eastAsia"/>
        </w:rPr>
        <w:t>11</w:t>
      </w:r>
      <w:r w:rsidR="009D4071" w:rsidRPr="00B170DF">
        <w:rPr>
          <w:rFonts w:hint="eastAsia"/>
        </w:rPr>
        <w:t>月，公司首</w:t>
      </w:r>
      <w:proofErr w:type="gramStart"/>
      <w:r w:rsidR="009D4071" w:rsidRPr="00B170DF">
        <w:rPr>
          <w:rFonts w:hint="eastAsia"/>
        </w:rPr>
        <w:t>款创新药</w:t>
      </w:r>
      <w:proofErr w:type="gramEnd"/>
      <w:r w:rsidR="009D4071" w:rsidRPr="00B170DF">
        <w:rPr>
          <w:rFonts w:hint="eastAsia"/>
        </w:rPr>
        <w:t>泰中定获批上市销售，并于</w:t>
      </w:r>
      <w:r w:rsidR="009D4071" w:rsidRPr="00B170DF">
        <w:rPr>
          <w:rFonts w:hint="eastAsia"/>
        </w:rPr>
        <w:t>2024</w:t>
      </w:r>
      <w:r w:rsidR="009D4071" w:rsidRPr="00B170DF">
        <w:rPr>
          <w:rFonts w:hint="eastAsia"/>
        </w:rPr>
        <w:t>年</w:t>
      </w:r>
      <w:r w:rsidR="009D4071" w:rsidRPr="00B170DF">
        <w:rPr>
          <w:rFonts w:hint="eastAsia"/>
        </w:rPr>
        <w:t>11</w:t>
      </w:r>
      <w:r w:rsidR="009D4071" w:rsidRPr="00B170DF">
        <w:rPr>
          <w:rFonts w:hint="eastAsia"/>
        </w:rPr>
        <w:t>月正式进入国家</w:t>
      </w:r>
      <w:proofErr w:type="gramStart"/>
      <w:r w:rsidR="009D4071" w:rsidRPr="00B170DF">
        <w:rPr>
          <w:rFonts w:hint="eastAsia"/>
        </w:rPr>
        <w:t>医</w:t>
      </w:r>
      <w:proofErr w:type="gramEnd"/>
      <w:r w:rsidR="009D4071" w:rsidRPr="00B170DF">
        <w:rPr>
          <w:rFonts w:hint="eastAsia"/>
        </w:rPr>
        <w:t>保目录；（</w:t>
      </w:r>
      <w:r w:rsidR="009D4071" w:rsidRPr="00B170DF">
        <w:rPr>
          <w:rFonts w:hint="eastAsia"/>
        </w:rPr>
        <w:t>2</w:t>
      </w:r>
      <w:r w:rsidR="009D4071" w:rsidRPr="00B170DF">
        <w:rPr>
          <w:rFonts w:hint="eastAsia"/>
        </w:rPr>
        <w:t>）本次创新药研发项目涉及的</w:t>
      </w:r>
      <w:r w:rsidR="009D4071" w:rsidRPr="00B170DF">
        <w:rPr>
          <w:rFonts w:hint="eastAsia"/>
        </w:rPr>
        <w:t>GST-HG141</w:t>
      </w:r>
      <w:r w:rsidR="009D4071" w:rsidRPr="00B170DF">
        <w:rPr>
          <w:rFonts w:hint="eastAsia"/>
        </w:rPr>
        <w:t>已完成临床</w:t>
      </w:r>
      <w:r w:rsidR="009D4071" w:rsidRPr="00B170DF">
        <w:rPr>
          <w:rFonts w:hint="eastAsia"/>
        </w:rPr>
        <w:t>II</w:t>
      </w:r>
      <w:r w:rsidR="009D4071" w:rsidRPr="00B170DF">
        <w:rPr>
          <w:rFonts w:hint="eastAsia"/>
        </w:rPr>
        <w:t>期，正在推进临床</w:t>
      </w:r>
      <w:r w:rsidR="009D4071" w:rsidRPr="00B170DF">
        <w:rPr>
          <w:rFonts w:hint="eastAsia"/>
        </w:rPr>
        <w:t>III</w:t>
      </w:r>
      <w:proofErr w:type="gramStart"/>
      <w:r w:rsidR="009D4071" w:rsidRPr="00B170DF">
        <w:rPr>
          <w:rFonts w:hint="eastAsia"/>
        </w:rPr>
        <w:t>期试验</w:t>
      </w:r>
      <w:proofErr w:type="gramEnd"/>
      <w:r w:rsidR="009D4071" w:rsidRPr="00B170DF">
        <w:rPr>
          <w:rFonts w:hint="eastAsia"/>
        </w:rPr>
        <w:t>相关工作，</w:t>
      </w:r>
      <w:r w:rsidR="009D4071" w:rsidRPr="00B170DF">
        <w:rPr>
          <w:rFonts w:hint="eastAsia"/>
        </w:rPr>
        <w:t>GST-HG131</w:t>
      </w:r>
      <w:r w:rsidR="009D4071" w:rsidRPr="00B170DF">
        <w:rPr>
          <w:rFonts w:hint="eastAsia"/>
        </w:rPr>
        <w:t>联合</w:t>
      </w:r>
      <w:r w:rsidR="009D4071" w:rsidRPr="00B170DF">
        <w:rPr>
          <w:rFonts w:hint="eastAsia"/>
        </w:rPr>
        <w:t xml:space="preserve"> GST-HG141</w:t>
      </w:r>
      <w:r w:rsidR="009D4071" w:rsidRPr="00B170DF">
        <w:rPr>
          <w:rFonts w:hint="eastAsia"/>
        </w:rPr>
        <w:t>创新</w:t>
      </w:r>
      <w:proofErr w:type="gramStart"/>
      <w:r w:rsidR="009D4071" w:rsidRPr="00B170DF">
        <w:rPr>
          <w:rFonts w:hint="eastAsia"/>
        </w:rPr>
        <w:t>药项目</w:t>
      </w:r>
      <w:proofErr w:type="gramEnd"/>
      <w:r w:rsidR="009D4071" w:rsidRPr="00B170DF">
        <w:rPr>
          <w:rFonts w:hint="eastAsia"/>
        </w:rPr>
        <w:t>II</w:t>
      </w:r>
      <w:r w:rsidR="009D4071" w:rsidRPr="00B170DF">
        <w:rPr>
          <w:rFonts w:hint="eastAsia"/>
        </w:rPr>
        <w:t>期临床研究临床申请已获得受理；（</w:t>
      </w:r>
      <w:r w:rsidR="009D4071" w:rsidRPr="00B170DF">
        <w:rPr>
          <w:rFonts w:hint="eastAsia"/>
        </w:rPr>
        <w:t>3</w:t>
      </w:r>
      <w:r w:rsidR="009D4071" w:rsidRPr="00B170DF">
        <w:rPr>
          <w:rFonts w:hint="eastAsia"/>
        </w:rPr>
        <w:t>）</w:t>
      </w:r>
      <w:r w:rsidR="009D4071" w:rsidRPr="00B170DF">
        <w:rPr>
          <w:rFonts w:hint="eastAsia"/>
        </w:rPr>
        <w:t>GST-HG131</w:t>
      </w:r>
      <w:r w:rsidR="009D4071" w:rsidRPr="00B170DF">
        <w:rPr>
          <w:rFonts w:hint="eastAsia"/>
        </w:rPr>
        <w:t>单</w:t>
      </w:r>
      <w:proofErr w:type="gramStart"/>
      <w:r w:rsidR="009D4071" w:rsidRPr="00B170DF">
        <w:rPr>
          <w:rFonts w:hint="eastAsia"/>
        </w:rPr>
        <w:t>药处于</w:t>
      </w:r>
      <w:proofErr w:type="gramEnd"/>
      <w:r w:rsidR="009D4071" w:rsidRPr="00B170DF">
        <w:rPr>
          <w:rFonts w:hint="eastAsia"/>
        </w:rPr>
        <w:t>临床</w:t>
      </w:r>
      <w:r w:rsidR="009D4071" w:rsidRPr="00B170DF">
        <w:rPr>
          <w:rFonts w:hint="eastAsia"/>
        </w:rPr>
        <w:t>II</w:t>
      </w:r>
      <w:r w:rsidR="009D4071" w:rsidRPr="00B170DF">
        <w:rPr>
          <w:rFonts w:hint="eastAsia"/>
        </w:rPr>
        <w:t>期，另有</w:t>
      </w:r>
      <w:r w:rsidR="00F32D97">
        <w:rPr>
          <w:rFonts w:hint="eastAsia"/>
        </w:rPr>
        <w:t>3</w:t>
      </w:r>
      <w:r w:rsidR="009D4071" w:rsidRPr="00B170DF">
        <w:rPr>
          <w:rFonts w:hint="eastAsia"/>
        </w:rPr>
        <w:t>款创新</w:t>
      </w:r>
      <w:proofErr w:type="gramStart"/>
      <w:r w:rsidR="009D4071" w:rsidRPr="00B170DF">
        <w:rPr>
          <w:rFonts w:hint="eastAsia"/>
        </w:rPr>
        <w:t>药处于</w:t>
      </w:r>
      <w:proofErr w:type="gramEnd"/>
      <w:r w:rsidR="009D4071" w:rsidRPr="00B170DF">
        <w:rPr>
          <w:rFonts w:hint="eastAsia"/>
        </w:rPr>
        <w:t>临床</w:t>
      </w:r>
      <w:r w:rsidR="009D4071" w:rsidRPr="00B170DF">
        <w:rPr>
          <w:rFonts w:hint="eastAsia"/>
        </w:rPr>
        <w:t>I</w:t>
      </w:r>
      <w:r w:rsidR="009D4071" w:rsidRPr="00B170DF">
        <w:rPr>
          <w:rFonts w:hint="eastAsia"/>
        </w:rPr>
        <w:t>期。</w:t>
      </w:r>
    </w:p>
    <w:p w14:paraId="372FA7EF" w14:textId="77777777" w:rsidR="001929E6" w:rsidRPr="00B170DF" w:rsidRDefault="00CD74AA" w:rsidP="00CD74AA">
      <w:pPr>
        <w:spacing w:before="163" w:afterLines="0" w:after="160"/>
        <w:ind w:firstLine="480"/>
        <w:rPr>
          <w:szCs w:val="20"/>
        </w:rPr>
      </w:pPr>
      <w:r w:rsidRPr="00B170DF">
        <w:rPr>
          <w:rFonts w:hint="eastAsia"/>
        </w:rPr>
        <w:t>本</w:t>
      </w:r>
      <w:proofErr w:type="gramStart"/>
      <w:r w:rsidRPr="00B170DF">
        <w:rPr>
          <w:rFonts w:hint="eastAsia"/>
        </w:rPr>
        <w:t>募投项目</w:t>
      </w:r>
      <w:proofErr w:type="gramEnd"/>
      <w:r w:rsidRPr="00B170DF">
        <w:rPr>
          <w:rFonts w:hint="eastAsia"/>
        </w:rPr>
        <w:t>成功实施后，一方面有助于进一步扩充公司的资金来源，加快创新药研发进程，提升公司在创新</w:t>
      </w:r>
      <w:proofErr w:type="gramStart"/>
      <w:r w:rsidRPr="00B170DF">
        <w:rPr>
          <w:rFonts w:hint="eastAsia"/>
        </w:rPr>
        <w:t>药领域</w:t>
      </w:r>
      <w:proofErr w:type="gramEnd"/>
      <w:r w:rsidRPr="00B170DF">
        <w:rPr>
          <w:rFonts w:hint="eastAsia"/>
        </w:rPr>
        <w:t>的整体实力和市场布局，为后续临床试验推进及上市注册等一系列工作奠定坚实的基础；另一方面也将助力公司产品管线进一步扩容，产品梯度进一步优化，为公司建立“第二增长曲线”，增强公司抵</w:t>
      </w:r>
      <w:r w:rsidRPr="00B170DF">
        <w:rPr>
          <w:rFonts w:hint="eastAsia"/>
        </w:rPr>
        <w:lastRenderedPageBreak/>
        <w:t>御市场风险的能力提供保障。</w:t>
      </w:r>
    </w:p>
    <w:p w14:paraId="3A4A5477" w14:textId="77777777" w:rsidR="003F0511" w:rsidRPr="00B170DF" w:rsidRDefault="003F0511" w:rsidP="003F0511">
      <w:pPr>
        <w:keepNext/>
        <w:keepLines/>
        <w:spacing w:before="163" w:afterLines="0" w:after="0"/>
        <w:ind w:firstLine="482"/>
        <w:rPr>
          <w:b/>
          <w:bCs/>
          <w:kern w:val="0"/>
          <w:szCs w:val="24"/>
        </w:rPr>
      </w:pPr>
      <w:bookmarkStart w:id="50" w:name="_Hlk190872922"/>
      <w:r w:rsidRPr="00B170DF">
        <w:rPr>
          <w:rFonts w:hint="eastAsia"/>
          <w:b/>
          <w:bCs/>
          <w:kern w:val="0"/>
          <w:szCs w:val="24"/>
        </w:rPr>
        <w:t>3</w:t>
      </w:r>
      <w:r w:rsidRPr="00B170DF">
        <w:rPr>
          <w:rFonts w:hint="eastAsia"/>
          <w:b/>
          <w:bCs/>
          <w:kern w:val="0"/>
          <w:szCs w:val="24"/>
        </w:rPr>
        <w:t>、</w:t>
      </w:r>
      <w:r w:rsidRPr="00B170DF">
        <w:rPr>
          <w:b/>
          <w:bCs/>
          <w:kern w:val="0"/>
          <w:szCs w:val="24"/>
        </w:rPr>
        <w:t>项目</w:t>
      </w:r>
      <w:r w:rsidRPr="00B170DF">
        <w:rPr>
          <w:rFonts w:hint="eastAsia"/>
          <w:b/>
          <w:bCs/>
          <w:kern w:val="0"/>
          <w:szCs w:val="24"/>
        </w:rPr>
        <w:t>实施</w:t>
      </w:r>
      <w:r w:rsidRPr="00B170DF">
        <w:rPr>
          <w:b/>
          <w:bCs/>
          <w:kern w:val="0"/>
          <w:szCs w:val="24"/>
        </w:rPr>
        <w:t>的可行性</w:t>
      </w:r>
    </w:p>
    <w:p w14:paraId="50972E80" w14:textId="77777777" w:rsidR="003F0511" w:rsidRPr="00B170DF" w:rsidRDefault="003F0511" w:rsidP="003F0511">
      <w:pPr>
        <w:spacing w:before="163" w:after="163"/>
        <w:ind w:firstLine="482"/>
        <w:rPr>
          <w:b/>
          <w:szCs w:val="20"/>
          <w:shd w:val="clear" w:color="auto" w:fill="FFFFFF"/>
        </w:rPr>
      </w:pPr>
      <w:r w:rsidRPr="00B170DF">
        <w:rPr>
          <w:b/>
          <w:szCs w:val="20"/>
          <w:shd w:val="clear" w:color="auto" w:fill="FFFFFF"/>
        </w:rPr>
        <w:fldChar w:fldCharType="begin"/>
      </w:r>
      <w:r w:rsidRPr="00B170DF">
        <w:rPr>
          <w:b/>
          <w:szCs w:val="20"/>
          <w:shd w:val="clear" w:color="auto" w:fill="FFFFFF"/>
        </w:rPr>
        <w:instrText xml:space="preserve"> </w:instrText>
      </w:r>
      <w:r w:rsidRPr="00B170DF">
        <w:rPr>
          <w:rFonts w:hint="eastAsia"/>
          <w:b/>
          <w:szCs w:val="20"/>
          <w:shd w:val="clear" w:color="auto" w:fill="FFFFFF"/>
        </w:rPr>
        <w:instrText>= 1 \* GB3</w:instrText>
      </w:r>
      <w:r w:rsidRPr="00B170DF">
        <w:rPr>
          <w:b/>
          <w:szCs w:val="20"/>
          <w:shd w:val="clear" w:color="auto" w:fill="FFFFFF"/>
        </w:rPr>
        <w:instrText xml:space="preserve"> </w:instrText>
      </w:r>
      <w:r w:rsidRPr="00B170DF">
        <w:rPr>
          <w:b/>
          <w:szCs w:val="20"/>
          <w:shd w:val="clear" w:color="auto" w:fill="FFFFFF"/>
        </w:rPr>
        <w:fldChar w:fldCharType="separate"/>
      </w:r>
      <w:r w:rsidRPr="00B170DF">
        <w:rPr>
          <w:rFonts w:hint="eastAsia"/>
          <w:b/>
          <w:noProof/>
          <w:szCs w:val="20"/>
          <w:shd w:val="clear" w:color="auto" w:fill="FFFFFF"/>
        </w:rPr>
        <w:t>①</w:t>
      </w:r>
      <w:r w:rsidRPr="00B170DF">
        <w:rPr>
          <w:b/>
          <w:szCs w:val="20"/>
          <w:shd w:val="clear" w:color="auto" w:fill="FFFFFF"/>
        </w:rPr>
        <w:fldChar w:fldCharType="end"/>
      </w:r>
      <w:r w:rsidRPr="00B170DF">
        <w:rPr>
          <w:rFonts w:hint="eastAsia"/>
          <w:b/>
          <w:szCs w:val="20"/>
          <w:shd w:val="clear" w:color="auto" w:fill="FFFFFF"/>
        </w:rPr>
        <w:t>政策可行性为本项目的实施提供了有利因素</w:t>
      </w:r>
    </w:p>
    <w:p w14:paraId="52DFB319" w14:textId="77777777" w:rsidR="003F0511" w:rsidRPr="00B170DF" w:rsidRDefault="00CD74AA" w:rsidP="00CD74AA">
      <w:pPr>
        <w:adjustRightInd w:val="0"/>
        <w:spacing w:before="163" w:afterLines="0" w:after="160"/>
        <w:ind w:firstLine="480"/>
        <w:rPr>
          <w:szCs w:val="20"/>
        </w:rPr>
      </w:pPr>
      <w:r w:rsidRPr="00B170DF">
        <w:rPr>
          <w:rFonts w:hint="eastAsia"/>
          <w:szCs w:val="20"/>
        </w:rPr>
        <w:t>创新药作为一种可针对特定疾病提供新的治疗方式及满足临床需求的重要药品类型，其在研发过程中具备难度高、周期长、耗费资金量巨大等突出特征。但创新药的上市一方面将为对应疾病患者带来改善或治愈希望，具备极高的社会效益；同时也将为研发企业带来巨大的先发优势，持续创造产业价值。我国政府亦出台了有关政策来全力支持创新药的研发与推进工作，创新药的研发环境不断迎来利好。</w:t>
      </w:r>
      <w:r w:rsidR="0075678C" w:rsidRPr="00B170DF">
        <w:rPr>
          <w:rFonts w:hint="eastAsia"/>
          <w:szCs w:val="20"/>
        </w:rPr>
        <w:t>具体参见“本节二、（一）</w:t>
      </w:r>
      <w:r w:rsidR="0075678C" w:rsidRPr="00B170DF">
        <w:rPr>
          <w:rFonts w:hint="eastAsia"/>
          <w:szCs w:val="20"/>
        </w:rPr>
        <w:t>2</w:t>
      </w:r>
      <w:r w:rsidR="0075678C" w:rsidRPr="00B170DF">
        <w:rPr>
          <w:rFonts w:hint="eastAsia"/>
          <w:szCs w:val="20"/>
        </w:rPr>
        <w:t>、创新药成为新质生产力发展的重要方向，持续受益于产业政策支持”。</w:t>
      </w:r>
      <w:r w:rsidRPr="00B170DF">
        <w:rPr>
          <w:rFonts w:hint="eastAsia"/>
          <w:szCs w:val="20"/>
        </w:rPr>
        <w:t>一系列支持政策的推出也为创新药行业的发展提供了明确、广阔的市场前景及更好的政策环境，有助于本次募集资金投资项目的顺利实施。</w:t>
      </w:r>
    </w:p>
    <w:p w14:paraId="6AE6B4AD" w14:textId="77777777" w:rsidR="003F0511" w:rsidRPr="00B170DF" w:rsidRDefault="003F0511" w:rsidP="003F0511">
      <w:pPr>
        <w:spacing w:before="163" w:after="163"/>
        <w:ind w:firstLine="482"/>
        <w:rPr>
          <w:b/>
          <w:szCs w:val="20"/>
          <w:shd w:val="clear" w:color="auto" w:fill="FFFFFF"/>
        </w:rPr>
      </w:pPr>
      <w:r w:rsidRPr="00B170DF">
        <w:rPr>
          <w:b/>
          <w:szCs w:val="20"/>
          <w:shd w:val="clear" w:color="auto" w:fill="FFFFFF"/>
        </w:rPr>
        <w:fldChar w:fldCharType="begin"/>
      </w:r>
      <w:r w:rsidRPr="00B170DF">
        <w:rPr>
          <w:b/>
          <w:szCs w:val="20"/>
          <w:shd w:val="clear" w:color="auto" w:fill="FFFFFF"/>
        </w:rPr>
        <w:instrText xml:space="preserve"> </w:instrText>
      </w:r>
      <w:r w:rsidRPr="00B170DF">
        <w:rPr>
          <w:rFonts w:hint="eastAsia"/>
          <w:b/>
          <w:szCs w:val="20"/>
          <w:shd w:val="clear" w:color="auto" w:fill="FFFFFF"/>
        </w:rPr>
        <w:instrText>= 2 \* GB3</w:instrText>
      </w:r>
      <w:r w:rsidRPr="00B170DF">
        <w:rPr>
          <w:b/>
          <w:szCs w:val="20"/>
          <w:shd w:val="clear" w:color="auto" w:fill="FFFFFF"/>
        </w:rPr>
        <w:instrText xml:space="preserve"> </w:instrText>
      </w:r>
      <w:r w:rsidRPr="00B170DF">
        <w:rPr>
          <w:b/>
          <w:szCs w:val="20"/>
          <w:shd w:val="clear" w:color="auto" w:fill="FFFFFF"/>
        </w:rPr>
        <w:fldChar w:fldCharType="separate"/>
      </w:r>
      <w:r w:rsidRPr="00B170DF">
        <w:rPr>
          <w:rFonts w:hint="eastAsia"/>
          <w:b/>
          <w:noProof/>
          <w:szCs w:val="20"/>
          <w:shd w:val="clear" w:color="auto" w:fill="FFFFFF"/>
        </w:rPr>
        <w:t>②</w:t>
      </w:r>
      <w:r w:rsidRPr="00B170DF">
        <w:rPr>
          <w:b/>
          <w:szCs w:val="20"/>
          <w:shd w:val="clear" w:color="auto" w:fill="FFFFFF"/>
        </w:rPr>
        <w:fldChar w:fldCharType="end"/>
      </w:r>
      <w:r w:rsidRPr="00B170DF">
        <w:rPr>
          <w:rFonts w:hint="eastAsia"/>
          <w:b/>
          <w:szCs w:val="20"/>
          <w:shd w:val="clear" w:color="auto" w:fill="FFFFFF"/>
        </w:rPr>
        <w:t>公司创新药研发技术路径可行，展现出积极良好的试验结果</w:t>
      </w:r>
    </w:p>
    <w:p w14:paraId="2FAE2E96" w14:textId="77777777" w:rsidR="00CD74AA" w:rsidRPr="00B170DF" w:rsidRDefault="00CD74AA" w:rsidP="00CD74AA">
      <w:pPr>
        <w:adjustRightInd w:val="0"/>
        <w:spacing w:before="163" w:after="163"/>
        <w:ind w:firstLine="480"/>
      </w:pPr>
      <w:r w:rsidRPr="00B170DF">
        <w:rPr>
          <w:rFonts w:hint="eastAsia"/>
        </w:rPr>
        <w:t>公司本次募集资金拟投向创新药临床试验及上市注册费用，包括创新药</w:t>
      </w:r>
      <w:r w:rsidRPr="00B170DF">
        <w:rPr>
          <w:rFonts w:hint="eastAsia"/>
        </w:rPr>
        <w:t>GST-HG141</w:t>
      </w:r>
      <w:r w:rsidRPr="00B170DF">
        <w:rPr>
          <w:rFonts w:hint="eastAsia"/>
        </w:rPr>
        <w:t>的</w:t>
      </w:r>
      <w:r w:rsidRPr="00B170DF">
        <w:rPr>
          <w:rFonts w:hint="eastAsia"/>
        </w:rPr>
        <w:t>III</w:t>
      </w:r>
      <w:r w:rsidRPr="00B170DF">
        <w:rPr>
          <w:rFonts w:hint="eastAsia"/>
        </w:rPr>
        <w:t>期临床研究及上市注册项目、</w:t>
      </w:r>
      <w:r w:rsidRPr="00B170DF">
        <w:rPr>
          <w:color w:val="000000"/>
        </w:rPr>
        <w:t>GST-</w:t>
      </w:r>
      <w:r w:rsidRPr="00B170DF">
        <w:rPr>
          <w:rFonts w:hint="eastAsia"/>
          <w:color w:val="000000"/>
        </w:rPr>
        <w:t>HG131</w:t>
      </w:r>
      <w:r w:rsidRPr="00B170DF">
        <w:rPr>
          <w:rFonts w:hint="eastAsia"/>
          <w:color w:val="000000"/>
        </w:rPr>
        <w:t>联合</w:t>
      </w:r>
      <w:r w:rsidRPr="00B170DF">
        <w:rPr>
          <w:rFonts w:hint="eastAsia"/>
          <w:color w:val="000000"/>
        </w:rPr>
        <w:t>GST-</w:t>
      </w:r>
      <w:r w:rsidRPr="00B170DF">
        <w:rPr>
          <w:color w:val="000000"/>
        </w:rPr>
        <w:t>HG141</w:t>
      </w:r>
      <w:r w:rsidRPr="00B170DF">
        <w:rPr>
          <w:rFonts w:hint="eastAsia"/>
          <w:color w:val="000000"/>
        </w:rPr>
        <w:t>的</w:t>
      </w:r>
      <w:r w:rsidRPr="00B170DF">
        <w:rPr>
          <w:rFonts w:hint="eastAsia"/>
        </w:rPr>
        <w:t>II</w:t>
      </w:r>
      <w:r w:rsidRPr="00B170DF">
        <w:rPr>
          <w:rFonts w:hint="eastAsia"/>
        </w:rPr>
        <w:t>期及</w:t>
      </w:r>
      <w:r w:rsidRPr="00B170DF">
        <w:rPr>
          <w:rFonts w:hint="eastAsia"/>
        </w:rPr>
        <w:t>III</w:t>
      </w:r>
      <w:r w:rsidRPr="00B170DF">
        <w:rPr>
          <w:rFonts w:hint="eastAsia"/>
        </w:rPr>
        <w:t>期临床研究及上市注册项目。</w:t>
      </w:r>
    </w:p>
    <w:p w14:paraId="483DECF6" w14:textId="77777777" w:rsidR="00CD74AA" w:rsidRPr="00B170DF" w:rsidRDefault="00CD74AA" w:rsidP="00CD74AA">
      <w:pPr>
        <w:adjustRightInd w:val="0"/>
        <w:spacing w:before="163" w:after="163"/>
        <w:ind w:firstLine="480"/>
      </w:pPr>
      <w:r w:rsidRPr="00B170DF">
        <w:rPr>
          <w:rFonts w:hint="eastAsia"/>
        </w:rPr>
        <w:t>完全治愈乙肝，也就是清除乙肝病毒，其评价指标包括表面抗原血清转阴性，</w:t>
      </w:r>
      <w:r w:rsidRPr="00B170DF">
        <w:rPr>
          <w:rFonts w:hint="eastAsia"/>
        </w:rPr>
        <w:t>ALT</w:t>
      </w:r>
      <w:r w:rsidRPr="00B170DF">
        <w:rPr>
          <w:rFonts w:hint="eastAsia"/>
        </w:rPr>
        <w:t>和天门冬氨酸氨基转移酶（</w:t>
      </w:r>
      <w:r w:rsidRPr="00B170DF">
        <w:rPr>
          <w:rFonts w:hint="eastAsia"/>
        </w:rPr>
        <w:t>AST</w:t>
      </w:r>
      <w:r w:rsidRPr="00B170DF">
        <w:rPr>
          <w:rFonts w:hint="eastAsia"/>
        </w:rPr>
        <w:t>）正常化，血清中不再残留</w:t>
      </w:r>
      <w:r w:rsidRPr="00B170DF">
        <w:rPr>
          <w:rFonts w:hint="eastAsia"/>
        </w:rPr>
        <w:t>HBV</w:t>
      </w:r>
      <w:r w:rsidRPr="00B170DF">
        <w:rPr>
          <w:rFonts w:hint="eastAsia"/>
        </w:rPr>
        <w:t>的</w:t>
      </w:r>
      <w:r w:rsidRPr="00B170DF">
        <w:rPr>
          <w:rFonts w:hint="eastAsia"/>
        </w:rPr>
        <w:t>DNA</w:t>
      </w:r>
      <w:r w:rsidRPr="00B170DF">
        <w:rPr>
          <w:rFonts w:hint="eastAsia"/>
        </w:rPr>
        <w:t>和</w:t>
      </w:r>
      <w:proofErr w:type="spellStart"/>
      <w:r w:rsidRPr="00B170DF">
        <w:rPr>
          <w:rFonts w:hint="eastAsia"/>
        </w:rPr>
        <w:t>cccDNA</w:t>
      </w:r>
      <w:proofErr w:type="spellEnd"/>
      <w:r w:rsidRPr="00B170DF">
        <w:rPr>
          <w:rFonts w:hint="eastAsia"/>
        </w:rPr>
        <w:t>。公司提出乙肝临床治愈“登峰计划”：通过表面抗原抑制剂</w:t>
      </w:r>
      <w:r w:rsidRPr="00B170DF">
        <w:rPr>
          <w:rFonts w:hint="eastAsia"/>
        </w:rPr>
        <w:t>GST-HG131</w:t>
      </w:r>
      <w:r w:rsidRPr="00B170DF">
        <w:rPr>
          <w:rFonts w:hint="eastAsia"/>
        </w:rPr>
        <w:t>、核心蛋白抑制剂</w:t>
      </w:r>
      <w:r w:rsidRPr="00B170DF">
        <w:rPr>
          <w:rFonts w:hint="eastAsia"/>
        </w:rPr>
        <w:t xml:space="preserve">GST-HG141 </w:t>
      </w:r>
      <w:r w:rsidRPr="00B170DF">
        <w:rPr>
          <w:rFonts w:hint="eastAsia"/>
        </w:rPr>
        <w:t>及现有核苷（酸）类抗乙肝病毒药物</w:t>
      </w:r>
      <w:r w:rsidRPr="00B170DF">
        <w:rPr>
          <w:rFonts w:hint="eastAsia"/>
        </w:rPr>
        <w:t>NAs</w:t>
      </w:r>
      <w:r w:rsidRPr="00B170DF">
        <w:rPr>
          <w:rFonts w:hint="eastAsia"/>
        </w:rPr>
        <w:t>多靶点联合用药，临床治愈乙肝。如</w:t>
      </w:r>
      <w:r w:rsidR="00D55893" w:rsidRPr="00B170DF">
        <w:rPr>
          <w:rFonts w:hint="eastAsia"/>
        </w:rPr>
        <w:t>下</w:t>
      </w:r>
      <w:r w:rsidRPr="00B170DF">
        <w:rPr>
          <w:rFonts w:hint="eastAsia"/>
        </w:rPr>
        <w:t>图所示：</w:t>
      </w:r>
    </w:p>
    <w:p w14:paraId="0AB86340" w14:textId="3F2CE1E7" w:rsidR="00CD74AA" w:rsidRPr="00B170DF" w:rsidRDefault="00D2766C" w:rsidP="00CD74AA">
      <w:pPr>
        <w:spacing w:before="163" w:after="163"/>
        <w:ind w:firstLine="480"/>
        <w:jc w:val="center"/>
      </w:pPr>
      <w:r w:rsidRPr="00B170DF">
        <w:rPr>
          <w:noProof/>
        </w:rPr>
        <w:lastRenderedPageBreak/>
        <w:drawing>
          <wp:inline distT="0" distB="0" distL="0" distR="0" wp14:anchorId="5A9878BC" wp14:editId="2FF14EDF">
            <wp:extent cx="4748530" cy="3101975"/>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8530" cy="3101975"/>
                    </a:xfrm>
                    <a:prstGeom prst="rect">
                      <a:avLst/>
                    </a:prstGeom>
                    <a:noFill/>
                    <a:ln>
                      <a:noFill/>
                    </a:ln>
                  </pic:spPr>
                </pic:pic>
              </a:graphicData>
            </a:graphic>
          </wp:inline>
        </w:drawing>
      </w:r>
    </w:p>
    <w:p w14:paraId="5EC44578" w14:textId="77777777" w:rsidR="00CD74AA" w:rsidRPr="00B170DF" w:rsidRDefault="00CD74AA" w:rsidP="00CD74AA">
      <w:pPr>
        <w:spacing w:before="163" w:after="163"/>
        <w:ind w:firstLine="480"/>
        <w:rPr>
          <w:szCs w:val="21"/>
        </w:rPr>
      </w:pPr>
      <w:r w:rsidRPr="00B170DF">
        <w:rPr>
          <w:rFonts w:hint="eastAsia"/>
          <w:szCs w:val="21"/>
        </w:rPr>
        <w:t>GST-HG141</w:t>
      </w:r>
      <w:proofErr w:type="gramStart"/>
      <w:r w:rsidRPr="00B170DF">
        <w:rPr>
          <w:rFonts w:hint="eastAsia"/>
          <w:szCs w:val="21"/>
        </w:rPr>
        <w:t>是核衣壳</w:t>
      </w:r>
      <w:proofErr w:type="gramEnd"/>
      <w:r w:rsidRPr="00B170DF">
        <w:rPr>
          <w:rFonts w:hint="eastAsia"/>
          <w:szCs w:val="21"/>
        </w:rPr>
        <w:t>抑制剂（或称为乙肝核心蛋白调制剂），是一种新型</w:t>
      </w:r>
      <w:r w:rsidRPr="00B170DF">
        <w:rPr>
          <w:rFonts w:hint="eastAsia"/>
          <w:szCs w:val="21"/>
        </w:rPr>
        <w:t xml:space="preserve">MOA II </w:t>
      </w:r>
      <w:proofErr w:type="spellStart"/>
      <w:r w:rsidRPr="00B170DF">
        <w:rPr>
          <w:rFonts w:hint="eastAsia"/>
          <w:szCs w:val="21"/>
        </w:rPr>
        <w:t>CpAMs</w:t>
      </w:r>
      <w:proofErr w:type="spellEnd"/>
      <w:r w:rsidRPr="00B170DF">
        <w:rPr>
          <w:rFonts w:hint="eastAsia"/>
          <w:szCs w:val="21"/>
        </w:rPr>
        <w:t>。通过与</w:t>
      </w:r>
      <w:r w:rsidRPr="00B170DF">
        <w:rPr>
          <w:rFonts w:hint="eastAsia"/>
          <w:szCs w:val="21"/>
        </w:rPr>
        <w:t>HBV</w:t>
      </w:r>
      <w:r w:rsidRPr="00B170DF">
        <w:rPr>
          <w:rFonts w:hint="eastAsia"/>
          <w:szCs w:val="21"/>
        </w:rPr>
        <w:t>核心蛋白二聚体单元的结合，</w:t>
      </w:r>
      <w:proofErr w:type="gramStart"/>
      <w:r w:rsidRPr="00B170DF">
        <w:rPr>
          <w:rFonts w:hint="eastAsia"/>
          <w:szCs w:val="21"/>
        </w:rPr>
        <w:t>起到核衣壳</w:t>
      </w:r>
      <w:proofErr w:type="gramEnd"/>
      <w:r w:rsidRPr="00B170DF">
        <w:rPr>
          <w:rFonts w:hint="eastAsia"/>
          <w:szCs w:val="21"/>
        </w:rPr>
        <w:t>变构调节作用，从而改变或异化病毒的衣壳组装行为，一方面阻止了</w:t>
      </w:r>
      <w:proofErr w:type="spellStart"/>
      <w:r w:rsidRPr="00B170DF">
        <w:rPr>
          <w:rFonts w:hint="eastAsia"/>
          <w:szCs w:val="21"/>
        </w:rPr>
        <w:t>pgRNA</w:t>
      </w:r>
      <w:proofErr w:type="spellEnd"/>
      <w:r w:rsidRPr="00B170DF">
        <w:rPr>
          <w:rFonts w:hint="eastAsia"/>
          <w:szCs w:val="21"/>
        </w:rPr>
        <w:t>的包装过程，形成大量空泡病毒及</w:t>
      </w:r>
      <w:proofErr w:type="gramStart"/>
      <w:r w:rsidRPr="00B170DF">
        <w:rPr>
          <w:rFonts w:hint="eastAsia"/>
          <w:szCs w:val="21"/>
        </w:rPr>
        <w:t>非成熟</w:t>
      </w:r>
      <w:proofErr w:type="gramEnd"/>
      <w:r w:rsidRPr="00B170DF">
        <w:rPr>
          <w:rFonts w:hint="eastAsia"/>
          <w:szCs w:val="21"/>
        </w:rPr>
        <w:t>的病毒样颗粒，使病毒失去毒力，该过程还影响到</w:t>
      </w:r>
      <w:r w:rsidRPr="00B170DF">
        <w:rPr>
          <w:rFonts w:hint="eastAsia"/>
          <w:szCs w:val="21"/>
        </w:rPr>
        <w:t>HBV</w:t>
      </w:r>
      <w:r w:rsidRPr="00B170DF">
        <w:rPr>
          <w:rFonts w:hint="eastAsia"/>
          <w:szCs w:val="21"/>
        </w:rPr>
        <w:t>的逆转录过程，因此起到显著的直接抗病毒作用；另一方面</w:t>
      </w:r>
      <w:r w:rsidRPr="00B170DF">
        <w:rPr>
          <w:rFonts w:hint="eastAsia"/>
          <w:szCs w:val="21"/>
        </w:rPr>
        <w:t>GST-HG141</w:t>
      </w:r>
      <w:r w:rsidRPr="00B170DF">
        <w:rPr>
          <w:rFonts w:hint="eastAsia"/>
          <w:szCs w:val="21"/>
        </w:rPr>
        <w:t>加强了核心蛋白二聚体间的结合力和病毒衣壳的结构强度，干扰了病毒在肝细胞核上的脱壳过程，阻止了病毒核酸向核内释放形成</w:t>
      </w:r>
      <w:proofErr w:type="spellStart"/>
      <w:r w:rsidRPr="00B170DF">
        <w:rPr>
          <w:rFonts w:hint="eastAsia"/>
          <w:szCs w:val="21"/>
        </w:rPr>
        <w:t>cccDNA</w:t>
      </w:r>
      <w:proofErr w:type="spellEnd"/>
      <w:r w:rsidRPr="00B170DF">
        <w:rPr>
          <w:rFonts w:hint="eastAsia"/>
          <w:szCs w:val="21"/>
        </w:rPr>
        <w:t>的过程，从而起到削减</w:t>
      </w:r>
      <w:proofErr w:type="spellStart"/>
      <w:r w:rsidRPr="00B170DF">
        <w:rPr>
          <w:rFonts w:hint="eastAsia"/>
          <w:szCs w:val="21"/>
        </w:rPr>
        <w:t>cccDNA</w:t>
      </w:r>
      <w:proofErr w:type="spellEnd"/>
      <w:r w:rsidRPr="00B170DF">
        <w:rPr>
          <w:rFonts w:hint="eastAsia"/>
          <w:szCs w:val="21"/>
        </w:rPr>
        <w:t>病毒池的作用。同时，体外研究还表明该化合物对各种基因型的乙肝病毒和已对核苷（酸）类药物产生耐药的病毒株均表现出了良好的抑制作用。根据临床试验数据显示，</w:t>
      </w:r>
      <w:r w:rsidRPr="00B170DF">
        <w:rPr>
          <w:rFonts w:hint="eastAsia"/>
          <w:szCs w:val="21"/>
        </w:rPr>
        <w:t>GST-HG141</w:t>
      </w:r>
      <w:r w:rsidRPr="00B170DF">
        <w:rPr>
          <w:rFonts w:hint="eastAsia"/>
          <w:szCs w:val="21"/>
        </w:rPr>
        <w:t>对于中国慢性乙肝患者具有良好的安全性和药效学、药代动力学特性。</w:t>
      </w:r>
      <w:r w:rsidRPr="00B170DF">
        <w:rPr>
          <w:rFonts w:hint="eastAsia"/>
          <w:szCs w:val="21"/>
        </w:rPr>
        <w:t>GST-HG141</w:t>
      </w:r>
      <w:r w:rsidRPr="00B170DF">
        <w:rPr>
          <w:rFonts w:hint="eastAsia"/>
          <w:szCs w:val="21"/>
        </w:rPr>
        <w:t>已完成</w:t>
      </w:r>
      <w:r w:rsidRPr="00B170DF">
        <w:rPr>
          <w:rFonts w:hint="eastAsia"/>
          <w:szCs w:val="21"/>
        </w:rPr>
        <w:t>II</w:t>
      </w:r>
      <w:r w:rsidRPr="00B170DF">
        <w:rPr>
          <w:rFonts w:hint="eastAsia"/>
          <w:szCs w:val="21"/>
        </w:rPr>
        <w:t>期临床试验，根据《</w:t>
      </w:r>
      <w:r w:rsidRPr="00B170DF">
        <w:rPr>
          <w:rFonts w:hint="eastAsia"/>
          <w:szCs w:val="21"/>
        </w:rPr>
        <w:t>GST-HG141 II</w:t>
      </w:r>
      <w:r w:rsidRPr="00B170DF">
        <w:rPr>
          <w:rFonts w:hint="eastAsia"/>
          <w:szCs w:val="21"/>
        </w:rPr>
        <w:t>期临床研究报告》，</w:t>
      </w:r>
      <w:r w:rsidRPr="00B170DF">
        <w:rPr>
          <w:rFonts w:hint="eastAsia"/>
          <w:szCs w:val="21"/>
        </w:rPr>
        <w:t>GST-HG141</w:t>
      </w:r>
      <w:r w:rsidRPr="00B170DF">
        <w:rPr>
          <w:rFonts w:hint="eastAsia"/>
          <w:szCs w:val="21"/>
        </w:rPr>
        <w:t>低剂量组及高剂量组均具有良好的</w:t>
      </w:r>
      <w:r w:rsidRPr="00B170DF">
        <w:rPr>
          <w:rFonts w:hint="eastAsia"/>
          <w:szCs w:val="21"/>
        </w:rPr>
        <w:t>HBV DNA</w:t>
      </w:r>
      <w:r w:rsidRPr="00B170DF">
        <w:rPr>
          <w:rFonts w:hint="eastAsia"/>
          <w:szCs w:val="21"/>
        </w:rPr>
        <w:t>和</w:t>
      </w:r>
      <w:proofErr w:type="spellStart"/>
      <w:r w:rsidRPr="00B170DF">
        <w:rPr>
          <w:rFonts w:hint="eastAsia"/>
          <w:szCs w:val="21"/>
        </w:rPr>
        <w:t>pgRNA</w:t>
      </w:r>
      <w:proofErr w:type="spellEnd"/>
      <w:r w:rsidRPr="00B170DF">
        <w:rPr>
          <w:rFonts w:hint="eastAsia"/>
          <w:szCs w:val="21"/>
        </w:rPr>
        <w:t>抑制作用，用药安全性良好，研究结果支持</w:t>
      </w:r>
      <w:r w:rsidRPr="00B170DF">
        <w:rPr>
          <w:rFonts w:hint="eastAsia"/>
          <w:szCs w:val="21"/>
        </w:rPr>
        <w:t xml:space="preserve">GST-HG141 </w:t>
      </w:r>
      <w:r w:rsidRPr="00B170DF">
        <w:rPr>
          <w:rFonts w:hint="eastAsia"/>
          <w:szCs w:val="21"/>
        </w:rPr>
        <w:t>开展</w:t>
      </w:r>
      <w:r w:rsidRPr="00B170DF">
        <w:rPr>
          <w:rFonts w:hint="eastAsia"/>
          <w:szCs w:val="21"/>
        </w:rPr>
        <w:t>III</w:t>
      </w:r>
      <w:proofErr w:type="gramStart"/>
      <w:r w:rsidRPr="00B170DF">
        <w:rPr>
          <w:rFonts w:hint="eastAsia"/>
          <w:szCs w:val="21"/>
        </w:rPr>
        <w:t>期注册性</w:t>
      </w:r>
      <w:proofErr w:type="gramEnd"/>
      <w:r w:rsidRPr="00B170DF">
        <w:rPr>
          <w:rFonts w:hint="eastAsia"/>
          <w:szCs w:val="21"/>
        </w:rPr>
        <w:t>临床研究。</w:t>
      </w:r>
    </w:p>
    <w:p w14:paraId="2AAA07C7" w14:textId="2120A8BB" w:rsidR="00CD74AA" w:rsidRPr="00B170DF" w:rsidRDefault="00CD74AA" w:rsidP="00CD74AA">
      <w:pPr>
        <w:spacing w:before="163" w:after="163"/>
        <w:ind w:firstLine="480"/>
        <w:rPr>
          <w:szCs w:val="21"/>
        </w:rPr>
      </w:pPr>
      <w:r w:rsidRPr="00B170DF">
        <w:rPr>
          <w:rFonts w:hint="eastAsia"/>
          <w:szCs w:val="21"/>
        </w:rPr>
        <w:t>GST-HG131</w:t>
      </w:r>
      <w:r w:rsidRPr="00B170DF">
        <w:rPr>
          <w:rFonts w:hint="eastAsia"/>
          <w:szCs w:val="21"/>
        </w:rPr>
        <w:t>片一种小分子</w:t>
      </w:r>
      <w:r w:rsidRPr="00B170DF">
        <w:rPr>
          <w:rFonts w:hint="eastAsia"/>
          <w:szCs w:val="21"/>
        </w:rPr>
        <w:t>HBsAg</w:t>
      </w:r>
      <w:r w:rsidRPr="00B170DF">
        <w:rPr>
          <w:rFonts w:hint="eastAsia"/>
          <w:szCs w:val="21"/>
        </w:rPr>
        <w:t>抑制剂，临床前研究和已完成的临床研究表明，</w:t>
      </w:r>
      <w:r w:rsidRPr="00B170DF">
        <w:rPr>
          <w:rFonts w:hint="eastAsia"/>
          <w:szCs w:val="21"/>
        </w:rPr>
        <w:t>GST-HG131</w:t>
      </w:r>
      <w:r w:rsidRPr="00B170DF">
        <w:rPr>
          <w:rFonts w:hint="eastAsia"/>
          <w:szCs w:val="21"/>
        </w:rPr>
        <w:t>能够强烈抑制乙肝</w:t>
      </w:r>
      <w:r w:rsidRPr="00B170DF">
        <w:rPr>
          <w:rFonts w:hint="eastAsia"/>
          <w:szCs w:val="21"/>
        </w:rPr>
        <w:t>HBsAg</w:t>
      </w:r>
      <w:r w:rsidRPr="00B170DF">
        <w:rPr>
          <w:rFonts w:hint="eastAsia"/>
          <w:szCs w:val="21"/>
        </w:rPr>
        <w:t>的分泌，从而发挥抗病毒作用。其通过抑制</w:t>
      </w:r>
      <w:r w:rsidRPr="00B170DF">
        <w:rPr>
          <w:rFonts w:hint="eastAsia"/>
          <w:szCs w:val="21"/>
        </w:rPr>
        <w:t>PAPD5/7</w:t>
      </w:r>
      <w:r w:rsidRPr="00B170DF">
        <w:rPr>
          <w:rFonts w:hint="eastAsia"/>
          <w:szCs w:val="21"/>
        </w:rPr>
        <w:t>酶活性，阻止了</w:t>
      </w:r>
      <w:r w:rsidRPr="00B170DF">
        <w:rPr>
          <w:rFonts w:hint="eastAsia"/>
          <w:szCs w:val="21"/>
        </w:rPr>
        <w:t>HBV</w:t>
      </w:r>
      <w:r w:rsidRPr="00B170DF">
        <w:rPr>
          <w:rFonts w:hint="eastAsia"/>
          <w:szCs w:val="21"/>
        </w:rPr>
        <w:t>通过劫持宿主</w:t>
      </w:r>
      <w:r w:rsidRPr="00B170DF">
        <w:rPr>
          <w:rFonts w:hint="eastAsia"/>
          <w:szCs w:val="21"/>
        </w:rPr>
        <w:t>PAPD5/7</w:t>
      </w:r>
      <w:r w:rsidRPr="00B170DF">
        <w:rPr>
          <w:rFonts w:hint="eastAsia"/>
          <w:szCs w:val="21"/>
        </w:rPr>
        <w:t>酶进行自身</w:t>
      </w:r>
      <w:r w:rsidRPr="00B170DF">
        <w:rPr>
          <w:rFonts w:hint="eastAsia"/>
          <w:szCs w:val="21"/>
        </w:rPr>
        <w:lastRenderedPageBreak/>
        <w:t>mRNA poly(A)</w:t>
      </w:r>
      <w:r w:rsidRPr="00B170DF">
        <w:rPr>
          <w:rFonts w:hint="eastAsia"/>
          <w:szCs w:val="21"/>
        </w:rPr>
        <w:t>加尾的过程，从而使病毒</w:t>
      </w:r>
      <w:r w:rsidRPr="00B170DF">
        <w:rPr>
          <w:rFonts w:hint="eastAsia"/>
          <w:szCs w:val="21"/>
        </w:rPr>
        <w:t>mRNA</w:t>
      </w:r>
      <w:r w:rsidRPr="00B170DF">
        <w:rPr>
          <w:rFonts w:hint="eastAsia"/>
          <w:szCs w:val="21"/>
        </w:rPr>
        <w:t>去稳定化而降解，尤以</w:t>
      </w:r>
      <w:r w:rsidRPr="00B170DF">
        <w:rPr>
          <w:rFonts w:hint="eastAsia"/>
          <w:szCs w:val="21"/>
        </w:rPr>
        <w:t>HBsAg</w:t>
      </w:r>
      <w:r w:rsidRPr="00B170DF">
        <w:rPr>
          <w:rFonts w:hint="eastAsia"/>
          <w:szCs w:val="21"/>
        </w:rPr>
        <w:t>影响最大，导致</w:t>
      </w:r>
      <w:r w:rsidRPr="00B170DF">
        <w:rPr>
          <w:rFonts w:hint="eastAsia"/>
          <w:szCs w:val="21"/>
        </w:rPr>
        <w:t>HBsAg</w:t>
      </w:r>
      <w:r w:rsidRPr="00B170DF">
        <w:rPr>
          <w:rFonts w:hint="eastAsia"/>
          <w:szCs w:val="21"/>
        </w:rPr>
        <w:t>显著而快速的下降，进而解除由</w:t>
      </w:r>
      <w:r w:rsidRPr="00B170DF">
        <w:rPr>
          <w:rFonts w:hint="eastAsia"/>
          <w:szCs w:val="21"/>
        </w:rPr>
        <w:t>HBsAg</w:t>
      </w:r>
      <w:r w:rsidRPr="00B170DF">
        <w:rPr>
          <w:rFonts w:hint="eastAsia"/>
          <w:szCs w:val="21"/>
        </w:rPr>
        <w:t>引发的免疫耗竭状态，实现宿主对</w:t>
      </w:r>
      <w:r w:rsidRPr="00B170DF">
        <w:rPr>
          <w:rFonts w:hint="eastAsia"/>
          <w:szCs w:val="21"/>
        </w:rPr>
        <w:t>HBV</w:t>
      </w:r>
      <w:r w:rsidRPr="00B170DF">
        <w:rPr>
          <w:rFonts w:hint="eastAsia"/>
          <w:szCs w:val="21"/>
        </w:rPr>
        <w:t>特异性免疫监视的恢复。</w:t>
      </w:r>
      <w:r w:rsidRPr="00B170DF">
        <w:rPr>
          <w:rFonts w:hint="eastAsia"/>
          <w:szCs w:val="21"/>
        </w:rPr>
        <w:t>GST-HG131</w:t>
      </w:r>
      <w:r w:rsidRPr="00B170DF">
        <w:rPr>
          <w:rFonts w:hint="eastAsia"/>
          <w:szCs w:val="21"/>
        </w:rPr>
        <w:t>已完成</w:t>
      </w:r>
      <w:proofErr w:type="spellStart"/>
      <w:r w:rsidRPr="00B170DF">
        <w:rPr>
          <w:rFonts w:hint="eastAsia"/>
          <w:szCs w:val="21"/>
        </w:rPr>
        <w:t>IIa</w:t>
      </w:r>
      <w:proofErr w:type="spellEnd"/>
      <w:r w:rsidRPr="00B170DF">
        <w:rPr>
          <w:rFonts w:hint="eastAsia"/>
          <w:szCs w:val="21"/>
        </w:rPr>
        <w:t>期临床试验研究阶段性结果，并完成</w:t>
      </w:r>
      <w:r w:rsidRPr="00B170DF">
        <w:rPr>
          <w:rFonts w:hint="eastAsia"/>
          <w:szCs w:val="21"/>
        </w:rPr>
        <w:t>II</w:t>
      </w:r>
      <w:r w:rsidRPr="00B170DF">
        <w:rPr>
          <w:rFonts w:hint="eastAsia"/>
          <w:szCs w:val="21"/>
        </w:rPr>
        <w:t>期临床全部病例入组。根据</w:t>
      </w:r>
      <w:r w:rsidRPr="00B170DF">
        <w:rPr>
          <w:rFonts w:hint="eastAsia"/>
          <w:szCs w:val="21"/>
        </w:rPr>
        <w:t xml:space="preserve">GST-HG131 </w:t>
      </w:r>
      <w:proofErr w:type="spellStart"/>
      <w:r w:rsidRPr="00B170DF">
        <w:rPr>
          <w:rFonts w:hint="eastAsia"/>
          <w:szCs w:val="21"/>
        </w:rPr>
        <w:t>IIa</w:t>
      </w:r>
      <w:proofErr w:type="spellEnd"/>
      <w:r w:rsidRPr="00B170DF">
        <w:rPr>
          <w:rFonts w:hint="eastAsia"/>
          <w:szCs w:val="21"/>
        </w:rPr>
        <w:t>期阶段性研究报告，</w:t>
      </w:r>
      <w:r w:rsidRPr="00B170DF">
        <w:rPr>
          <w:rFonts w:hint="eastAsia"/>
          <w:szCs w:val="21"/>
        </w:rPr>
        <w:t>GST-HG131</w:t>
      </w:r>
      <w:r w:rsidRPr="00B170DF">
        <w:rPr>
          <w:rFonts w:hint="eastAsia"/>
          <w:szCs w:val="21"/>
        </w:rPr>
        <w:t>在第一组</w:t>
      </w:r>
      <w:r w:rsidRPr="00B170DF">
        <w:rPr>
          <w:rFonts w:hint="eastAsia"/>
          <w:szCs w:val="21"/>
        </w:rPr>
        <w:t>28</w:t>
      </w:r>
      <w:r w:rsidRPr="00B170DF">
        <w:rPr>
          <w:rFonts w:hint="eastAsia"/>
          <w:szCs w:val="21"/>
        </w:rPr>
        <w:t>天研究中显著降低慢性乙型肝炎患者血清表面抗原（</w:t>
      </w:r>
      <w:r w:rsidRPr="00B170DF">
        <w:rPr>
          <w:rFonts w:hint="eastAsia"/>
          <w:szCs w:val="21"/>
        </w:rPr>
        <w:t>HBsAg</w:t>
      </w:r>
      <w:r w:rsidRPr="00B170DF">
        <w:rPr>
          <w:rFonts w:hint="eastAsia"/>
          <w:szCs w:val="21"/>
        </w:rPr>
        <w:t>）水平，最大</w:t>
      </w:r>
      <w:proofErr w:type="gramStart"/>
      <w:r w:rsidRPr="00B170DF">
        <w:rPr>
          <w:rFonts w:hint="eastAsia"/>
          <w:szCs w:val="21"/>
        </w:rPr>
        <w:t>下降值</w:t>
      </w:r>
      <w:proofErr w:type="gramEnd"/>
      <w:r w:rsidRPr="00B170DF">
        <w:rPr>
          <w:rFonts w:hint="eastAsia"/>
          <w:szCs w:val="21"/>
        </w:rPr>
        <w:t>达到</w:t>
      </w:r>
      <w:r w:rsidR="009D4071" w:rsidRPr="00B170DF">
        <w:rPr>
          <w:rFonts w:hint="eastAsia"/>
          <w:szCs w:val="21"/>
        </w:rPr>
        <w:t>1.07</w:t>
      </w:r>
      <w:r w:rsidR="00A66636">
        <w:rPr>
          <w:rFonts w:hint="eastAsia"/>
          <w:szCs w:val="21"/>
        </w:rPr>
        <w:t xml:space="preserve"> </w:t>
      </w:r>
      <w:r w:rsidR="009D4071" w:rsidRPr="00B170DF">
        <w:rPr>
          <w:rFonts w:hint="eastAsia"/>
          <w:szCs w:val="21"/>
        </w:rPr>
        <w:t>log</w:t>
      </w:r>
      <w:r w:rsidR="009D4071" w:rsidRPr="00B170DF">
        <w:rPr>
          <w:rFonts w:hint="eastAsia"/>
          <w:szCs w:val="21"/>
          <w:vertAlign w:val="subscript"/>
        </w:rPr>
        <w:t>10</w:t>
      </w:r>
      <w:r w:rsidR="00A66636">
        <w:rPr>
          <w:rFonts w:hint="eastAsia"/>
          <w:szCs w:val="21"/>
          <w:vertAlign w:val="subscript"/>
        </w:rPr>
        <w:t xml:space="preserve"> </w:t>
      </w:r>
      <w:r w:rsidR="009D4071" w:rsidRPr="00B170DF">
        <w:rPr>
          <w:rFonts w:hint="eastAsia"/>
          <w:szCs w:val="21"/>
        </w:rPr>
        <w:t>IU/ml</w:t>
      </w:r>
      <w:r w:rsidRPr="00B170DF">
        <w:rPr>
          <w:rFonts w:hint="eastAsia"/>
          <w:szCs w:val="21"/>
        </w:rPr>
        <w:t>，同时安全性和耐受性良好，药效学结果以最终完成全部三组研究的临床总结报告为准。</w:t>
      </w:r>
    </w:p>
    <w:p w14:paraId="57F92872" w14:textId="6012E2FB" w:rsidR="00CD74AA" w:rsidRPr="00B170DF" w:rsidRDefault="00CD74AA" w:rsidP="00CD74AA">
      <w:pPr>
        <w:spacing w:before="163" w:after="163"/>
        <w:ind w:firstLine="480"/>
        <w:rPr>
          <w:szCs w:val="21"/>
        </w:rPr>
      </w:pPr>
      <w:r w:rsidRPr="00B170DF">
        <w:rPr>
          <w:rFonts w:hint="eastAsia"/>
          <w:szCs w:val="21"/>
        </w:rPr>
        <w:t>基于</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在抗病毒机制上存在重要针对性和协同互补作用，且作为逆转录酶抑制剂</w:t>
      </w:r>
      <w:r w:rsidRPr="00B170DF">
        <w:rPr>
          <w:rFonts w:hint="eastAsia"/>
          <w:szCs w:val="21"/>
        </w:rPr>
        <w:t>NAs</w:t>
      </w:r>
      <w:r w:rsidRPr="00B170DF">
        <w:rPr>
          <w:rFonts w:hint="eastAsia"/>
          <w:szCs w:val="21"/>
        </w:rPr>
        <w:t>可强效抑制</w:t>
      </w:r>
      <w:r w:rsidRPr="00B170DF">
        <w:rPr>
          <w:rFonts w:hint="eastAsia"/>
          <w:szCs w:val="21"/>
        </w:rPr>
        <w:t>HBV</w:t>
      </w:r>
      <w:r w:rsidRPr="00B170DF">
        <w:rPr>
          <w:rFonts w:hint="eastAsia"/>
          <w:szCs w:val="21"/>
        </w:rPr>
        <w:t>逆转录复制，故而</w:t>
      </w:r>
      <w:r w:rsidR="00DC5DD4" w:rsidRPr="00B170DF">
        <w:rPr>
          <w:rFonts w:hint="eastAsia"/>
          <w:szCs w:val="21"/>
        </w:rPr>
        <w:t>研究</w:t>
      </w:r>
      <w:r w:rsidRPr="00B170DF">
        <w:rPr>
          <w:rFonts w:hint="eastAsia"/>
          <w:szCs w:val="21"/>
        </w:rPr>
        <w:t>基于核苷（酸）类似物</w:t>
      </w:r>
      <w:r w:rsidRPr="00B170DF">
        <w:rPr>
          <w:rFonts w:hint="eastAsia"/>
          <w:szCs w:val="21"/>
        </w:rPr>
        <w:t>NAs</w:t>
      </w:r>
      <w:r w:rsidRPr="00B170DF">
        <w:rPr>
          <w:rFonts w:hint="eastAsia"/>
          <w:szCs w:val="21"/>
        </w:rPr>
        <w:t>基础治疗上</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的联用，有望针对</w:t>
      </w:r>
      <w:r w:rsidRPr="00B170DF">
        <w:rPr>
          <w:rFonts w:hint="eastAsia"/>
          <w:szCs w:val="21"/>
        </w:rPr>
        <w:t>HBsAg</w:t>
      </w:r>
      <w:r w:rsidRPr="00B170DF">
        <w:rPr>
          <w:rFonts w:hint="eastAsia"/>
          <w:szCs w:val="21"/>
        </w:rPr>
        <w:t>、</w:t>
      </w:r>
      <w:r w:rsidRPr="00B170DF">
        <w:rPr>
          <w:rFonts w:hint="eastAsia"/>
          <w:szCs w:val="21"/>
        </w:rPr>
        <w:t>HBV DNA</w:t>
      </w:r>
      <w:r w:rsidRPr="00B170DF">
        <w:rPr>
          <w:rFonts w:hint="eastAsia"/>
          <w:szCs w:val="21"/>
        </w:rPr>
        <w:t>、</w:t>
      </w:r>
      <w:proofErr w:type="spellStart"/>
      <w:r w:rsidRPr="00B170DF">
        <w:rPr>
          <w:rFonts w:hint="eastAsia"/>
          <w:szCs w:val="21"/>
        </w:rPr>
        <w:t>pgRNA</w:t>
      </w:r>
      <w:proofErr w:type="spellEnd"/>
      <w:r w:rsidRPr="00B170DF">
        <w:rPr>
          <w:rFonts w:hint="eastAsia"/>
          <w:szCs w:val="21"/>
        </w:rPr>
        <w:t>、</w:t>
      </w:r>
      <w:proofErr w:type="spellStart"/>
      <w:r w:rsidRPr="00B170DF">
        <w:rPr>
          <w:rFonts w:hint="eastAsia"/>
          <w:szCs w:val="21"/>
        </w:rPr>
        <w:t>cccDNA</w:t>
      </w:r>
      <w:proofErr w:type="spellEnd"/>
      <w:r w:rsidRPr="00B170DF">
        <w:rPr>
          <w:rFonts w:hint="eastAsia"/>
          <w:szCs w:val="21"/>
        </w:rPr>
        <w:t>的清除及逆转录抑制等多方面发挥协同作用，从而实现公司乙肝登峰计划。</w:t>
      </w:r>
      <w:r w:rsidRPr="00B170DF">
        <w:rPr>
          <w:rFonts w:hint="eastAsia"/>
          <w:szCs w:val="21"/>
        </w:rPr>
        <w:t>GST-HG131</w:t>
      </w:r>
      <w:r w:rsidRPr="00B170DF">
        <w:rPr>
          <w:rFonts w:hint="eastAsia"/>
          <w:szCs w:val="21"/>
        </w:rPr>
        <w:t>片和</w:t>
      </w:r>
      <w:r w:rsidRPr="00B170DF">
        <w:rPr>
          <w:rFonts w:hint="eastAsia"/>
          <w:szCs w:val="21"/>
        </w:rPr>
        <w:t>GST-HG141</w:t>
      </w:r>
      <w:r w:rsidRPr="00B170DF">
        <w:rPr>
          <w:rFonts w:hint="eastAsia"/>
          <w:szCs w:val="21"/>
        </w:rPr>
        <w:t>片在前期单药临床研究中，各自展示了良好的安全性和显著的有效性。</w:t>
      </w:r>
      <w:r w:rsidRPr="00B170DF">
        <w:rPr>
          <w:rFonts w:hint="eastAsia"/>
          <w:szCs w:val="21"/>
        </w:rPr>
        <w:t>GST-HG131</w:t>
      </w:r>
      <w:r w:rsidRPr="00B170DF">
        <w:rPr>
          <w:rFonts w:hint="eastAsia"/>
          <w:szCs w:val="21"/>
        </w:rPr>
        <w:t>、</w:t>
      </w:r>
      <w:r w:rsidRPr="00B170DF">
        <w:rPr>
          <w:rFonts w:hint="eastAsia"/>
          <w:szCs w:val="21"/>
        </w:rPr>
        <w:t>GST-HG141</w:t>
      </w:r>
      <w:r w:rsidRPr="00B170DF">
        <w:rPr>
          <w:rFonts w:hint="eastAsia"/>
          <w:szCs w:val="21"/>
        </w:rPr>
        <w:t>组合毒理试验</w:t>
      </w:r>
      <w:r w:rsidR="002B2BB8">
        <w:rPr>
          <w:rFonts w:hint="eastAsia"/>
          <w:szCs w:val="21"/>
        </w:rPr>
        <w:t>显示</w:t>
      </w:r>
      <w:r w:rsidRPr="00B170DF">
        <w:rPr>
          <w:rFonts w:hint="eastAsia"/>
          <w:szCs w:val="21"/>
        </w:rPr>
        <w:t>二者联用不增加不良反应种类，也不会增加不良反应的程度。同时，在</w:t>
      </w:r>
      <w:r w:rsidRPr="00B170DF">
        <w:rPr>
          <w:rFonts w:hint="eastAsia"/>
          <w:szCs w:val="21"/>
        </w:rPr>
        <w:t>CHB</w:t>
      </w:r>
      <w:r w:rsidRPr="00B170DF">
        <w:rPr>
          <w:rFonts w:hint="eastAsia"/>
          <w:szCs w:val="21"/>
        </w:rPr>
        <w:t>患者临床研究中</w:t>
      </w:r>
      <w:r w:rsidRPr="00B170DF">
        <w:rPr>
          <w:rFonts w:hint="eastAsia"/>
          <w:szCs w:val="21"/>
        </w:rPr>
        <w:t>GST-HG131</w:t>
      </w:r>
      <w:r w:rsidRPr="00B170DF">
        <w:rPr>
          <w:rFonts w:hint="eastAsia"/>
          <w:szCs w:val="21"/>
        </w:rPr>
        <w:t>对</w:t>
      </w:r>
      <w:r w:rsidRPr="00B170DF">
        <w:rPr>
          <w:rFonts w:hint="eastAsia"/>
          <w:szCs w:val="21"/>
        </w:rPr>
        <w:t>HBsAg</w:t>
      </w:r>
      <w:r w:rsidRPr="00B170DF">
        <w:rPr>
          <w:rFonts w:hint="eastAsia"/>
          <w:szCs w:val="21"/>
        </w:rPr>
        <w:t>有显著抑制作用，</w:t>
      </w:r>
      <w:r w:rsidRPr="00B170DF">
        <w:rPr>
          <w:rFonts w:hint="eastAsia"/>
          <w:szCs w:val="21"/>
        </w:rPr>
        <w:t>GST-HG141</w:t>
      </w:r>
      <w:r w:rsidRPr="00B170DF">
        <w:rPr>
          <w:rFonts w:hint="eastAsia"/>
          <w:szCs w:val="21"/>
        </w:rPr>
        <w:t>对</w:t>
      </w:r>
      <w:r w:rsidRPr="00B170DF">
        <w:rPr>
          <w:rFonts w:hint="eastAsia"/>
          <w:szCs w:val="21"/>
        </w:rPr>
        <w:t>HBV DNA</w:t>
      </w:r>
      <w:r w:rsidRPr="00B170DF">
        <w:rPr>
          <w:rFonts w:hint="eastAsia"/>
          <w:szCs w:val="21"/>
        </w:rPr>
        <w:t>和</w:t>
      </w:r>
      <w:proofErr w:type="spellStart"/>
      <w:r w:rsidRPr="00B170DF">
        <w:rPr>
          <w:rFonts w:hint="eastAsia"/>
          <w:szCs w:val="21"/>
        </w:rPr>
        <w:t>pgRNA</w:t>
      </w:r>
      <w:proofErr w:type="spellEnd"/>
      <w:r w:rsidRPr="00B170DF">
        <w:rPr>
          <w:rFonts w:hint="eastAsia"/>
          <w:szCs w:val="21"/>
        </w:rPr>
        <w:t>具有显著抑制作用，这是临床治愈的两个关键，因此预期二者联合安全且有效，且机制上可产生协同增效。</w:t>
      </w:r>
      <w:r w:rsidRPr="00B170DF">
        <w:rPr>
          <w:rFonts w:hint="eastAsia"/>
          <w:szCs w:val="21"/>
        </w:rPr>
        <w:t>GST-HG131</w:t>
      </w:r>
      <w:r w:rsidRPr="00B170DF">
        <w:rPr>
          <w:rFonts w:hint="eastAsia"/>
          <w:szCs w:val="21"/>
        </w:rPr>
        <w:t>和</w:t>
      </w:r>
      <w:r w:rsidRPr="00B170DF">
        <w:rPr>
          <w:rFonts w:hint="eastAsia"/>
          <w:szCs w:val="21"/>
        </w:rPr>
        <w:t>GST-HG141</w:t>
      </w:r>
      <w:r w:rsidRPr="00B170DF">
        <w:rPr>
          <w:rFonts w:hint="eastAsia"/>
          <w:szCs w:val="21"/>
        </w:rPr>
        <w:t>口服给药更具便利性，有利于提高患者治疗的依从性，更易于与口服核苷（酸）类药物联用和长期给药，有望提高慢乙肝临床治愈比例，为慢性乙肝临床治愈这一未被满足的巨大临床需求提供更好的治疗方案。</w:t>
      </w:r>
    </w:p>
    <w:p w14:paraId="0C917E60" w14:textId="77777777" w:rsidR="003F0511" w:rsidRPr="00B170DF" w:rsidRDefault="00CD74AA" w:rsidP="00CD74AA">
      <w:pPr>
        <w:adjustRightInd w:val="0"/>
        <w:spacing w:before="163" w:afterLines="0" w:after="160"/>
        <w:ind w:firstLine="480"/>
        <w:rPr>
          <w:szCs w:val="20"/>
        </w:rPr>
      </w:pPr>
      <w:r w:rsidRPr="00B170DF">
        <w:rPr>
          <w:rFonts w:hint="eastAsia"/>
          <w:szCs w:val="21"/>
        </w:rPr>
        <w:t>因此，公司本次创新药研发项目在技术上路径可行，且部分药物已取得了积极良好的试验结果。</w:t>
      </w:r>
    </w:p>
    <w:bookmarkEnd w:id="50"/>
    <w:p w14:paraId="44A9DE00" w14:textId="77777777" w:rsidR="003F0511" w:rsidRPr="00B170DF" w:rsidRDefault="003F0511" w:rsidP="003F0511">
      <w:pPr>
        <w:spacing w:before="163" w:after="163"/>
        <w:ind w:firstLine="482"/>
        <w:rPr>
          <w:b/>
          <w:szCs w:val="20"/>
          <w:shd w:val="clear" w:color="auto" w:fill="FFFFFF"/>
        </w:rPr>
      </w:pPr>
      <w:r w:rsidRPr="00B170DF">
        <w:rPr>
          <w:b/>
          <w:szCs w:val="20"/>
          <w:shd w:val="clear" w:color="auto" w:fill="FFFFFF"/>
        </w:rPr>
        <w:fldChar w:fldCharType="begin"/>
      </w:r>
      <w:r w:rsidRPr="00B170DF">
        <w:rPr>
          <w:b/>
          <w:szCs w:val="20"/>
          <w:shd w:val="clear" w:color="auto" w:fill="FFFFFF"/>
        </w:rPr>
        <w:instrText xml:space="preserve"> </w:instrText>
      </w:r>
      <w:r w:rsidRPr="00B170DF">
        <w:rPr>
          <w:rFonts w:hint="eastAsia"/>
          <w:b/>
          <w:szCs w:val="20"/>
          <w:shd w:val="clear" w:color="auto" w:fill="FFFFFF"/>
        </w:rPr>
        <w:instrText>= 3 \* GB3</w:instrText>
      </w:r>
      <w:r w:rsidRPr="00B170DF">
        <w:rPr>
          <w:b/>
          <w:szCs w:val="20"/>
          <w:shd w:val="clear" w:color="auto" w:fill="FFFFFF"/>
        </w:rPr>
        <w:instrText xml:space="preserve"> </w:instrText>
      </w:r>
      <w:r w:rsidRPr="00B170DF">
        <w:rPr>
          <w:b/>
          <w:szCs w:val="20"/>
          <w:shd w:val="clear" w:color="auto" w:fill="FFFFFF"/>
        </w:rPr>
        <w:fldChar w:fldCharType="separate"/>
      </w:r>
      <w:r w:rsidRPr="00B170DF">
        <w:rPr>
          <w:rFonts w:hint="eastAsia"/>
          <w:b/>
          <w:noProof/>
          <w:szCs w:val="20"/>
          <w:shd w:val="clear" w:color="auto" w:fill="FFFFFF"/>
        </w:rPr>
        <w:t>③</w:t>
      </w:r>
      <w:r w:rsidRPr="00B170DF">
        <w:rPr>
          <w:b/>
          <w:szCs w:val="20"/>
          <w:shd w:val="clear" w:color="auto" w:fill="FFFFFF"/>
        </w:rPr>
        <w:fldChar w:fldCharType="end"/>
      </w:r>
      <w:r w:rsidRPr="00B170DF">
        <w:rPr>
          <w:rFonts w:hint="eastAsia"/>
          <w:b/>
          <w:szCs w:val="20"/>
          <w:shd w:val="clear" w:color="auto" w:fill="FFFFFF"/>
        </w:rPr>
        <w:t>公司已建立创新药研发体系，形成创新药研发的先发优势</w:t>
      </w:r>
    </w:p>
    <w:p w14:paraId="43B67786" w14:textId="77777777" w:rsidR="003F0511" w:rsidRPr="00B170DF" w:rsidRDefault="00CD74AA" w:rsidP="003F0511">
      <w:pPr>
        <w:adjustRightInd w:val="0"/>
        <w:spacing w:before="163" w:afterLines="0" w:after="160"/>
        <w:ind w:firstLine="480"/>
        <w:rPr>
          <w:szCs w:val="20"/>
        </w:rPr>
      </w:pPr>
      <w:r w:rsidRPr="00B170DF">
        <w:rPr>
          <w:rFonts w:hint="eastAsia"/>
          <w:szCs w:val="20"/>
          <w:shd w:val="clear" w:color="auto" w:fill="FFFFFF"/>
        </w:rPr>
        <w:t>公司自</w:t>
      </w:r>
      <w:r w:rsidRPr="00B170DF">
        <w:rPr>
          <w:rFonts w:hint="eastAsia"/>
          <w:szCs w:val="20"/>
          <w:shd w:val="clear" w:color="auto" w:fill="FFFFFF"/>
        </w:rPr>
        <w:t>2015</w:t>
      </w:r>
      <w:r w:rsidRPr="00B170DF">
        <w:rPr>
          <w:rFonts w:hint="eastAsia"/>
          <w:szCs w:val="20"/>
          <w:shd w:val="clear" w:color="auto" w:fill="FFFFFF"/>
        </w:rPr>
        <w:t>年</w:t>
      </w:r>
      <w:r w:rsidRPr="00B170DF">
        <w:rPr>
          <w:rFonts w:hint="eastAsia"/>
          <w:szCs w:val="20"/>
          <w:shd w:val="clear" w:color="auto" w:fill="FFFFFF"/>
        </w:rPr>
        <w:t>IPO</w:t>
      </w:r>
      <w:r w:rsidRPr="00B170DF">
        <w:rPr>
          <w:rFonts w:hint="eastAsia"/>
          <w:szCs w:val="20"/>
          <w:shd w:val="clear" w:color="auto" w:fill="FFFFFF"/>
        </w:rPr>
        <w:t>上市以来就明确向</w:t>
      </w:r>
      <w:proofErr w:type="gramStart"/>
      <w:r w:rsidRPr="00B170DF">
        <w:rPr>
          <w:rFonts w:hint="eastAsia"/>
          <w:szCs w:val="20"/>
          <w:shd w:val="clear" w:color="auto" w:fill="FFFFFF"/>
        </w:rPr>
        <w:t>创新药企转型</w:t>
      </w:r>
      <w:proofErr w:type="gramEnd"/>
      <w:r w:rsidRPr="00B170DF">
        <w:rPr>
          <w:rFonts w:hint="eastAsia"/>
          <w:szCs w:val="20"/>
          <w:shd w:val="clear" w:color="auto" w:fill="FFFFFF"/>
        </w:rPr>
        <w:t>，持续积极推进创新药发展战略，经过多年积累，公司创新药物研发体系构建基本完成。公司已陆续在抗新型冠状病毒、乙肝临床治愈、肝癌、非酒精性脂肪性肝炎、肝纤维化等领域立项研发六款创新药。</w:t>
      </w:r>
      <w:r w:rsidRPr="00B170DF">
        <w:rPr>
          <w:rFonts w:hint="eastAsia"/>
          <w:szCs w:val="20"/>
          <w:shd w:val="clear" w:color="auto" w:fill="FFFFFF"/>
        </w:rPr>
        <w:t>2023</w:t>
      </w:r>
      <w:r w:rsidRPr="00B170DF">
        <w:rPr>
          <w:rFonts w:hint="eastAsia"/>
          <w:szCs w:val="20"/>
          <w:shd w:val="clear" w:color="auto" w:fill="FFFFFF"/>
        </w:rPr>
        <w:t>年</w:t>
      </w:r>
      <w:r w:rsidRPr="00B170DF">
        <w:rPr>
          <w:rFonts w:hint="eastAsia"/>
          <w:szCs w:val="20"/>
          <w:shd w:val="clear" w:color="auto" w:fill="FFFFFF"/>
        </w:rPr>
        <w:t>11</w:t>
      </w:r>
      <w:r w:rsidRPr="00B170DF">
        <w:rPr>
          <w:rFonts w:hint="eastAsia"/>
          <w:szCs w:val="20"/>
          <w:shd w:val="clear" w:color="auto" w:fill="FFFFFF"/>
        </w:rPr>
        <w:t>月，公司首</w:t>
      </w:r>
      <w:proofErr w:type="gramStart"/>
      <w:r w:rsidRPr="00B170DF">
        <w:rPr>
          <w:rFonts w:hint="eastAsia"/>
          <w:szCs w:val="20"/>
          <w:shd w:val="clear" w:color="auto" w:fill="FFFFFF"/>
        </w:rPr>
        <w:t>款创新药</w:t>
      </w:r>
      <w:proofErr w:type="gramEnd"/>
      <w:r w:rsidRPr="00B170DF">
        <w:rPr>
          <w:rFonts w:hint="eastAsia"/>
          <w:szCs w:val="20"/>
          <w:shd w:val="clear" w:color="auto" w:fill="FFFFFF"/>
        </w:rPr>
        <w:t>泰中定获批上市销售，并</w:t>
      </w:r>
      <w:r w:rsidRPr="00B170DF">
        <w:rPr>
          <w:rFonts w:hint="eastAsia"/>
          <w:szCs w:val="20"/>
          <w:shd w:val="clear" w:color="auto" w:fill="FFFFFF"/>
        </w:rPr>
        <w:lastRenderedPageBreak/>
        <w:t>于</w:t>
      </w:r>
      <w:r w:rsidRPr="00B170DF">
        <w:rPr>
          <w:rFonts w:hint="eastAsia"/>
          <w:szCs w:val="20"/>
          <w:shd w:val="clear" w:color="auto" w:fill="FFFFFF"/>
        </w:rPr>
        <w:t>2024</w:t>
      </w:r>
      <w:r w:rsidRPr="00B170DF">
        <w:rPr>
          <w:rFonts w:hint="eastAsia"/>
          <w:szCs w:val="20"/>
          <w:shd w:val="clear" w:color="auto" w:fill="FFFFFF"/>
        </w:rPr>
        <w:t>年</w:t>
      </w:r>
      <w:r w:rsidRPr="00B170DF">
        <w:rPr>
          <w:rFonts w:hint="eastAsia"/>
          <w:szCs w:val="20"/>
          <w:shd w:val="clear" w:color="auto" w:fill="FFFFFF"/>
        </w:rPr>
        <w:t>11</w:t>
      </w:r>
      <w:r w:rsidRPr="00B170DF">
        <w:rPr>
          <w:rFonts w:hint="eastAsia"/>
          <w:szCs w:val="20"/>
          <w:shd w:val="clear" w:color="auto" w:fill="FFFFFF"/>
        </w:rPr>
        <w:t>月正式进入国家</w:t>
      </w:r>
      <w:proofErr w:type="gramStart"/>
      <w:r w:rsidRPr="00B170DF">
        <w:rPr>
          <w:rFonts w:hint="eastAsia"/>
          <w:szCs w:val="20"/>
          <w:shd w:val="clear" w:color="auto" w:fill="FFFFFF"/>
        </w:rPr>
        <w:t>医</w:t>
      </w:r>
      <w:proofErr w:type="gramEnd"/>
      <w:r w:rsidRPr="00B170DF">
        <w:rPr>
          <w:rFonts w:hint="eastAsia"/>
          <w:szCs w:val="20"/>
          <w:shd w:val="clear" w:color="auto" w:fill="FFFFFF"/>
        </w:rPr>
        <w:t>保目录，另有五款创新</w:t>
      </w:r>
      <w:proofErr w:type="gramStart"/>
      <w:r w:rsidRPr="00B170DF">
        <w:rPr>
          <w:rFonts w:hint="eastAsia"/>
          <w:szCs w:val="20"/>
          <w:shd w:val="clear" w:color="auto" w:fill="FFFFFF"/>
        </w:rPr>
        <w:t>药</w:t>
      </w:r>
      <w:r w:rsidR="009D4071" w:rsidRPr="00B170DF">
        <w:rPr>
          <w:rFonts w:hint="eastAsia"/>
          <w:szCs w:val="20"/>
          <w:shd w:val="clear" w:color="auto" w:fill="FFFFFF"/>
        </w:rPr>
        <w:t>处于</w:t>
      </w:r>
      <w:proofErr w:type="gramEnd"/>
      <w:r w:rsidR="009D4071" w:rsidRPr="00B170DF">
        <w:rPr>
          <w:rFonts w:hint="eastAsia"/>
          <w:szCs w:val="20"/>
          <w:shd w:val="clear" w:color="auto" w:fill="FFFFFF"/>
        </w:rPr>
        <w:t>临床研究阶段</w:t>
      </w:r>
      <w:r w:rsidRPr="00B170DF">
        <w:rPr>
          <w:rFonts w:hint="eastAsia"/>
          <w:szCs w:val="20"/>
          <w:shd w:val="clear" w:color="auto" w:fill="FFFFFF"/>
        </w:rPr>
        <w:t>，</w:t>
      </w:r>
      <w:r w:rsidRPr="00B170DF">
        <w:rPr>
          <w:rFonts w:hint="eastAsia"/>
          <w:szCs w:val="20"/>
          <w:shd w:val="clear" w:color="auto" w:fill="FFFFFF"/>
        </w:rPr>
        <w:t>GST-HG141</w:t>
      </w:r>
      <w:r w:rsidRPr="00B170DF">
        <w:rPr>
          <w:rFonts w:hint="eastAsia"/>
          <w:szCs w:val="20"/>
          <w:shd w:val="clear" w:color="auto" w:fill="FFFFFF"/>
        </w:rPr>
        <w:t>于</w:t>
      </w:r>
      <w:r w:rsidRPr="00B170DF">
        <w:rPr>
          <w:rFonts w:hint="eastAsia"/>
          <w:szCs w:val="20"/>
          <w:shd w:val="clear" w:color="auto" w:fill="FFFFFF"/>
        </w:rPr>
        <w:t>2024</w:t>
      </w:r>
      <w:r w:rsidRPr="00B170DF">
        <w:rPr>
          <w:rFonts w:hint="eastAsia"/>
          <w:szCs w:val="20"/>
          <w:shd w:val="clear" w:color="auto" w:fill="FFFFFF"/>
        </w:rPr>
        <w:t>年</w:t>
      </w:r>
      <w:r w:rsidRPr="00B170DF">
        <w:rPr>
          <w:rFonts w:hint="eastAsia"/>
          <w:szCs w:val="20"/>
          <w:shd w:val="clear" w:color="auto" w:fill="FFFFFF"/>
        </w:rPr>
        <w:t>12</w:t>
      </w:r>
      <w:r w:rsidRPr="00B170DF">
        <w:rPr>
          <w:rFonts w:hint="eastAsia"/>
          <w:szCs w:val="20"/>
          <w:shd w:val="clear" w:color="auto" w:fill="FFFFFF"/>
        </w:rPr>
        <w:t>月被</w:t>
      </w:r>
      <w:r w:rsidRPr="00B170DF">
        <w:rPr>
          <w:rFonts w:hint="eastAsia"/>
          <w:szCs w:val="20"/>
          <w:shd w:val="clear" w:color="auto" w:fill="FFFFFF"/>
        </w:rPr>
        <w:t>CDE</w:t>
      </w:r>
      <w:r w:rsidRPr="00B170DF">
        <w:rPr>
          <w:rFonts w:hint="eastAsia"/>
          <w:szCs w:val="20"/>
          <w:shd w:val="clear" w:color="auto" w:fill="FFFFFF"/>
        </w:rPr>
        <w:t>列纳入突破性治疗品种名单，</w:t>
      </w:r>
      <w:r w:rsidRPr="00B170DF">
        <w:rPr>
          <w:rFonts w:hint="eastAsia"/>
          <w:szCs w:val="20"/>
          <w:shd w:val="clear" w:color="auto" w:fill="FFFFFF"/>
        </w:rPr>
        <w:t>GST-HG131</w:t>
      </w:r>
      <w:r w:rsidRPr="00B170DF">
        <w:rPr>
          <w:rFonts w:hint="eastAsia"/>
          <w:szCs w:val="20"/>
          <w:shd w:val="clear" w:color="auto" w:fill="FFFFFF"/>
        </w:rPr>
        <w:t>是中国首个获</w:t>
      </w:r>
      <w:proofErr w:type="gramStart"/>
      <w:r w:rsidRPr="00B170DF">
        <w:rPr>
          <w:rFonts w:hint="eastAsia"/>
          <w:szCs w:val="20"/>
          <w:shd w:val="clear" w:color="auto" w:fill="FFFFFF"/>
        </w:rPr>
        <w:t>批进入</w:t>
      </w:r>
      <w:proofErr w:type="gramEnd"/>
      <w:r w:rsidRPr="00B170DF">
        <w:rPr>
          <w:rFonts w:hint="eastAsia"/>
          <w:szCs w:val="20"/>
          <w:shd w:val="clear" w:color="auto" w:fill="FFFFFF"/>
        </w:rPr>
        <w:t>临床开发的口服表面抗原抑制剂。同时，公司加强创新</w:t>
      </w:r>
      <w:proofErr w:type="gramStart"/>
      <w:r w:rsidRPr="00B170DF">
        <w:rPr>
          <w:rFonts w:hint="eastAsia"/>
          <w:szCs w:val="20"/>
          <w:shd w:val="clear" w:color="auto" w:fill="FFFFFF"/>
        </w:rPr>
        <w:t>药全球</w:t>
      </w:r>
      <w:proofErr w:type="gramEnd"/>
      <w:r w:rsidRPr="00B170DF">
        <w:rPr>
          <w:rFonts w:hint="eastAsia"/>
          <w:szCs w:val="20"/>
          <w:shd w:val="clear" w:color="auto" w:fill="FFFFFF"/>
        </w:rPr>
        <w:t>知识产权保护，创新药系列化合物均进行</w:t>
      </w:r>
      <w:r w:rsidRPr="00B170DF">
        <w:rPr>
          <w:rFonts w:hint="eastAsia"/>
          <w:szCs w:val="20"/>
          <w:shd w:val="clear" w:color="auto" w:fill="FFFFFF"/>
        </w:rPr>
        <w:t>PCT</w:t>
      </w:r>
      <w:r w:rsidRPr="00B170DF">
        <w:rPr>
          <w:rFonts w:hint="eastAsia"/>
          <w:szCs w:val="20"/>
          <w:shd w:val="clear" w:color="auto" w:fill="FFFFFF"/>
        </w:rPr>
        <w:t>国际专利布局，并已陆续取得中国和其他国家或地区专利授权。通过持续加大研发投入，不断完善创新药知识产权布局，公司已在临床治愈乙肝创新药市场抢占了一定先机，具备先发优势，能够保障此次项目的有效推进。</w:t>
      </w:r>
    </w:p>
    <w:p w14:paraId="4A141B22" w14:textId="77777777" w:rsidR="003F0511" w:rsidRPr="00B170DF" w:rsidRDefault="003F0511" w:rsidP="003F0511">
      <w:pPr>
        <w:spacing w:before="163" w:afterLines="0" w:after="160"/>
        <w:ind w:firstLine="482"/>
        <w:rPr>
          <w:b/>
          <w:bCs/>
          <w:szCs w:val="20"/>
        </w:rPr>
      </w:pPr>
      <w:r w:rsidRPr="00B170DF">
        <w:rPr>
          <w:b/>
          <w:bCs/>
          <w:szCs w:val="20"/>
        </w:rPr>
        <w:fldChar w:fldCharType="begin"/>
      </w:r>
      <w:r w:rsidRPr="00B170DF">
        <w:rPr>
          <w:b/>
          <w:bCs/>
          <w:szCs w:val="20"/>
        </w:rPr>
        <w:instrText xml:space="preserve"> </w:instrText>
      </w:r>
      <w:r w:rsidRPr="00B170DF">
        <w:rPr>
          <w:rFonts w:hint="eastAsia"/>
          <w:b/>
          <w:bCs/>
          <w:szCs w:val="20"/>
        </w:rPr>
        <w:instrText>= 4 \* GB3</w:instrText>
      </w:r>
      <w:r w:rsidRPr="00B170DF">
        <w:rPr>
          <w:b/>
          <w:bCs/>
          <w:szCs w:val="20"/>
        </w:rPr>
        <w:instrText xml:space="preserve"> </w:instrText>
      </w:r>
      <w:r w:rsidRPr="00B170DF">
        <w:rPr>
          <w:b/>
          <w:bCs/>
          <w:szCs w:val="20"/>
        </w:rPr>
        <w:fldChar w:fldCharType="separate"/>
      </w:r>
      <w:r w:rsidRPr="00B170DF">
        <w:rPr>
          <w:rFonts w:hint="eastAsia"/>
          <w:b/>
          <w:bCs/>
          <w:noProof/>
          <w:szCs w:val="20"/>
        </w:rPr>
        <w:t>④</w:t>
      </w:r>
      <w:r w:rsidRPr="00B170DF">
        <w:rPr>
          <w:b/>
          <w:bCs/>
          <w:szCs w:val="20"/>
        </w:rPr>
        <w:fldChar w:fldCharType="end"/>
      </w:r>
      <w:r w:rsidRPr="00B170DF">
        <w:rPr>
          <w:rFonts w:hint="eastAsia"/>
          <w:b/>
          <w:bCs/>
          <w:szCs w:val="20"/>
        </w:rPr>
        <w:t>公司拥有充足的创新药研发的人才储备</w:t>
      </w:r>
    </w:p>
    <w:p w14:paraId="0061BDD3" w14:textId="77777777" w:rsidR="00CD74AA" w:rsidRPr="00B170DF" w:rsidRDefault="00CD74AA" w:rsidP="00CD74AA">
      <w:pPr>
        <w:spacing w:before="163" w:after="163"/>
        <w:ind w:firstLine="480"/>
        <w:rPr>
          <w:szCs w:val="20"/>
        </w:rPr>
      </w:pPr>
      <w:r w:rsidRPr="00B170DF">
        <w:rPr>
          <w:rFonts w:hint="eastAsia"/>
          <w:szCs w:val="20"/>
        </w:rPr>
        <w:t>为保证项目顺利实施，公司进行了充分的技术人才与管理人才储备。公司通过搭建科学合理的薪酬管理体系和人才培养机制，有效激励员工不断改善工作方法和工作品质，持续不断地提高组织工作效率，为企业的可持续发展提供人才支持与保障，</w:t>
      </w:r>
      <w:r w:rsidR="00956E95" w:rsidRPr="00B170DF">
        <w:rPr>
          <w:rFonts w:hint="eastAsia"/>
          <w:szCs w:val="20"/>
        </w:rPr>
        <w:t>在临床前研究、临床试验管理等创新</w:t>
      </w:r>
      <w:proofErr w:type="gramStart"/>
      <w:r w:rsidR="00956E95" w:rsidRPr="00B170DF">
        <w:rPr>
          <w:rFonts w:hint="eastAsia"/>
          <w:szCs w:val="20"/>
        </w:rPr>
        <w:t>药关键</w:t>
      </w:r>
      <w:proofErr w:type="gramEnd"/>
      <w:r w:rsidR="00956E95" w:rsidRPr="00B170DF">
        <w:rPr>
          <w:rFonts w:hint="eastAsia"/>
          <w:szCs w:val="20"/>
        </w:rPr>
        <w:t>岗位上拥有行业专家与优秀人才</w:t>
      </w:r>
      <w:r w:rsidR="00D55893" w:rsidRPr="00B170DF">
        <w:rPr>
          <w:rFonts w:hint="eastAsia"/>
          <w:szCs w:val="20"/>
        </w:rPr>
        <w:t>，公司关键研发人员均有全球一线大</w:t>
      </w:r>
      <w:proofErr w:type="gramStart"/>
      <w:r w:rsidR="00D55893" w:rsidRPr="00B170DF">
        <w:rPr>
          <w:rFonts w:hint="eastAsia"/>
          <w:szCs w:val="20"/>
        </w:rPr>
        <w:t>药企创新药</w:t>
      </w:r>
      <w:proofErr w:type="gramEnd"/>
      <w:r w:rsidR="00D55893" w:rsidRPr="00B170DF">
        <w:rPr>
          <w:rFonts w:hint="eastAsia"/>
          <w:szCs w:val="20"/>
        </w:rPr>
        <w:t>研发履历，具有丰富的创新药研发工作经验</w:t>
      </w:r>
      <w:r w:rsidR="00956E95" w:rsidRPr="00B170DF">
        <w:rPr>
          <w:rFonts w:hint="eastAsia"/>
          <w:szCs w:val="20"/>
        </w:rPr>
        <w:t>。</w:t>
      </w:r>
      <w:r w:rsidR="00956E95" w:rsidRPr="00B170DF">
        <w:rPr>
          <w:rFonts w:hint="eastAsia"/>
          <w:szCs w:val="20"/>
        </w:rPr>
        <w:t>2023</w:t>
      </w:r>
      <w:r w:rsidR="00956E95" w:rsidRPr="00B170DF">
        <w:rPr>
          <w:rFonts w:hint="eastAsia"/>
          <w:szCs w:val="20"/>
        </w:rPr>
        <w:t>年</w:t>
      </w:r>
      <w:r w:rsidR="00956E95" w:rsidRPr="00B170DF">
        <w:rPr>
          <w:rFonts w:hint="eastAsia"/>
          <w:szCs w:val="20"/>
        </w:rPr>
        <w:t>11</w:t>
      </w:r>
      <w:r w:rsidR="00956E95" w:rsidRPr="00B170DF">
        <w:rPr>
          <w:rFonts w:hint="eastAsia"/>
          <w:szCs w:val="20"/>
        </w:rPr>
        <w:t>月，抗新冠病毒口服小分子</w:t>
      </w:r>
      <w:r w:rsidR="00956E95" w:rsidRPr="00B170DF">
        <w:rPr>
          <w:rFonts w:hint="eastAsia"/>
          <w:szCs w:val="20"/>
        </w:rPr>
        <w:t>3CL</w:t>
      </w:r>
      <w:r w:rsidR="00956E95" w:rsidRPr="00B170DF">
        <w:rPr>
          <w:rFonts w:hint="eastAsia"/>
          <w:szCs w:val="20"/>
        </w:rPr>
        <w:t>蛋白酶抑制剂一类创新药阿泰特韦片</w:t>
      </w:r>
      <w:r w:rsidR="00956E95" w:rsidRPr="00B170DF">
        <w:rPr>
          <w:rFonts w:hint="eastAsia"/>
          <w:szCs w:val="20"/>
        </w:rPr>
        <w:t>/</w:t>
      </w:r>
      <w:r w:rsidR="00956E95" w:rsidRPr="00B170DF">
        <w:rPr>
          <w:rFonts w:hint="eastAsia"/>
          <w:szCs w:val="20"/>
        </w:rPr>
        <w:t>利托那韦片组合包装（商品名：泰中定</w:t>
      </w:r>
      <w:r w:rsidR="00956E95" w:rsidRPr="00572850">
        <w:rPr>
          <w:rFonts w:hint="eastAsia"/>
          <w:szCs w:val="20"/>
          <w:vertAlign w:val="superscript"/>
        </w:rPr>
        <w:t>®</w:t>
      </w:r>
      <w:r w:rsidR="00956E95" w:rsidRPr="00B170DF">
        <w:rPr>
          <w:rFonts w:hint="eastAsia"/>
          <w:szCs w:val="20"/>
        </w:rPr>
        <w:t>）获国家药品监督管理局附条件批准上市，是公司实施创新发展战略以来落地的</w:t>
      </w:r>
      <w:proofErr w:type="gramStart"/>
      <w:r w:rsidR="00956E95" w:rsidRPr="00B170DF">
        <w:rPr>
          <w:rFonts w:hint="eastAsia"/>
          <w:szCs w:val="20"/>
        </w:rPr>
        <w:t>首款获批</w:t>
      </w:r>
      <w:proofErr w:type="gramEnd"/>
      <w:r w:rsidR="00956E95" w:rsidRPr="00B170DF">
        <w:rPr>
          <w:rFonts w:hint="eastAsia"/>
          <w:szCs w:val="20"/>
        </w:rPr>
        <w:t>上市的创新药产品，标志着团队具备创新药临床前开发到获批上市的全周期的研发管理能力。公司较为成熟的技术储备、人才储备和上市注册经验能为本次募集资金投资项目后续推进提供持续支持，并保障项目的顺利实施。</w:t>
      </w:r>
    </w:p>
    <w:p w14:paraId="40BBEC4B" w14:textId="77777777" w:rsidR="003F0511" w:rsidRPr="00B170DF" w:rsidRDefault="00CD74AA" w:rsidP="00CD74AA">
      <w:pPr>
        <w:spacing w:before="163" w:after="163"/>
        <w:ind w:firstLine="480"/>
        <w:rPr>
          <w:szCs w:val="20"/>
        </w:rPr>
      </w:pPr>
      <w:r w:rsidRPr="00B170DF">
        <w:rPr>
          <w:rFonts w:hint="eastAsia"/>
          <w:szCs w:val="20"/>
        </w:rPr>
        <w:t>综上所述，国家政策的有力支持，为本项目的实施创造了良好的外部条件；公司本次募集资金投向的创新</w:t>
      </w:r>
      <w:proofErr w:type="gramStart"/>
      <w:r w:rsidRPr="00B170DF">
        <w:rPr>
          <w:rFonts w:hint="eastAsia"/>
          <w:szCs w:val="20"/>
        </w:rPr>
        <w:t>药项目</w:t>
      </w:r>
      <w:proofErr w:type="gramEnd"/>
      <w:r w:rsidRPr="00B170DF">
        <w:rPr>
          <w:rFonts w:hint="eastAsia"/>
          <w:szCs w:val="20"/>
        </w:rPr>
        <w:t>已取得了积极的试验成果，技术路径行之有效；公司充足的创新药研发人才与技术储备为后续的研发工作提供了坚实的保障。因此，本项目的实施具备可行性。</w:t>
      </w:r>
    </w:p>
    <w:p w14:paraId="0464CC46" w14:textId="77777777" w:rsidR="003F0511" w:rsidRPr="00B170DF" w:rsidRDefault="003F0511" w:rsidP="003F0511">
      <w:pPr>
        <w:keepNext/>
        <w:keepLines/>
        <w:spacing w:before="163" w:afterLines="0" w:after="0"/>
        <w:ind w:firstLine="482"/>
        <w:rPr>
          <w:b/>
          <w:bCs/>
          <w:kern w:val="0"/>
          <w:szCs w:val="24"/>
        </w:rPr>
      </w:pPr>
      <w:r w:rsidRPr="00B170DF">
        <w:rPr>
          <w:rFonts w:hint="eastAsia"/>
          <w:b/>
          <w:bCs/>
          <w:kern w:val="0"/>
          <w:szCs w:val="24"/>
        </w:rPr>
        <w:t>4</w:t>
      </w:r>
      <w:r w:rsidRPr="00B170DF">
        <w:rPr>
          <w:rFonts w:hint="eastAsia"/>
          <w:b/>
          <w:bCs/>
          <w:kern w:val="0"/>
          <w:szCs w:val="24"/>
        </w:rPr>
        <w:t>、</w:t>
      </w:r>
      <w:r w:rsidRPr="00B170DF">
        <w:rPr>
          <w:b/>
          <w:bCs/>
          <w:kern w:val="0"/>
          <w:szCs w:val="24"/>
        </w:rPr>
        <w:t>项目</w:t>
      </w:r>
      <w:r w:rsidRPr="00B170DF">
        <w:rPr>
          <w:rFonts w:hint="eastAsia"/>
          <w:b/>
          <w:bCs/>
          <w:kern w:val="0"/>
          <w:szCs w:val="24"/>
        </w:rPr>
        <w:t>投资及实施安排</w:t>
      </w:r>
    </w:p>
    <w:p w14:paraId="29FD3ED2" w14:textId="77777777" w:rsidR="00C20D5F" w:rsidRPr="00B170DF" w:rsidRDefault="00C20D5F" w:rsidP="00C20D5F">
      <w:pPr>
        <w:spacing w:before="163" w:after="163"/>
        <w:ind w:firstLine="480"/>
        <w:rPr>
          <w:szCs w:val="24"/>
        </w:rPr>
      </w:pPr>
      <w:r w:rsidRPr="00B170DF">
        <w:rPr>
          <w:rFonts w:hint="eastAsia"/>
          <w:szCs w:val="20"/>
        </w:rPr>
        <w:t>创新</w:t>
      </w:r>
      <w:proofErr w:type="gramStart"/>
      <w:r w:rsidRPr="00B170DF">
        <w:rPr>
          <w:rFonts w:hint="eastAsia"/>
          <w:szCs w:val="20"/>
        </w:rPr>
        <w:t>药项目</w:t>
      </w:r>
      <w:proofErr w:type="gramEnd"/>
      <w:r w:rsidRPr="00B170DF">
        <w:rPr>
          <w:rFonts w:hint="eastAsia"/>
          <w:szCs w:val="20"/>
        </w:rPr>
        <w:t>总投资额为</w:t>
      </w:r>
      <w:r w:rsidRPr="00B170DF">
        <w:rPr>
          <w:rFonts w:hint="eastAsia"/>
          <w:szCs w:val="20"/>
        </w:rPr>
        <w:t>63,100</w:t>
      </w:r>
      <w:r w:rsidRPr="00B170DF">
        <w:rPr>
          <w:szCs w:val="20"/>
        </w:rPr>
        <w:t>.</w:t>
      </w:r>
      <w:r w:rsidRPr="00B170DF">
        <w:rPr>
          <w:rFonts w:hint="eastAsia"/>
          <w:szCs w:val="20"/>
        </w:rPr>
        <w:t>60</w:t>
      </w:r>
      <w:r w:rsidRPr="00B170DF">
        <w:rPr>
          <w:rFonts w:hint="eastAsia"/>
          <w:szCs w:val="20"/>
        </w:rPr>
        <w:t>万元，</w:t>
      </w:r>
      <w:bookmarkStart w:id="51" w:name="_Hlk128485212"/>
      <w:r w:rsidRPr="00B170DF">
        <w:rPr>
          <w:rFonts w:hint="eastAsia"/>
          <w:szCs w:val="20"/>
        </w:rPr>
        <w:t>用于创新药物临床研发，</w:t>
      </w:r>
      <w:bookmarkEnd w:id="51"/>
      <w:r w:rsidRPr="00B170DF">
        <w:rPr>
          <w:rFonts w:hint="eastAsia"/>
          <w:szCs w:val="20"/>
        </w:rPr>
        <w:t>拟使用募集资金投资额为</w:t>
      </w:r>
      <w:r w:rsidRPr="00B170DF">
        <w:rPr>
          <w:szCs w:val="20"/>
        </w:rPr>
        <w:t>59,837.60</w:t>
      </w:r>
      <w:r w:rsidRPr="00B170DF">
        <w:rPr>
          <w:rFonts w:hint="eastAsia"/>
          <w:szCs w:val="20"/>
        </w:rPr>
        <w:t>万元。</w:t>
      </w:r>
      <w:r w:rsidRPr="00B170DF">
        <w:rPr>
          <w:rFonts w:hint="eastAsia"/>
          <w:szCs w:val="24"/>
        </w:rPr>
        <w:t>投资金额系公司结合行业惯例并根据自身实际</w:t>
      </w:r>
      <w:r w:rsidRPr="00B170DF">
        <w:rPr>
          <w:rFonts w:hint="eastAsia"/>
          <w:szCs w:val="24"/>
        </w:rPr>
        <w:lastRenderedPageBreak/>
        <w:t>情况对预计研发资金进行了审慎、合理测算，具体测算方式为根</w:t>
      </w:r>
      <w:r w:rsidRPr="00B170DF">
        <w:rPr>
          <w:szCs w:val="24"/>
        </w:rPr>
        <w:t>据计划入组患者人数，结合临床方案设计、历史经验</w:t>
      </w:r>
      <w:r w:rsidRPr="00B170DF">
        <w:rPr>
          <w:rFonts w:hint="eastAsia"/>
          <w:szCs w:val="24"/>
        </w:rPr>
        <w:t>、各时期合作的</w:t>
      </w:r>
      <w:r w:rsidRPr="00B170DF">
        <w:rPr>
          <w:rFonts w:hint="eastAsia"/>
          <w:szCs w:val="24"/>
        </w:rPr>
        <w:t>CRO</w:t>
      </w:r>
      <w:r w:rsidRPr="00B170DF">
        <w:rPr>
          <w:rFonts w:hint="eastAsia"/>
          <w:szCs w:val="24"/>
        </w:rPr>
        <w:t>服务成本</w:t>
      </w:r>
      <w:r w:rsidRPr="00B170DF">
        <w:rPr>
          <w:szCs w:val="24"/>
        </w:rPr>
        <w:t>等因素确定单个患者平均试验成本，进而测算出各项目临床试验费用</w:t>
      </w:r>
      <w:r w:rsidRPr="00B170DF">
        <w:rPr>
          <w:rFonts w:hint="eastAsia"/>
          <w:szCs w:val="24"/>
        </w:rPr>
        <w:t>，投资具备合理性。</w:t>
      </w:r>
    </w:p>
    <w:p w14:paraId="735FCA43" w14:textId="77777777" w:rsidR="003F0511" w:rsidRPr="00B170DF" w:rsidRDefault="003F0511" w:rsidP="003F0511">
      <w:pPr>
        <w:keepNext/>
        <w:keepLines/>
        <w:spacing w:before="163" w:afterLines="0" w:after="0"/>
        <w:ind w:firstLine="482"/>
        <w:rPr>
          <w:b/>
          <w:bCs/>
          <w:kern w:val="0"/>
          <w:szCs w:val="24"/>
        </w:rPr>
      </w:pPr>
      <w:r w:rsidRPr="00B170DF">
        <w:rPr>
          <w:rFonts w:hint="eastAsia"/>
          <w:b/>
          <w:bCs/>
          <w:kern w:val="0"/>
          <w:szCs w:val="24"/>
        </w:rPr>
        <w:t>5</w:t>
      </w:r>
      <w:r w:rsidRPr="00B170DF">
        <w:rPr>
          <w:rFonts w:hint="eastAsia"/>
          <w:b/>
          <w:bCs/>
          <w:kern w:val="0"/>
          <w:szCs w:val="24"/>
        </w:rPr>
        <w:t>、实施主体</w:t>
      </w:r>
    </w:p>
    <w:p w14:paraId="3CDF7396" w14:textId="44F647D7" w:rsidR="003F0511" w:rsidRPr="00B170DF" w:rsidRDefault="00CD74AA" w:rsidP="003F0511">
      <w:pPr>
        <w:spacing w:before="163" w:afterLines="0" w:after="160"/>
        <w:ind w:firstLineChars="0" w:firstLine="420"/>
        <w:rPr>
          <w:szCs w:val="24"/>
        </w:rPr>
      </w:pPr>
      <w:r w:rsidRPr="00B170DF">
        <w:rPr>
          <w:rFonts w:hint="eastAsia"/>
          <w:szCs w:val="24"/>
        </w:rPr>
        <w:t>创新</w:t>
      </w:r>
      <w:proofErr w:type="gramStart"/>
      <w:r w:rsidRPr="00B170DF">
        <w:rPr>
          <w:rFonts w:hint="eastAsia"/>
          <w:szCs w:val="24"/>
        </w:rPr>
        <w:t>药项目</w:t>
      </w:r>
      <w:proofErr w:type="gramEnd"/>
      <w:r w:rsidRPr="00B170DF">
        <w:rPr>
          <w:rFonts w:hint="eastAsia"/>
          <w:szCs w:val="24"/>
        </w:rPr>
        <w:t>的实施主体为</w:t>
      </w:r>
      <w:r w:rsidR="00956E95" w:rsidRPr="00B170DF">
        <w:rPr>
          <w:rFonts w:hint="eastAsia"/>
          <w:szCs w:val="24"/>
        </w:rPr>
        <w:t>公司负责创新药研发的控股子公司</w:t>
      </w:r>
      <w:r w:rsidRPr="00B170DF">
        <w:rPr>
          <w:rFonts w:hint="eastAsia"/>
          <w:szCs w:val="24"/>
        </w:rPr>
        <w:t>广生中</w:t>
      </w:r>
      <w:proofErr w:type="gramStart"/>
      <w:r w:rsidRPr="00B170DF">
        <w:rPr>
          <w:rFonts w:hint="eastAsia"/>
          <w:szCs w:val="24"/>
        </w:rPr>
        <w:t>霖</w:t>
      </w:r>
      <w:proofErr w:type="gramEnd"/>
      <w:r w:rsidRPr="00B170DF">
        <w:rPr>
          <w:rFonts w:hint="eastAsia"/>
          <w:szCs w:val="24"/>
        </w:rPr>
        <w:t>。</w:t>
      </w:r>
    </w:p>
    <w:p w14:paraId="63621616" w14:textId="77777777" w:rsidR="003F0511" w:rsidRPr="00B170DF" w:rsidRDefault="003F0511" w:rsidP="003F0511">
      <w:pPr>
        <w:spacing w:before="163" w:afterLines="0" w:after="160"/>
        <w:ind w:firstLineChars="0" w:firstLine="420"/>
        <w:rPr>
          <w:szCs w:val="24"/>
        </w:rPr>
      </w:pPr>
      <w:r w:rsidRPr="00B170DF">
        <w:rPr>
          <w:rFonts w:hint="eastAsia"/>
          <w:b/>
          <w:bCs/>
          <w:kern w:val="0"/>
          <w:szCs w:val="24"/>
        </w:rPr>
        <w:t>6</w:t>
      </w:r>
      <w:r w:rsidRPr="00B170DF">
        <w:rPr>
          <w:rFonts w:hint="eastAsia"/>
          <w:b/>
          <w:bCs/>
          <w:kern w:val="0"/>
          <w:szCs w:val="24"/>
        </w:rPr>
        <w:t>、</w:t>
      </w:r>
      <w:r w:rsidRPr="00B170DF">
        <w:rPr>
          <w:b/>
          <w:bCs/>
          <w:kern w:val="0"/>
          <w:szCs w:val="24"/>
        </w:rPr>
        <w:t>项目</w:t>
      </w:r>
      <w:r w:rsidRPr="00B170DF">
        <w:rPr>
          <w:rFonts w:hint="eastAsia"/>
          <w:b/>
          <w:bCs/>
          <w:kern w:val="0"/>
          <w:szCs w:val="24"/>
        </w:rPr>
        <w:t>用地、</w:t>
      </w:r>
      <w:r w:rsidRPr="00B170DF">
        <w:rPr>
          <w:b/>
          <w:bCs/>
          <w:kern w:val="0"/>
          <w:szCs w:val="24"/>
        </w:rPr>
        <w:t>备案和环评情况</w:t>
      </w:r>
    </w:p>
    <w:p w14:paraId="44F6269B" w14:textId="77777777" w:rsidR="003F0511" w:rsidRPr="00B170DF" w:rsidRDefault="00CD74AA" w:rsidP="003F0511">
      <w:pPr>
        <w:spacing w:before="163" w:afterLines="0" w:after="160"/>
        <w:ind w:firstLine="480"/>
        <w:rPr>
          <w:szCs w:val="20"/>
        </w:rPr>
      </w:pPr>
      <w:proofErr w:type="gramStart"/>
      <w:r w:rsidRPr="00B170DF">
        <w:rPr>
          <w:rFonts w:hint="eastAsia"/>
          <w:szCs w:val="20"/>
        </w:rPr>
        <w:t>根据发改委</w:t>
      </w:r>
      <w:proofErr w:type="gramEnd"/>
      <w:r w:rsidRPr="00B170DF">
        <w:rPr>
          <w:rFonts w:hint="eastAsia"/>
          <w:szCs w:val="20"/>
        </w:rPr>
        <w:t>发布的《企业投资项目核准和备案管理办法》，创新药</w:t>
      </w:r>
      <w:proofErr w:type="gramStart"/>
      <w:r w:rsidRPr="00B170DF">
        <w:rPr>
          <w:rFonts w:hint="eastAsia"/>
          <w:szCs w:val="20"/>
        </w:rPr>
        <w:t>募投项目</w:t>
      </w:r>
      <w:proofErr w:type="gramEnd"/>
      <w:r w:rsidRPr="00B170DF">
        <w:rPr>
          <w:rFonts w:hint="eastAsia"/>
          <w:szCs w:val="20"/>
        </w:rPr>
        <w:t>为药物临床研究，不涉及固定资产投资，不属于</w:t>
      </w:r>
      <w:proofErr w:type="gramStart"/>
      <w:r w:rsidRPr="00B170DF">
        <w:rPr>
          <w:rFonts w:hint="eastAsia"/>
          <w:szCs w:val="20"/>
        </w:rPr>
        <w:t>需要发改委</w:t>
      </w:r>
      <w:proofErr w:type="gramEnd"/>
      <w:r w:rsidRPr="00B170DF">
        <w:rPr>
          <w:rFonts w:hint="eastAsia"/>
          <w:szCs w:val="20"/>
        </w:rPr>
        <w:t>备案的固定资产投资项目；同时，上述创新药物研发项目不涉及生产建设活动，不属于根据《中华人民共和国环境影响评价法》和《建设项目环境影响评价分类管理名录》等相关法律法规的规定需要进行环境影响评价的建设项目。</w:t>
      </w:r>
    </w:p>
    <w:p w14:paraId="3233CF44" w14:textId="77777777" w:rsidR="001929E6" w:rsidRPr="00B170DF" w:rsidRDefault="006D2F2F" w:rsidP="006D2F2F">
      <w:pPr>
        <w:keepNext/>
        <w:keepLines/>
        <w:widowControl/>
        <w:spacing w:before="163" w:after="163"/>
        <w:ind w:firstLine="482"/>
        <w:jc w:val="left"/>
        <w:outlineLvl w:val="2"/>
        <w:rPr>
          <w:rFonts w:eastAsia="黑体"/>
          <w:b/>
          <w:bCs/>
          <w:szCs w:val="28"/>
        </w:rPr>
      </w:pPr>
      <w:r w:rsidRPr="00B170DF">
        <w:rPr>
          <w:rFonts w:eastAsia="黑体" w:hint="eastAsia"/>
          <w:b/>
          <w:bCs/>
          <w:szCs w:val="28"/>
        </w:rPr>
        <w:t>（二）中药传统名方产业化</w:t>
      </w:r>
    </w:p>
    <w:p w14:paraId="08A33E12" w14:textId="77777777" w:rsidR="00145AA7" w:rsidRPr="00B170DF" w:rsidRDefault="00145AA7" w:rsidP="00983937">
      <w:pPr>
        <w:keepNext/>
        <w:keepLines/>
        <w:spacing w:before="163" w:afterLines="0" w:after="0"/>
        <w:ind w:firstLine="482"/>
        <w:rPr>
          <w:b/>
          <w:bCs/>
          <w:kern w:val="0"/>
          <w:szCs w:val="24"/>
        </w:rPr>
      </w:pPr>
      <w:r w:rsidRPr="00B170DF">
        <w:rPr>
          <w:rFonts w:hint="eastAsia"/>
          <w:b/>
          <w:bCs/>
          <w:kern w:val="0"/>
          <w:szCs w:val="24"/>
        </w:rPr>
        <w:t>1</w:t>
      </w:r>
      <w:r w:rsidRPr="00B170DF">
        <w:rPr>
          <w:rFonts w:hint="eastAsia"/>
          <w:b/>
          <w:bCs/>
          <w:kern w:val="0"/>
          <w:szCs w:val="24"/>
        </w:rPr>
        <w:t>、项目概况</w:t>
      </w:r>
    </w:p>
    <w:p w14:paraId="7990EE42" w14:textId="77777777" w:rsidR="00CF121B" w:rsidRPr="00B170DF" w:rsidRDefault="00CF121B" w:rsidP="00983937">
      <w:pPr>
        <w:keepNext/>
        <w:keepLines/>
        <w:spacing w:before="163" w:afterLines="0" w:after="0"/>
        <w:ind w:firstLine="480"/>
        <w:rPr>
          <w:szCs w:val="24"/>
        </w:rPr>
      </w:pPr>
      <w:r w:rsidRPr="00B170DF">
        <w:rPr>
          <w:rFonts w:hint="eastAsia"/>
          <w:szCs w:val="24"/>
        </w:rPr>
        <w:t>本次募集资金拟投向中药传统名方产业化项目，总投资额为</w:t>
      </w:r>
      <w:r w:rsidRPr="00B170DF">
        <w:rPr>
          <w:rFonts w:hint="eastAsia"/>
          <w:szCs w:val="24"/>
        </w:rPr>
        <w:t>10,525.29</w:t>
      </w:r>
      <w:r w:rsidRPr="00B170DF">
        <w:rPr>
          <w:rFonts w:hint="eastAsia"/>
          <w:szCs w:val="24"/>
        </w:rPr>
        <w:t>万元，拟使用募集资金投资额为</w:t>
      </w:r>
      <w:r w:rsidR="008E518B" w:rsidRPr="00B170DF">
        <w:rPr>
          <w:szCs w:val="24"/>
        </w:rPr>
        <w:t>8,849.05</w:t>
      </w:r>
      <w:r w:rsidRPr="00B170DF">
        <w:rPr>
          <w:rFonts w:hint="eastAsia"/>
          <w:szCs w:val="24"/>
        </w:rPr>
        <w:t>万元。本项目由公司全资子公司</w:t>
      </w:r>
      <w:proofErr w:type="gramStart"/>
      <w:r w:rsidRPr="00B170DF">
        <w:rPr>
          <w:rFonts w:hint="eastAsia"/>
          <w:szCs w:val="24"/>
        </w:rPr>
        <w:t>漳州广生堂负责</w:t>
      </w:r>
      <w:proofErr w:type="gramEnd"/>
      <w:r w:rsidRPr="00B170DF">
        <w:rPr>
          <w:rFonts w:hint="eastAsia"/>
          <w:szCs w:val="24"/>
        </w:rPr>
        <w:t>实施，项目实施地点位于福建省漳州市高新区，建设内容为购买中药传统名方药品批文</w:t>
      </w:r>
      <w:r w:rsidR="00956E95" w:rsidRPr="00B170DF">
        <w:rPr>
          <w:rFonts w:hint="eastAsia"/>
          <w:szCs w:val="24"/>
        </w:rPr>
        <w:t>和</w:t>
      </w:r>
      <w:r w:rsidRPr="00B170DF">
        <w:rPr>
          <w:rFonts w:hint="eastAsia"/>
          <w:szCs w:val="24"/>
        </w:rPr>
        <w:t>建设中药丸剂生产线。本项目建成后，通过与漳州大健康产业链的合作，深化公司中药板块战略布局，带动公司中医药产业向中高端迈进，努力成为公司新的业务增长极。</w:t>
      </w:r>
    </w:p>
    <w:p w14:paraId="4811633F" w14:textId="77777777" w:rsidR="00145AA7" w:rsidRPr="00B170DF" w:rsidRDefault="00145AA7" w:rsidP="00983937">
      <w:pPr>
        <w:keepNext/>
        <w:keepLines/>
        <w:spacing w:before="163" w:afterLines="0" w:after="0"/>
        <w:ind w:firstLine="482"/>
        <w:rPr>
          <w:b/>
          <w:bCs/>
          <w:kern w:val="0"/>
          <w:szCs w:val="24"/>
        </w:rPr>
      </w:pPr>
      <w:r w:rsidRPr="00B170DF">
        <w:rPr>
          <w:rFonts w:hint="eastAsia"/>
          <w:b/>
          <w:bCs/>
          <w:kern w:val="0"/>
          <w:szCs w:val="24"/>
        </w:rPr>
        <w:t>2</w:t>
      </w:r>
      <w:r w:rsidRPr="00B170DF">
        <w:rPr>
          <w:rFonts w:hint="eastAsia"/>
          <w:b/>
          <w:bCs/>
          <w:kern w:val="0"/>
          <w:szCs w:val="24"/>
        </w:rPr>
        <w:t>、项目实施的必要性</w:t>
      </w:r>
    </w:p>
    <w:p w14:paraId="5E1938BC" w14:textId="77777777" w:rsidR="00CD74AA" w:rsidRPr="00B170DF" w:rsidRDefault="00CD74AA" w:rsidP="00CD74AA">
      <w:pPr>
        <w:spacing w:before="163" w:after="163"/>
        <w:ind w:firstLine="480"/>
        <w:rPr>
          <w:szCs w:val="24"/>
        </w:rPr>
      </w:pPr>
      <w:r w:rsidRPr="00B170DF">
        <w:rPr>
          <w:rFonts w:hint="eastAsia"/>
          <w:szCs w:val="24"/>
        </w:rPr>
        <w:t>2022</w:t>
      </w:r>
      <w:r w:rsidRPr="00B170DF">
        <w:rPr>
          <w:rFonts w:hint="eastAsia"/>
          <w:szCs w:val="24"/>
        </w:rPr>
        <w:t>年</w:t>
      </w:r>
      <w:r w:rsidRPr="00B170DF">
        <w:rPr>
          <w:rFonts w:hint="eastAsia"/>
          <w:szCs w:val="24"/>
        </w:rPr>
        <w:t>3</w:t>
      </w:r>
      <w:r w:rsidRPr="00B170DF">
        <w:rPr>
          <w:rFonts w:hint="eastAsia"/>
          <w:szCs w:val="24"/>
        </w:rPr>
        <w:t>月，国务院办公厅印发《“十四五”中医药发展规划》，提出到</w:t>
      </w:r>
      <w:r w:rsidRPr="00B170DF">
        <w:rPr>
          <w:rFonts w:hint="eastAsia"/>
          <w:szCs w:val="24"/>
        </w:rPr>
        <w:t>2025</w:t>
      </w:r>
      <w:r w:rsidRPr="00B170DF">
        <w:rPr>
          <w:rFonts w:hint="eastAsia"/>
          <w:szCs w:val="24"/>
        </w:rPr>
        <w:t>年，中医药健康服务能力明显增强，中医药高质量发展政策和体系进一步完善，中医药振兴发展取得积极成效，在健康中国建设中的独特优势得到充分发挥。《“十四五”中医药发展规划》明确中医药在疾病预防、治疗与康复中的特色优势，其多对应现代高发疾病，未来更多中医优势病种临床路径与诊疗方案公布后，</w:t>
      </w:r>
      <w:r w:rsidRPr="00B170DF">
        <w:rPr>
          <w:rFonts w:hint="eastAsia"/>
          <w:szCs w:val="24"/>
        </w:rPr>
        <w:lastRenderedPageBreak/>
        <w:t>中医需求或将扩大，行业有望加速发展。中医药政策不断出台，推进中医药现代化，助力产业升级，在</w:t>
      </w:r>
      <w:proofErr w:type="gramStart"/>
      <w:r w:rsidRPr="00B170DF">
        <w:rPr>
          <w:rFonts w:hint="eastAsia"/>
          <w:szCs w:val="24"/>
        </w:rPr>
        <w:t>审评审批</w:t>
      </w:r>
      <w:proofErr w:type="gramEnd"/>
      <w:r w:rsidRPr="00B170DF">
        <w:rPr>
          <w:rFonts w:hint="eastAsia"/>
          <w:szCs w:val="24"/>
        </w:rPr>
        <w:t>端、</w:t>
      </w:r>
      <w:proofErr w:type="gramStart"/>
      <w:r w:rsidRPr="00B170DF">
        <w:rPr>
          <w:rFonts w:hint="eastAsia"/>
          <w:szCs w:val="24"/>
        </w:rPr>
        <w:t>医</w:t>
      </w:r>
      <w:proofErr w:type="gramEnd"/>
      <w:r w:rsidRPr="00B170DF">
        <w:rPr>
          <w:rFonts w:hint="eastAsia"/>
          <w:szCs w:val="24"/>
        </w:rPr>
        <w:t>保支付端上给予更多的利好，并明确中医药的发展定位：在治未病中</w:t>
      </w:r>
      <w:proofErr w:type="gramStart"/>
      <w:r w:rsidRPr="00B170DF">
        <w:rPr>
          <w:rFonts w:hint="eastAsia"/>
          <w:szCs w:val="24"/>
        </w:rPr>
        <w:t>作主</w:t>
      </w:r>
      <w:proofErr w:type="gramEnd"/>
      <w:r w:rsidRPr="00B170DF">
        <w:rPr>
          <w:rFonts w:hint="eastAsia"/>
          <w:szCs w:val="24"/>
        </w:rPr>
        <w:t>导作用、在重大疾病治疗起协同作用、在疾病康复中发挥核心作用。在政策持续推动下，中医药行业景气度有望持续上行。</w:t>
      </w:r>
    </w:p>
    <w:p w14:paraId="08A25DC4" w14:textId="77777777" w:rsidR="00CD74AA" w:rsidRPr="00B170DF" w:rsidRDefault="00CD74AA" w:rsidP="00CD74AA">
      <w:pPr>
        <w:spacing w:before="163" w:after="163"/>
        <w:ind w:firstLine="480"/>
        <w:rPr>
          <w:szCs w:val="24"/>
        </w:rPr>
      </w:pPr>
      <w:r w:rsidRPr="00B170DF">
        <w:rPr>
          <w:rFonts w:hint="eastAsia"/>
          <w:szCs w:val="24"/>
        </w:rPr>
        <w:t>2024</w:t>
      </w:r>
      <w:r w:rsidRPr="00B170DF">
        <w:rPr>
          <w:rFonts w:hint="eastAsia"/>
          <w:szCs w:val="24"/>
        </w:rPr>
        <w:t>年</w:t>
      </w:r>
      <w:r w:rsidRPr="00B170DF">
        <w:rPr>
          <w:rFonts w:hint="eastAsia"/>
          <w:szCs w:val="24"/>
        </w:rPr>
        <w:t>5</w:t>
      </w:r>
      <w:r w:rsidRPr="00B170DF">
        <w:rPr>
          <w:rFonts w:hint="eastAsia"/>
          <w:szCs w:val="24"/>
        </w:rPr>
        <w:t>月，福建省漳州市政府发布《漳州市实施“名医入漳”推动海峡两岸中医药融合发展行动方案（试行）》明确，实施“名医入漳”“名院驻</w:t>
      </w:r>
      <w:proofErr w:type="gramStart"/>
      <w:r w:rsidRPr="00B170DF">
        <w:rPr>
          <w:rFonts w:hint="eastAsia"/>
          <w:szCs w:val="24"/>
        </w:rPr>
        <w:t>漳</w:t>
      </w:r>
      <w:proofErr w:type="gramEnd"/>
      <w:r w:rsidRPr="00B170DF">
        <w:rPr>
          <w:rFonts w:hint="eastAsia"/>
          <w:szCs w:val="24"/>
        </w:rPr>
        <w:t>”“名药兴</w:t>
      </w:r>
      <w:proofErr w:type="gramStart"/>
      <w:r w:rsidRPr="00B170DF">
        <w:rPr>
          <w:rFonts w:hint="eastAsia"/>
          <w:szCs w:val="24"/>
        </w:rPr>
        <w:t>漳</w:t>
      </w:r>
      <w:proofErr w:type="gramEnd"/>
      <w:r w:rsidRPr="00B170DF">
        <w:rPr>
          <w:rFonts w:hint="eastAsia"/>
          <w:szCs w:val="24"/>
        </w:rPr>
        <w:t>”“名企进</w:t>
      </w:r>
      <w:proofErr w:type="gramStart"/>
      <w:r w:rsidRPr="00B170DF">
        <w:rPr>
          <w:rFonts w:hint="eastAsia"/>
          <w:szCs w:val="24"/>
        </w:rPr>
        <w:t>漳</w:t>
      </w:r>
      <w:proofErr w:type="gramEnd"/>
      <w:r w:rsidRPr="00B170DF">
        <w:rPr>
          <w:rFonts w:hint="eastAsia"/>
          <w:szCs w:val="24"/>
        </w:rPr>
        <w:t>”“名品聚漳”五大工程；建设“五个基地”和“一个目的地”的“圆山计划”，其中包括中医名药名方与科研成果转化基地、生物制药基地。本</w:t>
      </w:r>
      <w:proofErr w:type="gramStart"/>
      <w:r w:rsidRPr="00B170DF">
        <w:rPr>
          <w:rFonts w:hint="eastAsia"/>
          <w:szCs w:val="24"/>
        </w:rPr>
        <w:t>募投项目</w:t>
      </w:r>
      <w:proofErr w:type="gramEnd"/>
      <w:r w:rsidRPr="00B170DF">
        <w:rPr>
          <w:rFonts w:hint="eastAsia"/>
          <w:szCs w:val="24"/>
        </w:rPr>
        <w:t>选址在漳州市南靖县高新区大健康产业园，围绕天然植提、中药制造、中药日化、健康食品、健康器械等重点领域，构建“</w:t>
      </w:r>
      <w:r w:rsidRPr="00B170DF">
        <w:rPr>
          <w:rFonts w:hint="eastAsia"/>
          <w:szCs w:val="24"/>
        </w:rPr>
        <w:t>1+4</w:t>
      </w:r>
      <w:r w:rsidRPr="00B170DF">
        <w:rPr>
          <w:rFonts w:hint="eastAsia"/>
          <w:szCs w:val="24"/>
        </w:rPr>
        <w:t>”中医药健康产业体系。为助力</w:t>
      </w:r>
      <w:r w:rsidR="008C6C8C" w:rsidRPr="00B170DF">
        <w:rPr>
          <w:rFonts w:hint="eastAsia"/>
          <w:szCs w:val="24"/>
        </w:rPr>
        <w:t>漳州市</w:t>
      </w:r>
      <w:r w:rsidRPr="00B170DF">
        <w:rPr>
          <w:rFonts w:hint="eastAsia"/>
          <w:szCs w:val="24"/>
        </w:rPr>
        <w:t>“圆山计划”和发展中药产业，</w:t>
      </w:r>
      <w:r w:rsidRPr="00B170DF">
        <w:rPr>
          <w:rFonts w:hint="eastAsia"/>
          <w:szCs w:val="24"/>
        </w:rPr>
        <w:t>2024</w:t>
      </w:r>
      <w:r w:rsidRPr="00B170DF">
        <w:rPr>
          <w:rFonts w:hint="eastAsia"/>
          <w:szCs w:val="24"/>
        </w:rPr>
        <w:t>年</w:t>
      </w:r>
      <w:r w:rsidRPr="00B170DF">
        <w:rPr>
          <w:rFonts w:hint="eastAsia"/>
          <w:szCs w:val="24"/>
        </w:rPr>
        <w:t>10</w:t>
      </w:r>
      <w:r w:rsidRPr="00B170DF">
        <w:rPr>
          <w:rFonts w:hint="eastAsia"/>
          <w:szCs w:val="24"/>
        </w:rPr>
        <w:t>月，广生堂在漳州</w:t>
      </w:r>
      <w:r w:rsidR="008C6C8C" w:rsidRPr="00B170DF">
        <w:rPr>
          <w:rFonts w:hint="eastAsia"/>
          <w:szCs w:val="24"/>
        </w:rPr>
        <w:t>市</w:t>
      </w:r>
      <w:r w:rsidRPr="00B170DF">
        <w:rPr>
          <w:rFonts w:hint="eastAsia"/>
          <w:szCs w:val="24"/>
        </w:rPr>
        <w:t>高新区注册设立</w:t>
      </w:r>
      <w:r w:rsidR="008C6C8C" w:rsidRPr="00B170DF">
        <w:rPr>
          <w:rFonts w:hint="eastAsia"/>
          <w:szCs w:val="24"/>
        </w:rPr>
        <w:t>全资</w:t>
      </w:r>
      <w:r w:rsidRPr="00B170DF">
        <w:rPr>
          <w:rFonts w:hint="eastAsia"/>
          <w:szCs w:val="24"/>
        </w:rPr>
        <w:t>子公司</w:t>
      </w:r>
      <w:proofErr w:type="gramStart"/>
      <w:r w:rsidRPr="00B170DF">
        <w:rPr>
          <w:rFonts w:hint="eastAsia"/>
          <w:szCs w:val="24"/>
        </w:rPr>
        <w:t>漳州广</w:t>
      </w:r>
      <w:proofErr w:type="gramEnd"/>
      <w:r w:rsidRPr="00B170DF">
        <w:rPr>
          <w:rFonts w:hint="eastAsia"/>
          <w:szCs w:val="24"/>
        </w:rPr>
        <w:t>生堂。</w:t>
      </w:r>
      <w:r w:rsidRPr="00B170DF">
        <w:rPr>
          <w:rFonts w:hint="eastAsia"/>
          <w:szCs w:val="24"/>
        </w:rPr>
        <w:t>2024</w:t>
      </w:r>
      <w:r w:rsidRPr="00B170DF">
        <w:rPr>
          <w:rFonts w:hint="eastAsia"/>
          <w:szCs w:val="24"/>
        </w:rPr>
        <w:t>年</w:t>
      </w:r>
      <w:r w:rsidRPr="00B170DF">
        <w:rPr>
          <w:rFonts w:hint="eastAsia"/>
          <w:szCs w:val="24"/>
        </w:rPr>
        <w:t>11</w:t>
      </w:r>
      <w:r w:rsidRPr="00B170DF">
        <w:rPr>
          <w:rFonts w:hint="eastAsia"/>
          <w:szCs w:val="24"/>
        </w:rPr>
        <w:t>月，圆山大健康产业基金协议受让广生堂</w:t>
      </w:r>
      <w:r w:rsidRPr="00B170DF">
        <w:rPr>
          <w:rFonts w:hint="eastAsia"/>
          <w:szCs w:val="24"/>
        </w:rPr>
        <w:t>5.02%</w:t>
      </w:r>
      <w:r w:rsidRPr="00B170DF">
        <w:rPr>
          <w:rFonts w:hint="eastAsia"/>
          <w:szCs w:val="24"/>
        </w:rPr>
        <w:t>股份，成为公司战略投资人，将推动公司与漳州大健康产业链的产业合作共建，增强产业协同发展、优势互补，促进公司深化中药板块战略布局，提升公司在大健康领域的竞争力和影响力，力争成为公司新的业务增长极。</w:t>
      </w:r>
    </w:p>
    <w:p w14:paraId="57F3D708" w14:textId="77777777" w:rsidR="00145AA7" w:rsidRPr="00B170DF" w:rsidRDefault="00CD74AA" w:rsidP="00CD74AA">
      <w:pPr>
        <w:spacing w:before="163" w:after="163"/>
        <w:ind w:firstLine="480"/>
        <w:rPr>
          <w:szCs w:val="24"/>
        </w:rPr>
      </w:pPr>
      <w:r w:rsidRPr="00B170DF">
        <w:rPr>
          <w:rFonts w:hint="eastAsia"/>
          <w:szCs w:val="24"/>
        </w:rPr>
        <w:t>实施本项目有利于提升公司在大健康领域的竞争力和影响力，使中药产业成为公司新的业务增长极，具有必要性。</w:t>
      </w:r>
    </w:p>
    <w:p w14:paraId="408D3BE7" w14:textId="77777777" w:rsidR="00145AA7" w:rsidRPr="00B170DF" w:rsidRDefault="00145AA7" w:rsidP="00983937">
      <w:pPr>
        <w:keepNext/>
        <w:keepLines/>
        <w:spacing w:before="163" w:afterLines="0" w:after="0"/>
        <w:ind w:firstLine="482"/>
        <w:rPr>
          <w:b/>
          <w:bCs/>
          <w:kern w:val="0"/>
          <w:szCs w:val="24"/>
        </w:rPr>
      </w:pPr>
      <w:r w:rsidRPr="00B170DF">
        <w:rPr>
          <w:rFonts w:hint="eastAsia"/>
          <w:b/>
          <w:bCs/>
          <w:kern w:val="0"/>
          <w:szCs w:val="24"/>
        </w:rPr>
        <w:t>3</w:t>
      </w:r>
      <w:r w:rsidRPr="00B170DF">
        <w:rPr>
          <w:rFonts w:hint="eastAsia"/>
          <w:b/>
          <w:bCs/>
          <w:kern w:val="0"/>
          <w:szCs w:val="24"/>
        </w:rPr>
        <w:t>、项目实施的可行性</w:t>
      </w:r>
    </w:p>
    <w:p w14:paraId="053FD946" w14:textId="77777777" w:rsidR="00145AA7" w:rsidRPr="00B170DF" w:rsidRDefault="00145AA7" w:rsidP="00145AA7">
      <w:pPr>
        <w:spacing w:before="163" w:afterLines="0" w:after="160"/>
        <w:ind w:firstLine="480"/>
        <w:rPr>
          <w:rFonts w:ascii="宋体" w:hAnsi="宋体" w:hint="eastAsia"/>
          <w:szCs w:val="20"/>
        </w:rPr>
      </w:pPr>
      <w:r w:rsidRPr="00B170DF">
        <w:rPr>
          <w:rFonts w:ascii="宋体" w:hAnsi="宋体" w:hint="eastAsia"/>
          <w:szCs w:val="20"/>
        </w:rPr>
        <w:t>我国老龄化社会来临，疾病防治需求提升。国家统计局数据显示，2022年底中国65岁以上老年人口达到2.1亿人次，老年人口占全国人口的比例亦提升到14.2%，标志着我国跨入中度老龄化社会，疾病预防、治疗与康复需求进一步提升，中医药提前介入下有望延缓或阻断疾病发展，</w:t>
      </w:r>
      <w:r w:rsidR="0035607F" w:rsidRPr="00B170DF">
        <w:rPr>
          <w:rFonts w:ascii="宋体" w:hAnsi="宋体" w:hint="eastAsia"/>
          <w:szCs w:val="20"/>
        </w:rPr>
        <w:t>可以达到</w:t>
      </w:r>
      <w:proofErr w:type="gramStart"/>
      <w:r w:rsidR="0035607F" w:rsidRPr="00B170DF">
        <w:rPr>
          <w:rFonts w:ascii="宋体" w:hAnsi="宋体" w:hint="eastAsia"/>
          <w:szCs w:val="20"/>
        </w:rPr>
        <w:t>医保控费</w:t>
      </w:r>
      <w:proofErr w:type="gramEnd"/>
      <w:r w:rsidR="0035607F" w:rsidRPr="00B170DF">
        <w:rPr>
          <w:rFonts w:ascii="宋体" w:hAnsi="宋体" w:hint="eastAsia"/>
          <w:szCs w:val="20"/>
        </w:rPr>
        <w:t>的目标。</w:t>
      </w:r>
      <w:r w:rsidRPr="00B170DF">
        <w:rPr>
          <w:rFonts w:ascii="宋体" w:hAnsi="宋体" w:hint="eastAsia"/>
          <w:szCs w:val="20"/>
        </w:rPr>
        <w:t>医疗保健需求逐步升级，</w:t>
      </w:r>
      <w:r w:rsidR="0035607F" w:rsidRPr="00B170DF">
        <w:rPr>
          <w:rFonts w:ascii="宋体" w:hAnsi="宋体" w:hint="eastAsia"/>
          <w:szCs w:val="20"/>
        </w:rPr>
        <w:t>中药养生也符合大消费概念。因此，政府鼓励中药产业发展，</w:t>
      </w:r>
      <w:r w:rsidRPr="00B170DF">
        <w:rPr>
          <w:rFonts w:ascii="宋体" w:hAnsi="宋体" w:hint="eastAsia"/>
          <w:szCs w:val="20"/>
        </w:rPr>
        <w:t>中医药产业进入红利窗口期。2023年我国中药市场规模达到4,515.5亿人民币。预计到2027年，其市场规模预计将达到5,505.2亿人民币，2023年至2027年期间的复合年增长率为5.1%。</w:t>
      </w:r>
    </w:p>
    <w:p w14:paraId="7D7F096C" w14:textId="7C0B440C" w:rsidR="00145AA7" w:rsidRPr="00B170DF" w:rsidRDefault="008C6C8C" w:rsidP="008C6C8C">
      <w:pPr>
        <w:spacing w:before="163" w:afterLines="0" w:after="160"/>
        <w:ind w:firstLine="480"/>
        <w:rPr>
          <w:rFonts w:ascii="宋体" w:hAnsi="宋体" w:hint="eastAsia"/>
          <w:szCs w:val="20"/>
        </w:rPr>
      </w:pPr>
      <w:r w:rsidRPr="00B170DF">
        <w:rPr>
          <w:rFonts w:ascii="宋体" w:hAnsi="宋体" w:hint="eastAsia"/>
          <w:szCs w:val="20"/>
        </w:rPr>
        <w:lastRenderedPageBreak/>
        <w:t>公司全资子公司江苏中兴部分产品也为中药产品，如</w:t>
      </w:r>
      <w:proofErr w:type="gramStart"/>
      <w:r w:rsidRPr="00B170DF">
        <w:rPr>
          <w:rFonts w:ascii="宋体" w:hAnsi="宋体" w:hint="eastAsia"/>
          <w:szCs w:val="20"/>
        </w:rPr>
        <w:t>复方益</w:t>
      </w:r>
      <w:proofErr w:type="gramEnd"/>
      <w:r w:rsidRPr="00B170DF">
        <w:rPr>
          <w:rFonts w:ascii="宋体" w:hAnsi="宋体" w:hint="eastAsia"/>
          <w:szCs w:val="20"/>
        </w:rPr>
        <w:t>肝灵片、参</w:t>
      </w:r>
      <w:proofErr w:type="gramStart"/>
      <w:r w:rsidRPr="00B170DF">
        <w:rPr>
          <w:rFonts w:ascii="宋体" w:hAnsi="宋体" w:hint="eastAsia"/>
          <w:szCs w:val="20"/>
        </w:rPr>
        <w:t>芪</w:t>
      </w:r>
      <w:proofErr w:type="gramEnd"/>
      <w:r w:rsidRPr="00B170DF">
        <w:rPr>
          <w:rFonts w:ascii="宋体" w:hAnsi="宋体" w:hint="eastAsia"/>
          <w:szCs w:val="20"/>
        </w:rPr>
        <w:t>健胃颗粒</w:t>
      </w:r>
      <w:r w:rsidR="00956E95" w:rsidRPr="00B170DF">
        <w:rPr>
          <w:rFonts w:ascii="宋体" w:hAnsi="宋体" w:hint="eastAsia"/>
          <w:szCs w:val="20"/>
        </w:rPr>
        <w:t>等</w:t>
      </w:r>
      <w:r w:rsidRPr="00B170DF">
        <w:rPr>
          <w:rFonts w:hint="eastAsia"/>
        </w:rPr>
        <w:t>。同时，水飞</w:t>
      </w:r>
      <w:proofErr w:type="gramStart"/>
      <w:r w:rsidRPr="00B170DF">
        <w:rPr>
          <w:rFonts w:hint="eastAsia"/>
        </w:rPr>
        <w:t>蓟宾葡</w:t>
      </w:r>
      <w:proofErr w:type="gramEnd"/>
      <w:r w:rsidRPr="00B170DF">
        <w:rPr>
          <w:rFonts w:hint="eastAsia"/>
        </w:rPr>
        <w:t>甲胺片主要成分通过菊</w:t>
      </w:r>
      <w:r w:rsidR="00956E95" w:rsidRPr="00B170DF">
        <w:rPr>
          <w:rFonts w:hint="eastAsia"/>
        </w:rPr>
        <w:t>科</w:t>
      </w:r>
      <w:r w:rsidRPr="00B170DF">
        <w:rPr>
          <w:rFonts w:hint="eastAsia"/>
        </w:rPr>
        <w:t>植物水飞</w:t>
      </w:r>
      <w:proofErr w:type="gramStart"/>
      <w:r w:rsidRPr="00B170DF">
        <w:rPr>
          <w:rFonts w:hint="eastAsia"/>
        </w:rPr>
        <w:t>蓟</w:t>
      </w:r>
      <w:proofErr w:type="gramEnd"/>
      <w:r w:rsidRPr="00B170DF">
        <w:rPr>
          <w:rFonts w:hint="eastAsia"/>
        </w:rPr>
        <w:t>果实提取分离取得，生产工艺及市场定位均与中药产品类似，同时结合了现代制药技术的优势，</w:t>
      </w:r>
      <w:r w:rsidRPr="00B170DF">
        <w:rPr>
          <w:rFonts w:hint="eastAsia"/>
        </w:rPr>
        <w:t>2021</w:t>
      </w:r>
      <w:r w:rsidRPr="00B170DF">
        <w:rPr>
          <w:rFonts w:hint="eastAsia"/>
        </w:rPr>
        <w:t>年、</w:t>
      </w:r>
      <w:r w:rsidRPr="00B170DF">
        <w:rPr>
          <w:rFonts w:hint="eastAsia"/>
        </w:rPr>
        <w:t>2022</w:t>
      </w:r>
      <w:r w:rsidRPr="00B170DF">
        <w:rPr>
          <w:rFonts w:hint="eastAsia"/>
        </w:rPr>
        <w:t>年、</w:t>
      </w:r>
      <w:r w:rsidRPr="00B170DF">
        <w:rPr>
          <w:rFonts w:hint="eastAsia"/>
        </w:rPr>
        <w:t>2023</w:t>
      </w:r>
      <w:r w:rsidRPr="00B170DF">
        <w:rPr>
          <w:rFonts w:hint="eastAsia"/>
        </w:rPr>
        <w:t>年和</w:t>
      </w:r>
      <w:r w:rsidRPr="00B170DF">
        <w:rPr>
          <w:rFonts w:hint="eastAsia"/>
        </w:rPr>
        <w:t>2024</w:t>
      </w:r>
      <w:r w:rsidRPr="00B170DF">
        <w:rPr>
          <w:rFonts w:hint="eastAsia"/>
        </w:rPr>
        <w:t>年</w:t>
      </w:r>
      <w:r w:rsidRPr="00B170DF">
        <w:rPr>
          <w:rFonts w:hint="eastAsia"/>
        </w:rPr>
        <w:t>1-9</w:t>
      </w:r>
      <w:r w:rsidRPr="00B170DF">
        <w:rPr>
          <w:rFonts w:hint="eastAsia"/>
        </w:rPr>
        <w:t>月，公司水飞</w:t>
      </w:r>
      <w:proofErr w:type="gramStart"/>
      <w:r w:rsidRPr="00B170DF">
        <w:rPr>
          <w:rFonts w:hint="eastAsia"/>
        </w:rPr>
        <w:t>蓟宾葡</w:t>
      </w:r>
      <w:proofErr w:type="gramEnd"/>
      <w:r w:rsidRPr="00B170DF">
        <w:rPr>
          <w:rFonts w:hint="eastAsia"/>
        </w:rPr>
        <w:t>甲胺片</w:t>
      </w:r>
      <w:r w:rsidR="009C2FBF" w:rsidRPr="00B170DF">
        <w:rPr>
          <w:rFonts w:hint="eastAsia"/>
        </w:rPr>
        <w:t>、</w:t>
      </w:r>
      <w:proofErr w:type="gramStart"/>
      <w:r w:rsidR="009C2FBF" w:rsidRPr="00B170DF">
        <w:rPr>
          <w:rFonts w:hint="eastAsia"/>
        </w:rPr>
        <w:t>复方益</w:t>
      </w:r>
      <w:proofErr w:type="gramEnd"/>
      <w:r w:rsidR="009C2FBF" w:rsidRPr="00B170DF">
        <w:rPr>
          <w:rFonts w:hint="eastAsia"/>
        </w:rPr>
        <w:t>肝灵片、参</w:t>
      </w:r>
      <w:proofErr w:type="gramStart"/>
      <w:r w:rsidR="009C2FBF" w:rsidRPr="00B170DF">
        <w:rPr>
          <w:rFonts w:hint="eastAsia"/>
        </w:rPr>
        <w:t>芪</w:t>
      </w:r>
      <w:proofErr w:type="gramEnd"/>
      <w:r w:rsidR="009C2FBF" w:rsidRPr="00B170DF">
        <w:rPr>
          <w:rFonts w:hint="eastAsia"/>
        </w:rPr>
        <w:t>健胃颗粒等</w:t>
      </w:r>
      <w:r w:rsidRPr="00B170DF">
        <w:rPr>
          <w:rFonts w:hint="eastAsia"/>
        </w:rPr>
        <w:t>实现的销售额分别为</w:t>
      </w:r>
      <w:r w:rsidR="009C2FBF" w:rsidRPr="00B170DF">
        <w:rPr>
          <w:rFonts w:hint="eastAsia"/>
          <w:szCs w:val="20"/>
        </w:rPr>
        <w:t>18,737.76</w:t>
      </w:r>
      <w:r w:rsidRPr="00B170DF">
        <w:rPr>
          <w:rFonts w:hint="eastAsia"/>
          <w:szCs w:val="20"/>
        </w:rPr>
        <w:t>万元、</w:t>
      </w:r>
      <w:r w:rsidR="009C2FBF" w:rsidRPr="00B170DF">
        <w:rPr>
          <w:rFonts w:hint="eastAsia"/>
          <w:szCs w:val="20"/>
        </w:rPr>
        <w:t>19,966.49</w:t>
      </w:r>
      <w:r w:rsidRPr="00B170DF">
        <w:rPr>
          <w:rFonts w:hint="eastAsia"/>
          <w:szCs w:val="20"/>
        </w:rPr>
        <w:t>万元、</w:t>
      </w:r>
      <w:bookmarkStart w:id="52" w:name="_Hlk194503027"/>
      <w:r w:rsidR="00F27358" w:rsidRPr="00F27358">
        <w:rPr>
          <w:rFonts w:hint="eastAsia"/>
          <w:szCs w:val="20"/>
        </w:rPr>
        <w:t>22,467.34</w:t>
      </w:r>
      <w:bookmarkEnd w:id="52"/>
      <w:r w:rsidRPr="00B170DF">
        <w:rPr>
          <w:rFonts w:hint="eastAsia"/>
          <w:szCs w:val="20"/>
        </w:rPr>
        <w:t>万元和</w:t>
      </w:r>
      <w:r w:rsidR="009C2FBF" w:rsidRPr="00B170DF">
        <w:rPr>
          <w:rFonts w:hint="eastAsia"/>
          <w:szCs w:val="20"/>
        </w:rPr>
        <w:t>15,977.59</w:t>
      </w:r>
      <w:r w:rsidRPr="00B170DF">
        <w:rPr>
          <w:rFonts w:hint="eastAsia"/>
          <w:szCs w:val="20"/>
        </w:rPr>
        <w:t>万元</w:t>
      </w:r>
      <w:r w:rsidRPr="00B170DF">
        <w:rPr>
          <w:rFonts w:hint="eastAsia"/>
        </w:rPr>
        <w:t>。</w:t>
      </w:r>
      <w:r w:rsidRPr="00B170DF">
        <w:rPr>
          <w:rFonts w:ascii="宋体" w:hAnsi="宋体" w:hint="eastAsia"/>
          <w:szCs w:val="20"/>
        </w:rPr>
        <w:t>公司从事药品生产多年，在药品的生产工艺及药品质量管控上管理经验丰富，顺利通过多次药监部门的飞行检查。公司收购中药传统名方药品批号并建设配套生产线，通过优质工艺、高品质道地药材提升产品品质，以实现更高的附加值，适应国内快速增长的大健康消费升级需求，并通过引进圆</w:t>
      </w:r>
      <w:proofErr w:type="gramStart"/>
      <w:r w:rsidRPr="00B170DF">
        <w:rPr>
          <w:rFonts w:ascii="宋体" w:hAnsi="宋体" w:hint="eastAsia"/>
          <w:szCs w:val="20"/>
        </w:rPr>
        <w:t>山基金</w:t>
      </w:r>
      <w:proofErr w:type="gramEnd"/>
      <w:r w:rsidRPr="00B170DF">
        <w:rPr>
          <w:rFonts w:ascii="宋体" w:hAnsi="宋体" w:hint="eastAsia"/>
          <w:szCs w:val="20"/>
        </w:rPr>
        <w:t>为战投，借助与漳州大健康产业的战略合作推进公司在中药大健康领域的战略布局。</w:t>
      </w:r>
    </w:p>
    <w:p w14:paraId="0D9980E1" w14:textId="77777777" w:rsidR="00145AA7" w:rsidRPr="00B170DF" w:rsidRDefault="00145AA7" w:rsidP="00983937">
      <w:pPr>
        <w:keepNext/>
        <w:keepLines/>
        <w:spacing w:before="163" w:afterLines="0" w:after="0"/>
        <w:ind w:firstLine="482"/>
        <w:rPr>
          <w:b/>
          <w:bCs/>
          <w:kern w:val="0"/>
          <w:szCs w:val="24"/>
        </w:rPr>
      </w:pPr>
      <w:r w:rsidRPr="00B170DF">
        <w:rPr>
          <w:rFonts w:hint="eastAsia"/>
          <w:b/>
          <w:bCs/>
          <w:kern w:val="0"/>
          <w:szCs w:val="24"/>
        </w:rPr>
        <w:t>4</w:t>
      </w:r>
      <w:r w:rsidRPr="00B170DF">
        <w:rPr>
          <w:rFonts w:hint="eastAsia"/>
          <w:b/>
          <w:bCs/>
          <w:kern w:val="0"/>
          <w:szCs w:val="24"/>
        </w:rPr>
        <w:t>、项目投资及实施安排</w:t>
      </w:r>
    </w:p>
    <w:p w14:paraId="54F1E8F7" w14:textId="77777777" w:rsidR="008C6C8C" w:rsidRPr="00B170DF" w:rsidRDefault="00956E95" w:rsidP="008C6C8C">
      <w:pPr>
        <w:autoSpaceDE w:val="0"/>
        <w:adjustRightInd w:val="0"/>
        <w:spacing w:before="163" w:after="163"/>
        <w:ind w:firstLine="480"/>
        <w:rPr>
          <w:rFonts w:ascii="宋体" w:hAnsi="宋体" w:hint="eastAsia"/>
          <w:szCs w:val="20"/>
        </w:rPr>
      </w:pPr>
      <w:r w:rsidRPr="00B170DF">
        <w:rPr>
          <w:rFonts w:ascii="宋体" w:hAnsi="宋体" w:hint="eastAsia"/>
          <w:szCs w:val="20"/>
        </w:rPr>
        <w:t>本项目投资额为10,525.29万元，拟使用募集资金投资额为</w:t>
      </w:r>
      <w:r w:rsidRPr="00B170DF">
        <w:rPr>
          <w:rFonts w:ascii="宋体" w:hAnsi="宋体"/>
          <w:szCs w:val="20"/>
        </w:rPr>
        <w:t>8,849.05</w:t>
      </w:r>
      <w:r w:rsidRPr="00B170DF">
        <w:rPr>
          <w:rFonts w:ascii="宋体" w:hAnsi="宋体" w:hint="eastAsia"/>
          <w:szCs w:val="20"/>
        </w:rPr>
        <w:t>万元。</w:t>
      </w:r>
      <w:r w:rsidR="008C6C8C" w:rsidRPr="00B170DF">
        <w:rPr>
          <w:rFonts w:ascii="宋体" w:hAnsi="宋体"/>
          <w:szCs w:val="20"/>
        </w:rPr>
        <w:t>本项目</w:t>
      </w:r>
      <w:r w:rsidR="008C6C8C" w:rsidRPr="00B170DF">
        <w:rPr>
          <w:rFonts w:ascii="宋体" w:hAnsi="宋体" w:hint="eastAsia"/>
          <w:szCs w:val="20"/>
        </w:rPr>
        <w:t>拟收购</w:t>
      </w:r>
      <w:bookmarkStart w:id="53" w:name="_Hlk194162767"/>
      <w:r w:rsidR="008C6C8C" w:rsidRPr="00B170DF">
        <w:rPr>
          <w:rFonts w:ascii="宋体" w:hAnsi="宋体" w:hint="eastAsia"/>
          <w:szCs w:val="20"/>
        </w:rPr>
        <w:t>中药传统名方药品批号</w:t>
      </w:r>
      <w:bookmarkEnd w:id="53"/>
      <w:r w:rsidR="008C6C8C" w:rsidRPr="00B170DF">
        <w:rPr>
          <w:rFonts w:ascii="宋体" w:hAnsi="宋体" w:hint="eastAsia"/>
          <w:szCs w:val="20"/>
        </w:rPr>
        <w:t>，并租赁福建省漳州市高新区标准化工业厂房新建中药丸剂生产线。</w:t>
      </w:r>
    </w:p>
    <w:p w14:paraId="5F833288" w14:textId="77777777" w:rsidR="00983937" w:rsidRPr="00B170DF" w:rsidRDefault="00983937" w:rsidP="00983937">
      <w:pPr>
        <w:keepNext/>
        <w:keepLines/>
        <w:spacing w:before="163" w:afterLines="0" w:after="0"/>
        <w:ind w:firstLine="482"/>
        <w:rPr>
          <w:b/>
          <w:bCs/>
          <w:kern w:val="0"/>
          <w:szCs w:val="24"/>
        </w:rPr>
      </w:pPr>
      <w:r w:rsidRPr="00B170DF">
        <w:rPr>
          <w:rFonts w:hint="eastAsia"/>
          <w:b/>
          <w:bCs/>
          <w:kern w:val="0"/>
          <w:szCs w:val="24"/>
        </w:rPr>
        <w:t>5</w:t>
      </w:r>
      <w:r w:rsidRPr="00B170DF">
        <w:rPr>
          <w:rFonts w:hint="eastAsia"/>
          <w:b/>
          <w:bCs/>
          <w:kern w:val="0"/>
          <w:szCs w:val="24"/>
        </w:rPr>
        <w:t>、项目实施主体</w:t>
      </w:r>
    </w:p>
    <w:p w14:paraId="47366D56" w14:textId="77777777" w:rsidR="00983937" w:rsidRPr="00B170DF" w:rsidRDefault="00FD2DFB" w:rsidP="00983937">
      <w:pPr>
        <w:spacing w:before="163" w:afterLines="0" w:after="160"/>
        <w:ind w:firstLine="480"/>
        <w:rPr>
          <w:szCs w:val="20"/>
        </w:rPr>
      </w:pPr>
      <w:r w:rsidRPr="00B170DF">
        <w:rPr>
          <w:rFonts w:hint="eastAsia"/>
          <w:szCs w:val="20"/>
        </w:rPr>
        <w:t>中药传统名方产业化的实施主体为公司全资子公司</w:t>
      </w:r>
      <w:proofErr w:type="gramStart"/>
      <w:r w:rsidRPr="00B170DF">
        <w:rPr>
          <w:rFonts w:hint="eastAsia"/>
          <w:szCs w:val="20"/>
        </w:rPr>
        <w:t>漳州广</w:t>
      </w:r>
      <w:proofErr w:type="gramEnd"/>
      <w:r w:rsidRPr="00B170DF">
        <w:rPr>
          <w:rFonts w:hint="eastAsia"/>
          <w:szCs w:val="20"/>
        </w:rPr>
        <w:t>生堂。</w:t>
      </w:r>
      <w:proofErr w:type="gramStart"/>
      <w:r w:rsidRPr="00B170DF">
        <w:rPr>
          <w:rFonts w:hint="eastAsia"/>
          <w:szCs w:val="20"/>
        </w:rPr>
        <w:t>漳州广</w:t>
      </w:r>
      <w:proofErr w:type="gramEnd"/>
      <w:r w:rsidRPr="00B170DF">
        <w:rPr>
          <w:rFonts w:hint="eastAsia"/>
          <w:szCs w:val="20"/>
        </w:rPr>
        <w:t>生堂系主要负责公司传统中药产品研发、生产及销售的全资子公司，成立于</w:t>
      </w:r>
      <w:r w:rsidRPr="00B170DF">
        <w:rPr>
          <w:rFonts w:hint="eastAsia"/>
          <w:szCs w:val="20"/>
        </w:rPr>
        <w:t>2024</w:t>
      </w:r>
      <w:r w:rsidRPr="00B170DF">
        <w:rPr>
          <w:rFonts w:hint="eastAsia"/>
          <w:szCs w:val="20"/>
        </w:rPr>
        <w:t>年</w:t>
      </w:r>
      <w:r w:rsidRPr="00B170DF">
        <w:rPr>
          <w:rFonts w:hint="eastAsia"/>
          <w:szCs w:val="20"/>
        </w:rPr>
        <w:t>10</w:t>
      </w:r>
      <w:r w:rsidRPr="00B170DF">
        <w:rPr>
          <w:rFonts w:hint="eastAsia"/>
          <w:szCs w:val="20"/>
        </w:rPr>
        <w:t>月，经营范围：许可项目：药品批发；药品生产；药品零售；食品销售；食品生产；保健食品生产；药品进出口；药品互联网信息服务。</w:t>
      </w:r>
    </w:p>
    <w:p w14:paraId="0E0D6598" w14:textId="77777777" w:rsidR="008C6C8C" w:rsidRPr="00B170DF" w:rsidRDefault="008C6C8C" w:rsidP="0072011E">
      <w:pPr>
        <w:keepNext/>
        <w:keepLines/>
        <w:spacing w:before="163" w:afterLines="0" w:after="0"/>
        <w:ind w:firstLine="482"/>
        <w:rPr>
          <w:b/>
          <w:bCs/>
          <w:kern w:val="0"/>
          <w:szCs w:val="24"/>
        </w:rPr>
      </w:pPr>
      <w:r w:rsidRPr="00B170DF">
        <w:rPr>
          <w:rFonts w:hint="eastAsia"/>
          <w:b/>
          <w:bCs/>
          <w:kern w:val="0"/>
          <w:szCs w:val="24"/>
        </w:rPr>
        <w:t>6</w:t>
      </w:r>
      <w:r w:rsidRPr="00B170DF">
        <w:rPr>
          <w:rFonts w:hint="eastAsia"/>
          <w:b/>
          <w:bCs/>
          <w:kern w:val="0"/>
          <w:szCs w:val="24"/>
        </w:rPr>
        <w:t>、项目用地、备案和环评情况</w:t>
      </w:r>
    </w:p>
    <w:p w14:paraId="32FF3A88" w14:textId="77777777" w:rsidR="008C6C8C" w:rsidRPr="00B170DF" w:rsidRDefault="00956E95" w:rsidP="008C6C8C">
      <w:pPr>
        <w:spacing w:before="163" w:afterLines="0" w:after="160"/>
        <w:ind w:firstLine="480"/>
        <w:rPr>
          <w:szCs w:val="20"/>
        </w:rPr>
      </w:pPr>
      <w:r w:rsidRPr="00B170DF">
        <w:rPr>
          <w:rFonts w:hint="eastAsia"/>
          <w:szCs w:val="20"/>
        </w:rPr>
        <w:t>本项目拟租赁福建省漳州市高新区标准化工业厂房新建中药丸剂生产线，不属于新购买土地建设厂房，不涉及新增土地用地审批手续。截至本预案公告日，本项目立项备案及环</w:t>
      </w:r>
      <w:proofErr w:type="gramStart"/>
      <w:r w:rsidRPr="00B170DF">
        <w:rPr>
          <w:rFonts w:hint="eastAsia"/>
          <w:szCs w:val="20"/>
        </w:rPr>
        <w:t>评手续</w:t>
      </w:r>
      <w:proofErr w:type="gramEnd"/>
      <w:r w:rsidRPr="00B170DF">
        <w:rPr>
          <w:rFonts w:hint="eastAsia"/>
          <w:szCs w:val="20"/>
        </w:rPr>
        <w:t>正在办理中。</w:t>
      </w:r>
    </w:p>
    <w:p w14:paraId="047543BC" w14:textId="77777777" w:rsidR="008C6C8C" w:rsidRPr="00B170DF" w:rsidRDefault="008C6C8C" w:rsidP="0072011E">
      <w:pPr>
        <w:keepNext/>
        <w:keepLines/>
        <w:spacing w:before="163" w:afterLines="0" w:after="0"/>
        <w:ind w:firstLine="482"/>
        <w:rPr>
          <w:b/>
          <w:bCs/>
          <w:kern w:val="0"/>
          <w:szCs w:val="24"/>
        </w:rPr>
      </w:pPr>
      <w:r w:rsidRPr="00B170DF">
        <w:rPr>
          <w:rFonts w:hint="eastAsia"/>
          <w:b/>
          <w:bCs/>
          <w:kern w:val="0"/>
          <w:szCs w:val="24"/>
        </w:rPr>
        <w:lastRenderedPageBreak/>
        <w:t>7</w:t>
      </w:r>
      <w:r w:rsidRPr="00B170DF">
        <w:rPr>
          <w:rFonts w:hint="eastAsia"/>
          <w:b/>
          <w:bCs/>
          <w:kern w:val="0"/>
          <w:szCs w:val="24"/>
        </w:rPr>
        <w:t>、项目经济效益情况</w:t>
      </w:r>
    </w:p>
    <w:p w14:paraId="21B42BFC" w14:textId="77777777" w:rsidR="008C6C8C" w:rsidRPr="00B170DF" w:rsidRDefault="008C6C8C" w:rsidP="008C6C8C">
      <w:pPr>
        <w:spacing w:before="163" w:afterLines="0" w:after="160"/>
        <w:ind w:firstLine="480"/>
        <w:rPr>
          <w:szCs w:val="20"/>
        </w:rPr>
      </w:pPr>
      <w:r w:rsidRPr="00B170DF">
        <w:rPr>
          <w:rFonts w:hint="eastAsia"/>
          <w:szCs w:val="20"/>
        </w:rPr>
        <w:t>本项目总投资</w:t>
      </w:r>
      <w:r w:rsidRPr="00B170DF">
        <w:rPr>
          <w:szCs w:val="20"/>
        </w:rPr>
        <w:t>10,525.29</w:t>
      </w:r>
      <w:r w:rsidRPr="00B170DF">
        <w:rPr>
          <w:rFonts w:hint="eastAsia"/>
          <w:szCs w:val="20"/>
        </w:rPr>
        <w:t>万元，具有良好的经济效益，项目实施后，能够为公司带来稳定的现金流入，具有经济可行性。</w:t>
      </w:r>
    </w:p>
    <w:p w14:paraId="18082E3A" w14:textId="77777777" w:rsidR="003A4D4F" w:rsidRPr="00B170DF" w:rsidRDefault="003A4D4F" w:rsidP="003A4D4F">
      <w:pPr>
        <w:keepNext/>
        <w:keepLines/>
        <w:widowControl/>
        <w:spacing w:before="163" w:after="163"/>
        <w:ind w:firstLine="482"/>
        <w:jc w:val="left"/>
        <w:outlineLvl w:val="2"/>
        <w:rPr>
          <w:rFonts w:eastAsia="黑体"/>
          <w:b/>
          <w:bCs/>
          <w:szCs w:val="28"/>
        </w:rPr>
      </w:pPr>
      <w:r w:rsidRPr="00B170DF">
        <w:rPr>
          <w:rFonts w:eastAsia="黑体" w:hint="eastAsia"/>
          <w:b/>
          <w:bCs/>
          <w:szCs w:val="28"/>
        </w:rPr>
        <w:t>（三）补充流动资金</w:t>
      </w:r>
    </w:p>
    <w:p w14:paraId="0CE22C15" w14:textId="77777777" w:rsidR="00624783" w:rsidRPr="00B170DF" w:rsidRDefault="00624783" w:rsidP="00624783">
      <w:pPr>
        <w:keepNext/>
        <w:keepLines/>
        <w:spacing w:before="163" w:after="163"/>
        <w:ind w:firstLine="482"/>
        <w:rPr>
          <w:b/>
          <w:bCs/>
          <w:kern w:val="0"/>
          <w:szCs w:val="24"/>
        </w:rPr>
      </w:pPr>
      <w:r w:rsidRPr="00B170DF">
        <w:rPr>
          <w:rFonts w:hint="eastAsia"/>
          <w:b/>
          <w:bCs/>
          <w:kern w:val="0"/>
          <w:szCs w:val="24"/>
        </w:rPr>
        <w:t>1</w:t>
      </w:r>
      <w:r w:rsidRPr="00B170DF">
        <w:rPr>
          <w:rFonts w:hint="eastAsia"/>
          <w:b/>
          <w:bCs/>
          <w:kern w:val="0"/>
          <w:szCs w:val="24"/>
        </w:rPr>
        <w:t>、</w:t>
      </w:r>
      <w:r w:rsidRPr="00B170DF">
        <w:rPr>
          <w:b/>
          <w:bCs/>
          <w:kern w:val="0"/>
          <w:szCs w:val="24"/>
        </w:rPr>
        <w:t>项目概况</w:t>
      </w:r>
    </w:p>
    <w:p w14:paraId="5BC1E045" w14:textId="77777777" w:rsidR="006D2F2F" w:rsidRPr="00B170DF" w:rsidRDefault="00624783" w:rsidP="00624783">
      <w:pPr>
        <w:spacing w:before="163" w:after="163"/>
        <w:ind w:firstLine="480"/>
        <w:rPr>
          <w:szCs w:val="20"/>
        </w:rPr>
      </w:pPr>
      <w:r w:rsidRPr="00B170DF">
        <w:rPr>
          <w:rFonts w:hint="eastAsia"/>
          <w:szCs w:val="20"/>
        </w:rPr>
        <w:t>本次拟使用募集资金</w:t>
      </w:r>
      <w:r w:rsidRPr="00B170DF">
        <w:rPr>
          <w:rFonts w:hint="eastAsia"/>
          <w:szCs w:val="20"/>
        </w:rPr>
        <w:t>29</w:t>
      </w:r>
      <w:r w:rsidRPr="00B170DF">
        <w:rPr>
          <w:szCs w:val="20"/>
        </w:rPr>
        <w:t>,000.00</w:t>
      </w:r>
      <w:r w:rsidRPr="00B170DF">
        <w:rPr>
          <w:rFonts w:hint="eastAsia"/>
          <w:szCs w:val="20"/>
        </w:rPr>
        <w:t>万元补充流动资金，以满足公司业务持续发展、研发投入的资金需求，并有助于公司未来发展目标的实现，巩固公司的行业地位。</w:t>
      </w:r>
    </w:p>
    <w:p w14:paraId="37C58B36" w14:textId="77777777" w:rsidR="00624783" w:rsidRPr="00B170DF" w:rsidRDefault="00624783" w:rsidP="00624783">
      <w:pPr>
        <w:keepNext/>
        <w:keepLines/>
        <w:spacing w:before="163" w:after="163"/>
        <w:ind w:firstLine="482"/>
        <w:rPr>
          <w:b/>
          <w:bCs/>
          <w:kern w:val="0"/>
          <w:szCs w:val="24"/>
        </w:rPr>
      </w:pPr>
      <w:r w:rsidRPr="00B170DF">
        <w:rPr>
          <w:rFonts w:hint="eastAsia"/>
          <w:b/>
          <w:bCs/>
          <w:kern w:val="0"/>
          <w:szCs w:val="24"/>
        </w:rPr>
        <w:t>2</w:t>
      </w:r>
      <w:r w:rsidRPr="00B170DF">
        <w:rPr>
          <w:rFonts w:hint="eastAsia"/>
          <w:b/>
          <w:bCs/>
          <w:kern w:val="0"/>
          <w:szCs w:val="24"/>
        </w:rPr>
        <w:t>、项目实施的必要性</w:t>
      </w:r>
    </w:p>
    <w:p w14:paraId="307A6FC8" w14:textId="77777777" w:rsidR="00624783" w:rsidRPr="00B170DF" w:rsidRDefault="00624783" w:rsidP="00624783">
      <w:pPr>
        <w:spacing w:before="163" w:after="163"/>
        <w:ind w:firstLine="482"/>
        <w:rPr>
          <w:b/>
          <w:noProof/>
          <w:szCs w:val="20"/>
          <w:shd w:val="clear" w:color="auto" w:fill="FFFFFF"/>
        </w:rPr>
      </w:pPr>
      <w:r w:rsidRPr="00B170DF">
        <w:rPr>
          <w:b/>
          <w:noProof/>
          <w:szCs w:val="20"/>
          <w:shd w:val="clear" w:color="auto" w:fill="FFFFFF"/>
        </w:rPr>
        <w:fldChar w:fldCharType="begin"/>
      </w:r>
      <w:r w:rsidRPr="00B170DF">
        <w:rPr>
          <w:b/>
          <w:noProof/>
          <w:szCs w:val="20"/>
          <w:shd w:val="clear" w:color="auto" w:fill="FFFFFF"/>
        </w:rPr>
        <w:instrText xml:space="preserve"> </w:instrText>
      </w:r>
      <w:r w:rsidRPr="00B170DF">
        <w:rPr>
          <w:rFonts w:hint="eastAsia"/>
          <w:b/>
          <w:noProof/>
          <w:szCs w:val="20"/>
          <w:shd w:val="clear" w:color="auto" w:fill="FFFFFF"/>
        </w:rPr>
        <w:instrText>= 1 \* GB3</w:instrText>
      </w:r>
      <w:r w:rsidRPr="00B170DF">
        <w:rPr>
          <w:b/>
          <w:noProof/>
          <w:szCs w:val="20"/>
          <w:shd w:val="clear" w:color="auto" w:fill="FFFFFF"/>
        </w:rPr>
        <w:instrText xml:space="preserve"> </w:instrText>
      </w:r>
      <w:r w:rsidRPr="00B170DF">
        <w:rPr>
          <w:b/>
          <w:noProof/>
          <w:szCs w:val="20"/>
          <w:shd w:val="clear" w:color="auto" w:fill="FFFFFF"/>
        </w:rPr>
        <w:fldChar w:fldCharType="separate"/>
      </w:r>
      <w:r w:rsidRPr="00B170DF">
        <w:rPr>
          <w:rFonts w:hint="eastAsia"/>
          <w:b/>
          <w:noProof/>
          <w:szCs w:val="20"/>
          <w:shd w:val="clear" w:color="auto" w:fill="FFFFFF"/>
        </w:rPr>
        <w:t>①</w:t>
      </w:r>
      <w:r w:rsidRPr="00B170DF">
        <w:rPr>
          <w:b/>
          <w:noProof/>
          <w:szCs w:val="20"/>
          <w:shd w:val="clear" w:color="auto" w:fill="FFFFFF"/>
        </w:rPr>
        <w:fldChar w:fldCharType="end"/>
      </w:r>
      <w:r w:rsidRPr="00B170DF">
        <w:rPr>
          <w:rFonts w:hint="eastAsia"/>
          <w:b/>
          <w:noProof/>
          <w:szCs w:val="20"/>
          <w:shd w:val="clear" w:color="auto" w:fill="FFFFFF"/>
        </w:rPr>
        <w:t>公司的持续发展带来新增营运资金需求</w:t>
      </w:r>
    </w:p>
    <w:p w14:paraId="641F2B56" w14:textId="77777777" w:rsidR="00624783" w:rsidRPr="00B170DF" w:rsidRDefault="00644B45" w:rsidP="00624783">
      <w:pPr>
        <w:spacing w:before="163" w:after="163"/>
        <w:ind w:firstLine="480"/>
      </w:pPr>
      <w:r w:rsidRPr="00B170DF">
        <w:rPr>
          <w:rFonts w:hint="eastAsia"/>
          <w:szCs w:val="20"/>
        </w:rPr>
        <w:t>2021</w:t>
      </w:r>
      <w:r w:rsidRPr="00B170DF">
        <w:rPr>
          <w:rFonts w:hint="eastAsia"/>
          <w:szCs w:val="20"/>
        </w:rPr>
        <w:t>年、</w:t>
      </w:r>
      <w:r w:rsidRPr="00B170DF">
        <w:rPr>
          <w:rFonts w:hint="eastAsia"/>
          <w:szCs w:val="20"/>
        </w:rPr>
        <w:t>2022</w:t>
      </w:r>
      <w:r w:rsidRPr="00B170DF">
        <w:rPr>
          <w:rFonts w:hint="eastAsia"/>
          <w:szCs w:val="20"/>
        </w:rPr>
        <w:t>年、</w:t>
      </w:r>
      <w:r w:rsidRPr="00B170DF">
        <w:rPr>
          <w:rFonts w:hint="eastAsia"/>
          <w:szCs w:val="20"/>
        </w:rPr>
        <w:t>2023</w:t>
      </w:r>
      <w:r w:rsidRPr="00B170DF">
        <w:rPr>
          <w:rFonts w:hint="eastAsia"/>
          <w:szCs w:val="20"/>
        </w:rPr>
        <w:t>年及</w:t>
      </w:r>
      <w:r w:rsidRPr="00B170DF">
        <w:rPr>
          <w:rFonts w:hint="eastAsia"/>
          <w:szCs w:val="20"/>
        </w:rPr>
        <w:t>2024</w:t>
      </w:r>
      <w:r w:rsidRPr="00B170DF">
        <w:rPr>
          <w:rFonts w:hint="eastAsia"/>
          <w:szCs w:val="20"/>
        </w:rPr>
        <w:t>年</w:t>
      </w:r>
      <w:r w:rsidRPr="00B170DF">
        <w:rPr>
          <w:rFonts w:hint="eastAsia"/>
          <w:szCs w:val="20"/>
        </w:rPr>
        <w:t>1-9</w:t>
      </w:r>
      <w:r w:rsidRPr="00B170DF">
        <w:rPr>
          <w:rFonts w:hint="eastAsia"/>
          <w:szCs w:val="20"/>
        </w:rPr>
        <w:t>月</w:t>
      </w:r>
      <w:r w:rsidR="00624783" w:rsidRPr="00B170DF">
        <w:rPr>
          <w:rFonts w:hint="eastAsia"/>
          <w:szCs w:val="20"/>
        </w:rPr>
        <w:t>，公司经营活动产生的现金流量净额分别为</w:t>
      </w:r>
      <w:r w:rsidR="00940F0F" w:rsidRPr="00B170DF">
        <w:rPr>
          <w:rFonts w:hint="eastAsia"/>
          <w:szCs w:val="20"/>
        </w:rPr>
        <w:t>-1,776.48</w:t>
      </w:r>
      <w:r w:rsidR="00940F0F" w:rsidRPr="00B170DF">
        <w:rPr>
          <w:rFonts w:hint="eastAsia"/>
          <w:szCs w:val="20"/>
        </w:rPr>
        <w:t>万元、</w:t>
      </w:r>
      <w:r w:rsidR="00624783" w:rsidRPr="00B170DF">
        <w:rPr>
          <w:rFonts w:eastAsia="等线"/>
          <w:szCs w:val="24"/>
        </w:rPr>
        <w:t>-11,967.97</w:t>
      </w:r>
      <w:r w:rsidR="00624783" w:rsidRPr="00B170DF">
        <w:rPr>
          <w:rFonts w:hint="eastAsia"/>
          <w:szCs w:val="24"/>
        </w:rPr>
        <w:t>万元、</w:t>
      </w:r>
      <w:r w:rsidR="00624783" w:rsidRPr="00B170DF">
        <w:rPr>
          <w:rFonts w:eastAsia="等线"/>
          <w:szCs w:val="24"/>
        </w:rPr>
        <w:t>-17,459.56</w:t>
      </w:r>
      <w:r w:rsidR="00624783" w:rsidRPr="00B170DF">
        <w:rPr>
          <w:rFonts w:hint="eastAsia"/>
          <w:szCs w:val="24"/>
        </w:rPr>
        <w:t>万元和</w:t>
      </w:r>
      <w:r w:rsidR="00940F0F" w:rsidRPr="00B170DF">
        <w:rPr>
          <w:rFonts w:hint="eastAsia"/>
          <w:szCs w:val="24"/>
        </w:rPr>
        <w:t>-1,743.63</w:t>
      </w:r>
      <w:r w:rsidR="00624783" w:rsidRPr="00B170DF">
        <w:rPr>
          <w:rFonts w:hint="eastAsia"/>
          <w:szCs w:val="24"/>
        </w:rPr>
        <w:t>万元</w:t>
      </w:r>
      <w:r w:rsidR="00624783" w:rsidRPr="00B170DF">
        <w:rPr>
          <w:rFonts w:hint="eastAsia"/>
          <w:szCs w:val="20"/>
        </w:rPr>
        <w:t>，公司日常经营存在一定资金压力。</w:t>
      </w:r>
      <w:r w:rsidR="00624783" w:rsidRPr="00B170DF">
        <w:t>公司本次拟通过本次发行募集资金</w:t>
      </w:r>
      <w:r w:rsidR="00624783" w:rsidRPr="00B170DF">
        <w:rPr>
          <w:rFonts w:hint="eastAsia"/>
        </w:rPr>
        <w:t>2</w:t>
      </w:r>
      <w:r w:rsidR="00624783" w:rsidRPr="00B170DF">
        <w:t>.</w:t>
      </w:r>
      <w:r w:rsidR="00624783" w:rsidRPr="00B170DF">
        <w:rPr>
          <w:rFonts w:hint="eastAsia"/>
        </w:rPr>
        <w:t>9</w:t>
      </w:r>
      <w:r w:rsidR="00624783" w:rsidRPr="00B170DF">
        <w:t>亿元补充流动资金，未超过公司的营运资金需求。</w:t>
      </w:r>
    </w:p>
    <w:p w14:paraId="1ACE80B9" w14:textId="77777777" w:rsidR="00624783" w:rsidRPr="00B170DF" w:rsidRDefault="00624783" w:rsidP="00624783">
      <w:pPr>
        <w:spacing w:before="163" w:afterLines="0" w:after="160"/>
        <w:ind w:firstLine="480"/>
        <w:rPr>
          <w:szCs w:val="20"/>
        </w:rPr>
      </w:pPr>
      <w:r w:rsidRPr="00B170DF">
        <w:rPr>
          <w:rFonts w:hint="eastAsia"/>
          <w:szCs w:val="20"/>
        </w:rPr>
        <w:t>未来，随着公司研发投入的增加及经营规模的扩大，依靠现有经营业务产生的现金流量难以满足公司持续发展的需求。本次募集资金部分用于补充流动资金，可以缓解公司正常经营所需的流动资金压力</w:t>
      </w:r>
      <w:r w:rsidRPr="00B170DF">
        <w:t>，具有合理性和必要性</w:t>
      </w:r>
      <w:r w:rsidRPr="00B170DF">
        <w:rPr>
          <w:rFonts w:hint="eastAsia"/>
          <w:szCs w:val="20"/>
        </w:rPr>
        <w:t>。</w:t>
      </w:r>
    </w:p>
    <w:p w14:paraId="7F2D040F" w14:textId="77777777" w:rsidR="00624783" w:rsidRPr="00B170DF" w:rsidRDefault="00624783" w:rsidP="00624783">
      <w:pPr>
        <w:spacing w:before="163" w:afterLines="0" w:after="160"/>
        <w:ind w:firstLine="482"/>
        <w:rPr>
          <w:b/>
          <w:bCs/>
          <w:szCs w:val="20"/>
        </w:rPr>
      </w:pPr>
      <w:r w:rsidRPr="00B170DF">
        <w:rPr>
          <w:b/>
          <w:bCs/>
          <w:szCs w:val="20"/>
        </w:rPr>
        <w:fldChar w:fldCharType="begin"/>
      </w:r>
      <w:r w:rsidRPr="00B170DF">
        <w:rPr>
          <w:b/>
          <w:bCs/>
          <w:szCs w:val="20"/>
        </w:rPr>
        <w:instrText xml:space="preserve"> </w:instrText>
      </w:r>
      <w:r w:rsidRPr="00B170DF">
        <w:rPr>
          <w:rFonts w:hint="eastAsia"/>
          <w:b/>
          <w:bCs/>
          <w:szCs w:val="20"/>
        </w:rPr>
        <w:instrText>= 2 \* GB3</w:instrText>
      </w:r>
      <w:r w:rsidRPr="00B170DF">
        <w:rPr>
          <w:b/>
          <w:bCs/>
          <w:szCs w:val="20"/>
        </w:rPr>
        <w:instrText xml:space="preserve"> </w:instrText>
      </w:r>
      <w:r w:rsidRPr="00B170DF">
        <w:rPr>
          <w:b/>
          <w:bCs/>
          <w:szCs w:val="20"/>
        </w:rPr>
        <w:fldChar w:fldCharType="separate"/>
      </w:r>
      <w:r w:rsidRPr="00B170DF">
        <w:rPr>
          <w:rFonts w:hint="eastAsia"/>
          <w:b/>
          <w:bCs/>
          <w:noProof/>
          <w:szCs w:val="20"/>
        </w:rPr>
        <w:t>②</w:t>
      </w:r>
      <w:r w:rsidRPr="00B170DF">
        <w:rPr>
          <w:b/>
          <w:bCs/>
          <w:szCs w:val="20"/>
        </w:rPr>
        <w:fldChar w:fldCharType="end"/>
      </w:r>
      <w:r w:rsidRPr="00B170DF">
        <w:rPr>
          <w:rFonts w:hint="eastAsia"/>
          <w:b/>
          <w:bCs/>
          <w:szCs w:val="20"/>
        </w:rPr>
        <w:t>公司未来对研发的持续投入需要流动资金支持</w:t>
      </w:r>
    </w:p>
    <w:p w14:paraId="7D019EE5" w14:textId="77777777" w:rsidR="00624783" w:rsidRPr="00B170DF" w:rsidRDefault="00624783" w:rsidP="00624783">
      <w:pPr>
        <w:spacing w:before="163" w:afterLines="0" w:after="160"/>
        <w:ind w:firstLine="480"/>
        <w:rPr>
          <w:szCs w:val="20"/>
        </w:rPr>
      </w:pPr>
      <w:r w:rsidRPr="00B170DF">
        <w:rPr>
          <w:rFonts w:hint="eastAsia"/>
          <w:szCs w:val="20"/>
        </w:rPr>
        <w:t>近年来，公司在创新药研发领域进行了较大规模的研发投入。</w:t>
      </w:r>
      <w:r w:rsidR="00644B45" w:rsidRPr="00B170DF">
        <w:rPr>
          <w:rFonts w:hint="eastAsia"/>
          <w:szCs w:val="20"/>
        </w:rPr>
        <w:t>2021</w:t>
      </w:r>
      <w:r w:rsidR="00644B45" w:rsidRPr="00B170DF">
        <w:rPr>
          <w:rFonts w:hint="eastAsia"/>
          <w:szCs w:val="20"/>
        </w:rPr>
        <w:t>年、</w:t>
      </w:r>
      <w:r w:rsidR="00644B45" w:rsidRPr="00B170DF">
        <w:rPr>
          <w:rFonts w:hint="eastAsia"/>
          <w:szCs w:val="20"/>
        </w:rPr>
        <w:t>2022</w:t>
      </w:r>
      <w:r w:rsidR="00644B45" w:rsidRPr="00B170DF">
        <w:rPr>
          <w:rFonts w:hint="eastAsia"/>
          <w:szCs w:val="20"/>
        </w:rPr>
        <w:t>年、</w:t>
      </w:r>
      <w:r w:rsidR="00644B45" w:rsidRPr="00B170DF">
        <w:rPr>
          <w:rFonts w:hint="eastAsia"/>
          <w:szCs w:val="20"/>
        </w:rPr>
        <w:t>2023</w:t>
      </w:r>
      <w:r w:rsidR="00644B45" w:rsidRPr="00B170DF">
        <w:rPr>
          <w:rFonts w:hint="eastAsia"/>
          <w:szCs w:val="20"/>
        </w:rPr>
        <w:t>年及</w:t>
      </w:r>
      <w:r w:rsidR="00644B45" w:rsidRPr="00B170DF">
        <w:rPr>
          <w:rFonts w:hint="eastAsia"/>
          <w:szCs w:val="20"/>
        </w:rPr>
        <w:t>2024</w:t>
      </w:r>
      <w:r w:rsidR="00644B45" w:rsidRPr="00B170DF">
        <w:rPr>
          <w:rFonts w:hint="eastAsia"/>
          <w:szCs w:val="20"/>
        </w:rPr>
        <w:t>年</w:t>
      </w:r>
      <w:r w:rsidR="00644B45" w:rsidRPr="00B170DF">
        <w:rPr>
          <w:rFonts w:hint="eastAsia"/>
          <w:szCs w:val="20"/>
        </w:rPr>
        <w:t>1-9</w:t>
      </w:r>
      <w:r w:rsidR="00644B45" w:rsidRPr="00B170DF">
        <w:rPr>
          <w:rFonts w:hint="eastAsia"/>
          <w:szCs w:val="20"/>
        </w:rPr>
        <w:t>月</w:t>
      </w:r>
      <w:r w:rsidRPr="00B170DF">
        <w:rPr>
          <w:rFonts w:hint="eastAsia"/>
          <w:szCs w:val="20"/>
        </w:rPr>
        <w:t>，公司研发费用分别为</w:t>
      </w:r>
      <w:r w:rsidR="00940F0F" w:rsidRPr="00B170DF">
        <w:rPr>
          <w:rFonts w:hint="eastAsia"/>
          <w:szCs w:val="20"/>
        </w:rPr>
        <w:t>6,898.95</w:t>
      </w:r>
      <w:r w:rsidR="00940F0F" w:rsidRPr="00B170DF">
        <w:rPr>
          <w:rFonts w:hint="eastAsia"/>
          <w:szCs w:val="20"/>
        </w:rPr>
        <w:t>万元、</w:t>
      </w:r>
      <w:r w:rsidRPr="00B170DF">
        <w:rPr>
          <w:rFonts w:hint="eastAsia"/>
          <w:szCs w:val="20"/>
        </w:rPr>
        <w:t>18,546.27</w:t>
      </w:r>
      <w:r w:rsidRPr="00B170DF">
        <w:rPr>
          <w:rFonts w:hint="eastAsia"/>
          <w:szCs w:val="20"/>
        </w:rPr>
        <w:t>万元、</w:t>
      </w:r>
      <w:r w:rsidRPr="00B170DF">
        <w:rPr>
          <w:rFonts w:hint="eastAsia"/>
          <w:szCs w:val="20"/>
        </w:rPr>
        <w:t>13,295.70</w:t>
      </w:r>
      <w:r w:rsidRPr="00B170DF">
        <w:rPr>
          <w:rFonts w:hint="eastAsia"/>
          <w:szCs w:val="20"/>
        </w:rPr>
        <w:t>万元和</w:t>
      </w:r>
      <w:r w:rsidR="00940F0F" w:rsidRPr="00B170DF">
        <w:rPr>
          <w:rFonts w:hint="eastAsia"/>
          <w:szCs w:val="20"/>
        </w:rPr>
        <w:t>2,286.69</w:t>
      </w:r>
      <w:r w:rsidRPr="00B170DF">
        <w:rPr>
          <w:rFonts w:hint="eastAsia"/>
          <w:szCs w:val="20"/>
        </w:rPr>
        <w:t>万元，占营业收入比例分别为</w:t>
      </w:r>
      <w:r w:rsidR="00D123BD" w:rsidRPr="00B170DF">
        <w:rPr>
          <w:szCs w:val="20"/>
        </w:rPr>
        <w:t>18.62%</w:t>
      </w:r>
      <w:r w:rsidR="00D123BD" w:rsidRPr="00B170DF">
        <w:rPr>
          <w:rFonts w:hint="eastAsia"/>
          <w:szCs w:val="20"/>
        </w:rPr>
        <w:t>、</w:t>
      </w:r>
      <w:r w:rsidRPr="00B170DF">
        <w:rPr>
          <w:rFonts w:hint="eastAsia"/>
          <w:szCs w:val="20"/>
        </w:rPr>
        <w:t>48.08%</w:t>
      </w:r>
      <w:r w:rsidRPr="00B170DF">
        <w:rPr>
          <w:rFonts w:hint="eastAsia"/>
          <w:szCs w:val="20"/>
        </w:rPr>
        <w:t>、</w:t>
      </w:r>
      <w:r w:rsidRPr="00B170DF">
        <w:rPr>
          <w:rFonts w:hint="eastAsia"/>
          <w:szCs w:val="20"/>
        </w:rPr>
        <w:t>31.45%</w:t>
      </w:r>
      <w:r w:rsidRPr="00B170DF">
        <w:rPr>
          <w:rFonts w:hint="eastAsia"/>
          <w:szCs w:val="20"/>
        </w:rPr>
        <w:t>和</w:t>
      </w:r>
      <w:r w:rsidR="009E7F9B" w:rsidRPr="00B170DF">
        <w:rPr>
          <w:szCs w:val="20"/>
        </w:rPr>
        <w:t>7.01%</w:t>
      </w:r>
      <w:r w:rsidRPr="00B170DF">
        <w:rPr>
          <w:rFonts w:hint="eastAsia"/>
          <w:szCs w:val="20"/>
        </w:rPr>
        <w:t>。因此，本次补充流动资金项目有助于为公司持续的研发投入提供保障，增强公司的研发实力与综合竞争力。</w:t>
      </w:r>
    </w:p>
    <w:p w14:paraId="4239A350" w14:textId="77777777" w:rsidR="00624783" w:rsidRPr="00B170DF" w:rsidRDefault="00624783" w:rsidP="00624783">
      <w:pPr>
        <w:spacing w:before="163" w:afterLines="0" w:after="160"/>
        <w:ind w:firstLine="482"/>
        <w:rPr>
          <w:b/>
          <w:bCs/>
          <w:szCs w:val="20"/>
        </w:rPr>
      </w:pPr>
      <w:r w:rsidRPr="00B170DF">
        <w:rPr>
          <w:b/>
          <w:bCs/>
          <w:szCs w:val="20"/>
        </w:rPr>
        <w:fldChar w:fldCharType="begin"/>
      </w:r>
      <w:r w:rsidRPr="00B170DF">
        <w:rPr>
          <w:b/>
          <w:bCs/>
          <w:szCs w:val="20"/>
        </w:rPr>
        <w:instrText xml:space="preserve"> </w:instrText>
      </w:r>
      <w:r w:rsidRPr="00B170DF">
        <w:rPr>
          <w:rFonts w:hint="eastAsia"/>
          <w:b/>
          <w:bCs/>
          <w:szCs w:val="20"/>
        </w:rPr>
        <w:instrText>= 3 \* GB3</w:instrText>
      </w:r>
      <w:r w:rsidRPr="00B170DF">
        <w:rPr>
          <w:b/>
          <w:bCs/>
          <w:szCs w:val="20"/>
        </w:rPr>
        <w:instrText xml:space="preserve"> </w:instrText>
      </w:r>
      <w:r w:rsidRPr="00B170DF">
        <w:rPr>
          <w:b/>
          <w:bCs/>
          <w:szCs w:val="20"/>
        </w:rPr>
        <w:fldChar w:fldCharType="separate"/>
      </w:r>
      <w:r w:rsidRPr="00B170DF">
        <w:rPr>
          <w:rFonts w:hint="eastAsia"/>
          <w:b/>
          <w:bCs/>
          <w:noProof/>
          <w:szCs w:val="20"/>
        </w:rPr>
        <w:t>③</w:t>
      </w:r>
      <w:r w:rsidRPr="00B170DF">
        <w:rPr>
          <w:b/>
          <w:bCs/>
          <w:szCs w:val="20"/>
        </w:rPr>
        <w:fldChar w:fldCharType="end"/>
      </w:r>
      <w:r w:rsidRPr="00B170DF">
        <w:rPr>
          <w:rFonts w:hint="eastAsia"/>
          <w:b/>
          <w:bCs/>
          <w:szCs w:val="20"/>
        </w:rPr>
        <w:t>公司提升抗风险能力、长期发展战略依赖于稳健的资产负债结构</w:t>
      </w:r>
    </w:p>
    <w:p w14:paraId="383B1219" w14:textId="77777777" w:rsidR="00624783" w:rsidRPr="00B170DF" w:rsidRDefault="00624783" w:rsidP="00624783">
      <w:pPr>
        <w:spacing w:before="163" w:afterLines="0" w:after="160"/>
        <w:ind w:firstLine="480"/>
        <w:rPr>
          <w:szCs w:val="32"/>
        </w:rPr>
      </w:pPr>
      <w:r w:rsidRPr="00B170DF">
        <w:rPr>
          <w:rFonts w:hint="eastAsia"/>
          <w:szCs w:val="20"/>
        </w:rPr>
        <w:lastRenderedPageBreak/>
        <w:t>我国医药制造行业近年出台的一系列政策对行业、市场竞争环境产生了重大影响，医药行业走向规模集中。</w:t>
      </w:r>
      <w:r w:rsidR="004C3C58" w:rsidRPr="00B170DF">
        <w:rPr>
          <w:rFonts w:hint="eastAsia"/>
          <w:szCs w:val="20"/>
        </w:rPr>
        <w:t>2021</w:t>
      </w:r>
      <w:r w:rsidR="004C3C58" w:rsidRPr="00B170DF">
        <w:rPr>
          <w:rFonts w:hint="eastAsia"/>
          <w:szCs w:val="20"/>
        </w:rPr>
        <w:t>年末、</w:t>
      </w:r>
      <w:r w:rsidR="004C3C58" w:rsidRPr="00B170DF">
        <w:rPr>
          <w:rFonts w:hint="eastAsia"/>
          <w:szCs w:val="20"/>
        </w:rPr>
        <w:t>2022</w:t>
      </w:r>
      <w:r w:rsidR="004C3C58" w:rsidRPr="00B170DF">
        <w:rPr>
          <w:rFonts w:hint="eastAsia"/>
          <w:szCs w:val="20"/>
        </w:rPr>
        <w:t>年末、</w:t>
      </w:r>
      <w:r w:rsidR="004C3C58" w:rsidRPr="00B170DF">
        <w:rPr>
          <w:rFonts w:hint="eastAsia"/>
          <w:szCs w:val="20"/>
        </w:rPr>
        <w:t>2023</w:t>
      </w:r>
      <w:r w:rsidR="004C3C58" w:rsidRPr="00B170DF">
        <w:rPr>
          <w:rFonts w:hint="eastAsia"/>
          <w:szCs w:val="20"/>
        </w:rPr>
        <w:t>年末及</w:t>
      </w:r>
      <w:r w:rsidR="004C3C58" w:rsidRPr="00B170DF">
        <w:rPr>
          <w:rFonts w:hint="eastAsia"/>
          <w:szCs w:val="20"/>
        </w:rPr>
        <w:t>2024</w:t>
      </w:r>
      <w:r w:rsidR="004C3C58" w:rsidRPr="00B170DF">
        <w:rPr>
          <w:rFonts w:hint="eastAsia"/>
          <w:szCs w:val="20"/>
        </w:rPr>
        <w:t>年</w:t>
      </w:r>
      <w:r w:rsidR="004C3C58" w:rsidRPr="00B170DF">
        <w:rPr>
          <w:rFonts w:hint="eastAsia"/>
          <w:szCs w:val="20"/>
        </w:rPr>
        <w:t>9</w:t>
      </w:r>
      <w:r w:rsidR="004C3C58" w:rsidRPr="00B170DF">
        <w:rPr>
          <w:rFonts w:hint="eastAsia"/>
          <w:szCs w:val="20"/>
        </w:rPr>
        <w:t>月末</w:t>
      </w:r>
      <w:r w:rsidRPr="00B170DF">
        <w:rPr>
          <w:rFonts w:hint="eastAsia"/>
          <w:szCs w:val="20"/>
        </w:rPr>
        <w:t>，公司资产负债率分别为</w:t>
      </w:r>
      <w:r w:rsidR="009E7F9B" w:rsidRPr="00B170DF">
        <w:rPr>
          <w:szCs w:val="20"/>
        </w:rPr>
        <w:t>27.44%</w:t>
      </w:r>
      <w:r w:rsidR="009E7F9B" w:rsidRPr="00B170DF">
        <w:rPr>
          <w:rFonts w:hint="eastAsia"/>
          <w:szCs w:val="20"/>
        </w:rPr>
        <w:t>、</w:t>
      </w:r>
      <w:r w:rsidRPr="00B170DF">
        <w:rPr>
          <w:rFonts w:hint="eastAsia"/>
          <w:szCs w:val="20"/>
        </w:rPr>
        <w:t>36.07%</w:t>
      </w:r>
      <w:r w:rsidRPr="00B170DF">
        <w:rPr>
          <w:rFonts w:hint="eastAsia"/>
          <w:szCs w:val="20"/>
        </w:rPr>
        <w:t>、</w:t>
      </w:r>
      <w:r w:rsidRPr="00B170DF">
        <w:rPr>
          <w:rFonts w:hint="eastAsia"/>
          <w:szCs w:val="20"/>
        </w:rPr>
        <w:t>64.74%</w:t>
      </w:r>
      <w:r w:rsidRPr="00B170DF">
        <w:rPr>
          <w:rFonts w:hint="eastAsia"/>
          <w:szCs w:val="20"/>
        </w:rPr>
        <w:t>和</w:t>
      </w:r>
      <w:r w:rsidR="009E7F9B" w:rsidRPr="00B170DF">
        <w:rPr>
          <w:szCs w:val="20"/>
        </w:rPr>
        <w:t>67.28</w:t>
      </w:r>
      <w:r w:rsidRPr="00B170DF">
        <w:rPr>
          <w:rFonts w:hint="eastAsia"/>
          <w:szCs w:val="20"/>
        </w:rPr>
        <w:t>%</w:t>
      </w:r>
      <w:r w:rsidRPr="00B170DF">
        <w:rPr>
          <w:rFonts w:hint="eastAsia"/>
          <w:szCs w:val="20"/>
        </w:rPr>
        <w:t>，流动比率分别为</w:t>
      </w:r>
      <w:r w:rsidR="009E7F9B" w:rsidRPr="00B170DF">
        <w:rPr>
          <w:szCs w:val="20"/>
        </w:rPr>
        <w:t>1.82</w:t>
      </w:r>
      <w:r w:rsidR="009E7F9B" w:rsidRPr="00B170DF">
        <w:rPr>
          <w:rFonts w:hint="eastAsia"/>
          <w:szCs w:val="20"/>
        </w:rPr>
        <w:t>、</w:t>
      </w:r>
      <w:r w:rsidRPr="00B170DF">
        <w:rPr>
          <w:rFonts w:hint="eastAsia"/>
          <w:szCs w:val="20"/>
        </w:rPr>
        <w:t>0.97</w:t>
      </w:r>
      <w:r w:rsidRPr="00B170DF">
        <w:rPr>
          <w:rFonts w:hint="eastAsia"/>
          <w:szCs w:val="20"/>
        </w:rPr>
        <w:t>、</w:t>
      </w:r>
      <w:r w:rsidRPr="00B170DF">
        <w:rPr>
          <w:rFonts w:hint="eastAsia"/>
          <w:szCs w:val="20"/>
        </w:rPr>
        <w:t>0.75</w:t>
      </w:r>
      <w:r w:rsidRPr="00B170DF">
        <w:rPr>
          <w:rFonts w:hint="eastAsia"/>
          <w:szCs w:val="20"/>
        </w:rPr>
        <w:t>和</w:t>
      </w:r>
      <w:r w:rsidR="009E7F9B" w:rsidRPr="00B170DF">
        <w:rPr>
          <w:szCs w:val="20"/>
        </w:rPr>
        <w:t>0.79</w:t>
      </w:r>
      <w:r w:rsidRPr="00B170DF">
        <w:rPr>
          <w:rFonts w:hint="eastAsia"/>
          <w:szCs w:val="20"/>
        </w:rPr>
        <w:t>，资产负债率逐年升高。公司首</w:t>
      </w:r>
      <w:proofErr w:type="gramStart"/>
      <w:r w:rsidRPr="00B170DF">
        <w:rPr>
          <w:rFonts w:hint="eastAsia"/>
          <w:szCs w:val="20"/>
        </w:rPr>
        <w:t>款创新药泰中定成功</w:t>
      </w:r>
      <w:proofErr w:type="gramEnd"/>
      <w:r w:rsidRPr="00B170DF">
        <w:rPr>
          <w:rFonts w:hint="eastAsia"/>
          <w:szCs w:val="20"/>
        </w:rPr>
        <w:t>注册上市，同时仿制药产品管线增多，</w:t>
      </w:r>
      <w:r w:rsidR="009C2FBF" w:rsidRPr="00B170DF">
        <w:rPr>
          <w:rFonts w:hint="eastAsia"/>
          <w:szCs w:val="20"/>
        </w:rPr>
        <w:t>保持</w:t>
      </w:r>
      <w:r w:rsidRPr="00B170DF">
        <w:rPr>
          <w:rFonts w:hint="eastAsia"/>
          <w:szCs w:val="20"/>
        </w:rPr>
        <w:t>流动资金</w:t>
      </w:r>
      <w:r w:rsidR="009C2FBF" w:rsidRPr="00B170DF">
        <w:rPr>
          <w:rFonts w:hint="eastAsia"/>
          <w:szCs w:val="20"/>
        </w:rPr>
        <w:t>充</w:t>
      </w:r>
      <w:r w:rsidRPr="00B170DF">
        <w:rPr>
          <w:rFonts w:hint="eastAsia"/>
          <w:szCs w:val="20"/>
        </w:rPr>
        <w:t>足</w:t>
      </w:r>
      <w:r w:rsidR="009C2FBF" w:rsidRPr="00B170DF">
        <w:rPr>
          <w:rFonts w:hint="eastAsia"/>
          <w:szCs w:val="20"/>
        </w:rPr>
        <w:t>及</w:t>
      </w:r>
      <w:r w:rsidRPr="00B170DF">
        <w:rPr>
          <w:rFonts w:hint="eastAsia"/>
          <w:szCs w:val="20"/>
        </w:rPr>
        <w:t>稳健的资产负债结构对公司在未来充满变化的市场竞争环境中提升抗风险能力、坚持长期发展战略有着重要作用，更有利于维护公司全体股东的利益。</w:t>
      </w:r>
    </w:p>
    <w:p w14:paraId="4D322159" w14:textId="77777777" w:rsidR="00624783" w:rsidRPr="00B170DF" w:rsidRDefault="00624783" w:rsidP="00624783">
      <w:pPr>
        <w:keepNext/>
        <w:keepLines/>
        <w:spacing w:before="163" w:after="163"/>
        <w:ind w:firstLine="482"/>
        <w:rPr>
          <w:b/>
          <w:bCs/>
          <w:kern w:val="0"/>
          <w:szCs w:val="24"/>
        </w:rPr>
      </w:pPr>
      <w:r w:rsidRPr="00B170DF">
        <w:rPr>
          <w:rFonts w:hint="eastAsia"/>
          <w:b/>
          <w:bCs/>
          <w:kern w:val="0"/>
          <w:szCs w:val="24"/>
        </w:rPr>
        <w:t>3</w:t>
      </w:r>
      <w:r w:rsidRPr="00B170DF">
        <w:rPr>
          <w:rFonts w:hint="eastAsia"/>
          <w:b/>
          <w:bCs/>
          <w:kern w:val="0"/>
          <w:szCs w:val="24"/>
        </w:rPr>
        <w:t>、项目实施</w:t>
      </w:r>
      <w:r w:rsidRPr="00B170DF">
        <w:rPr>
          <w:b/>
          <w:bCs/>
          <w:kern w:val="0"/>
          <w:szCs w:val="24"/>
        </w:rPr>
        <w:t>的可行性</w:t>
      </w:r>
    </w:p>
    <w:p w14:paraId="17362C20" w14:textId="77777777" w:rsidR="00624783" w:rsidRPr="00B170DF" w:rsidRDefault="00624783" w:rsidP="00624783">
      <w:pPr>
        <w:spacing w:before="163" w:afterLines="0" w:after="160"/>
        <w:ind w:firstLineChars="0" w:firstLine="420"/>
        <w:rPr>
          <w:b/>
          <w:bCs/>
          <w:szCs w:val="32"/>
        </w:rPr>
      </w:pPr>
      <w:r w:rsidRPr="00B170DF">
        <w:rPr>
          <w:b/>
          <w:bCs/>
          <w:szCs w:val="32"/>
        </w:rPr>
        <w:fldChar w:fldCharType="begin"/>
      </w:r>
      <w:r w:rsidRPr="00B170DF">
        <w:rPr>
          <w:b/>
          <w:bCs/>
          <w:szCs w:val="32"/>
        </w:rPr>
        <w:instrText xml:space="preserve"> </w:instrText>
      </w:r>
      <w:r w:rsidRPr="00B170DF">
        <w:rPr>
          <w:rFonts w:hint="eastAsia"/>
          <w:b/>
          <w:bCs/>
          <w:szCs w:val="32"/>
        </w:rPr>
        <w:instrText>= 1 \* GB3</w:instrText>
      </w:r>
      <w:r w:rsidRPr="00B170DF">
        <w:rPr>
          <w:b/>
          <w:bCs/>
          <w:szCs w:val="32"/>
        </w:rPr>
        <w:instrText xml:space="preserve"> </w:instrText>
      </w:r>
      <w:r w:rsidRPr="00B170DF">
        <w:rPr>
          <w:b/>
          <w:bCs/>
          <w:szCs w:val="32"/>
        </w:rPr>
        <w:fldChar w:fldCharType="separate"/>
      </w:r>
      <w:r w:rsidRPr="00B170DF">
        <w:rPr>
          <w:rFonts w:hint="eastAsia"/>
          <w:b/>
          <w:bCs/>
          <w:noProof/>
          <w:szCs w:val="32"/>
        </w:rPr>
        <w:t>①</w:t>
      </w:r>
      <w:r w:rsidRPr="00B170DF">
        <w:rPr>
          <w:b/>
          <w:bCs/>
          <w:szCs w:val="32"/>
        </w:rPr>
        <w:fldChar w:fldCharType="end"/>
      </w:r>
      <w:r w:rsidRPr="00B170DF">
        <w:rPr>
          <w:b/>
          <w:bCs/>
          <w:szCs w:val="32"/>
        </w:rPr>
        <w:t>本次</w:t>
      </w:r>
      <w:r w:rsidR="005B7FDD" w:rsidRPr="00B170DF">
        <w:rPr>
          <w:b/>
          <w:bCs/>
          <w:szCs w:val="32"/>
        </w:rPr>
        <w:t>向特定对象发行</w:t>
      </w:r>
      <w:r w:rsidR="005B7FDD" w:rsidRPr="00B170DF">
        <w:rPr>
          <w:b/>
          <w:bCs/>
          <w:szCs w:val="32"/>
        </w:rPr>
        <w:t>A</w:t>
      </w:r>
      <w:r w:rsidR="005B7FDD" w:rsidRPr="00B170DF">
        <w:rPr>
          <w:b/>
          <w:bCs/>
          <w:szCs w:val="32"/>
        </w:rPr>
        <w:t>股股票</w:t>
      </w:r>
      <w:r w:rsidRPr="00B170DF">
        <w:rPr>
          <w:b/>
          <w:bCs/>
          <w:szCs w:val="32"/>
        </w:rPr>
        <w:t>募集资金用于补充流动资金符合法律法规</w:t>
      </w:r>
      <w:r w:rsidRPr="00B170DF">
        <w:rPr>
          <w:rFonts w:hint="eastAsia"/>
          <w:b/>
          <w:bCs/>
          <w:szCs w:val="32"/>
        </w:rPr>
        <w:t>的规定</w:t>
      </w:r>
    </w:p>
    <w:p w14:paraId="14478478" w14:textId="77777777" w:rsidR="00624783" w:rsidRPr="00B170DF" w:rsidRDefault="00624783" w:rsidP="00624783">
      <w:pPr>
        <w:spacing w:before="163" w:afterLines="0" w:after="160"/>
        <w:ind w:firstLineChars="0" w:firstLine="420"/>
        <w:rPr>
          <w:rFonts w:ascii="宋体" w:hAnsi="宋体" w:cs="宋体" w:hint="eastAsia"/>
          <w:szCs w:val="32"/>
        </w:rPr>
      </w:pPr>
      <w:r w:rsidRPr="00B170DF">
        <w:rPr>
          <w:rFonts w:ascii="宋体" w:hAnsi="宋体" w:cs="宋体"/>
          <w:szCs w:val="32"/>
        </w:rPr>
        <w:t>本次</w:t>
      </w:r>
      <w:r w:rsidR="005B7FDD" w:rsidRPr="00B170DF">
        <w:rPr>
          <w:rFonts w:ascii="宋体" w:hAnsi="宋体" w:cs="宋体"/>
          <w:szCs w:val="32"/>
        </w:rPr>
        <w:t>向特定对象发行A股股票</w:t>
      </w:r>
      <w:r w:rsidRPr="00B170DF">
        <w:rPr>
          <w:rFonts w:ascii="宋体" w:hAnsi="宋体" w:cs="宋体"/>
          <w:szCs w:val="32"/>
        </w:rPr>
        <w:t>募集资金部分用于补充流动资金，符合《</w:t>
      </w:r>
      <w:r w:rsidRPr="00B170DF">
        <w:rPr>
          <w:rFonts w:ascii="宋体" w:hAnsi="宋体" w:cs="宋体" w:hint="eastAsia"/>
          <w:szCs w:val="32"/>
        </w:rPr>
        <w:t>注册</w:t>
      </w:r>
      <w:r w:rsidRPr="00B170DF">
        <w:rPr>
          <w:rFonts w:ascii="宋体" w:hAnsi="宋体" w:cs="宋体"/>
          <w:szCs w:val="32"/>
        </w:rPr>
        <w:t>管理办法》等法律法规的相关规定，具有实施的可行性。本次</w:t>
      </w:r>
      <w:r w:rsidR="005B7FDD" w:rsidRPr="00B170DF">
        <w:rPr>
          <w:rFonts w:ascii="宋体" w:hAnsi="宋体" w:cs="宋体"/>
          <w:szCs w:val="32"/>
        </w:rPr>
        <w:t>向特定对象发行A股股票</w:t>
      </w:r>
      <w:r w:rsidRPr="00B170DF">
        <w:rPr>
          <w:rFonts w:ascii="宋体" w:hAnsi="宋体" w:cs="宋体"/>
          <w:szCs w:val="32"/>
        </w:rPr>
        <w:t>募集资金部分用于补充流动资金，将</w:t>
      </w:r>
      <w:r w:rsidRPr="00B170DF">
        <w:rPr>
          <w:rFonts w:ascii="宋体" w:hAnsi="宋体" w:cs="宋体" w:hint="eastAsia"/>
          <w:szCs w:val="32"/>
        </w:rPr>
        <w:t>增加公司净资产规模和营运资金，</w:t>
      </w:r>
      <w:r w:rsidRPr="00B170DF">
        <w:rPr>
          <w:rFonts w:ascii="宋体" w:hAnsi="宋体" w:cs="宋体"/>
          <w:szCs w:val="32"/>
        </w:rPr>
        <w:t>有利于公司经济效益持续提升和企业的健康可持续发展</w:t>
      </w:r>
      <w:r w:rsidRPr="00B170DF">
        <w:rPr>
          <w:rFonts w:ascii="宋体" w:hAnsi="宋体" w:cs="宋体" w:hint="eastAsia"/>
          <w:szCs w:val="32"/>
        </w:rPr>
        <w:t>。</w:t>
      </w:r>
    </w:p>
    <w:p w14:paraId="16B1B5F4" w14:textId="77777777" w:rsidR="00624783" w:rsidRPr="00B170DF" w:rsidRDefault="00624783" w:rsidP="00624783">
      <w:pPr>
        <w:spacing w:before="163" w:afterLines="0" w:after="160"/>
        <w:ind w:firstLineChars="0" w:firstLine="420"/>
        <w:rPr>
          <w:b/>
          <w:bCs/>
          <w:szCs w:val="32"/>
        </w:rPr>
      </w:pPr>
      <w:r w:rsidRPr="00B170DF">
        <w:rPr>
          <w:b/>
          <w:bCs/>
          <w:szCs w:val="32"/>
        </w:rPr>
        <w:fldChar w:fldCharType="begin"/>
      </w:r>
      <w:r w:rsidRPr="00B170DF">
        <w:rPr>
          <w:b/>
          <w:bCs/>
          <w:szCs w:val="32"/>
        </w:rPr>
        <w:instrText xml:space="preserve"> </w:instrText>
      </w:r>
      <w:r w:rsidRPr="00B170DF">
        <w:rPr>
          <w:rFonts w:hint="eastAsia"/>
          <w:b/>
          <w:bCs/>
          <w:szCs w:val="32"/>
        </w:rPr>
        <w:instrText>= 2 \* GB3</w:instrText>
      </w:r>
      <w:r w:rsidRPr="00B170DF">
        <w:rPr>
          <w:b/>
          <w:bCs/>
          <w:szCs w:val="32"/>
        </w:rPr>
        <w:instrText xml:space="preserve"> </w:instrText>
      </w:r>
      <w:r w:rsidRPr="00B170DF">
        <w:rPr>
          <w:b/>
          <w:bCs/>
          <w:szCs w:val="32"/>
        </w:rPr>
        <w:fldChar w:fldCharType="separate"/>
      </w:r>
      <w:r w:rsidRPr="00B170DF">
        <w:rPr>
          <w:rFonts w:hint="eastAsia"/>
          <w:b/>
          <w:bCs/>
          <w:noProof/>
          <w:szCs w:val="32"/>
        </w:rPr>
        <w:t>②</w:t>
      </w:r>
      <w:r w:rsidRPr="00B170DF">
        <w:rPr>
          <w:b/>
          <w:bCs/>
          <w:szCs w:val="32"/>
        </w:rPr>
        <w:fldChar w:fldCharType="end"/>
      </w:r>
      <w:r w:rsidRPr="00B170DF">
        <w:rPr>
          <w:rFonts w:hint="eastAsia"/>
          <w:b/>
          <w:bCs/>
          <w:szCs w:val="32"/>
        </w:rPr>
        <w:t>发行人内部治理规范，内控完善</w:t>
      </w:r>
    </w:p>
    <w:p w14:paraId="3A9E1A9F" w14:textId="77777777" w:rsidR="00624783" w:rsidRPr="00B170DF" w:rsidRDefault="00624783" w:rsidP="00624783">
      <w:pPr>
        <w:spacing w:before="163" w:afterLines="0" w:after="160"/>
        <w:ind w:firstLineChars="0" w:firstLine="420"/>
        <w:rPr>
          <w:rFonts w:ascii="宋体" w:hAnsi="宋体" w:cs="宋体" w:hint="eastAsia"/>
          <w:szCs w:val="32"/>
        </w:rPr>
      </w:pPr>
      <w:r w:rsidRPr="00B170DF">
        <w:rPr>
          <w:rFonts w:ascii="宋体" w:hAnsi="宋体" w:cs="宋体"/>
          <w:szCs w:val="32"/>
        </w:rPr>
        <w:t>公司已根据相关法律、法规和规范性文件的规定，建立了以法人治理为核心的现代企业制度，形成了规范有效的法人治理结构和内部控制环境。为规范募集资金的管理和运用，公司建立了《募集资金管理制度》，对募集资金的存储、使用、用途以及管理与监督等方面做出了明确的规定。</w:t>
      </w:r>
    </w:p>
    <w:p w14:paraId="5E701C74" w14:textId="77777777" w:rsidR="00624783" w:rsidRPr="00B170DF" w:rsidRDefault="00624783" w:rsidP="00624783">
      <w:pPr>
        <w:keepNext/>
        <w:keepLines/>
        <w:widowControl/>
        <w:spacing w:before="163" w:after="163"/>
        <w:ind w:firstLineChars="0" w:firstLine="0"/>
        <w:outlineLvl w:val="1"/>
        <w:rPr>
          <w:rFonts w:eastAsia="黑体"/>
          <w:b/>
          <w:bCs/>
          <w:color w:val="000000"/>
          <w:sz w:val="28"/>
          <w:szCs w:val="28"/>
        </w:rPr>
      </w:pPr>
      <w:bookmarkStart w:id="54" w:name="_Toc194169723"/>
      <w:r w:rsidRPr="00B170DF">
        <w:rPr>
          <w:rFonts w:eastAsia="黑体" w:hint="eastAsia"/>
          <w:b/>
          <w:bCs/>
          <w:color w:val="000000"/>
          <w:sz w:val="28"/>
          <w:szCs w:val="28"/>
        </w:rPr>
        <w:t>三、本次发行募集资金对公司的影响分析</w:t>
      </w:r>
      <w:bookmarkEnd w:id="54"/>
    </w:p>
    <w:p w14:paraId="0E006E0D" w14:textId="77777777" w:rsidR="00624783" w:rsidRPr="00B170DF" w:rsidRDefault="00624783" w:rsidP="00624783">
      <w:pPr>
        <w:keepNext/>
        <w:keepLines/>
        <w:spacing w:before="163" w:after="163"/>
        <w:ind w:firstLine="482"/>
        <w:outlineLvl w:val="2"/>
        <w:rPr>
          <w:rFonts w:eastAsia="黑体"/>
          <w:b/>
          <w:bCs/>
          <w:kern w:val="0"/>
          <w:szCs w:val="32"/>
        </w:rPr>
      </w:pPr>
      <w:bookmarkStart w:id="55" w:name="_Toc19538"/>
      <w:bookmarkStart w:id="56" w:name="_Toc17531"/>
      <w:r w:rsidRPr="00B170DF">
        <w:rPr>
          <w:rFonts w:eastAsia="黑体" w:hint="eastAsia"/>
          <w:b/>
          <w:bCs/>
          <w:kern w:val="0"/>
          <w:szCs w:val="32"/>
        </w:rPr>
        <w:t>（一）本次发行对公司经营管理的影响</w:t>
      </w:r>
      <w:bookmarkEnd w:id="55"/>
      <w:bookmarkEnd w:id="56"/>
    </w:p>
    <w:p w14:paraId="418AAF61" w14:textId="77777777" w:rsidR="00624783" w:rsidRPr="00B170DF" w:rsidRDefault="00FD2DFB" w:rsidP="00624783">
      <w:pPr>
        <w:spacing w:before="163" w:afterLines="0" w:after="160"/>
        <w:ind w:firstLine="480"/>
        <w:rPr>
          <w:szCs w:val="20"/>
        </w:rPr>
      </w:pPr>
      <w:r w:rsidRPr="00B170DF">
        <w:rPr>
          <w:rFonts w:hint="eastAsia"/>
          <w:szCs w:val="20"/>
        </w:rPr>
        <w:t>受</w:t>
      </w:r>
      <w:r w:rsidR="00736F82" w:rsidRPr="00B170DF">
        <w:rPr>
          <w:rFonts w:hint="eastAsia"/>
          <w:szCs w:val="20"/>
        </w:rPr>
        <w:t>药品集中采购</w:t>
      </w:r>
      <w:r w:rsidRPr="00B170DF">
        <w:rPr>
          <w:rFonts w:hint="eastAsia"/>
          <w:szCs w:val="20"/>
        </w:rPr>
        <w:t>和</w:t>
      </w:r>
      <w:proofErr w:type="gramStart"/>
      <w:r w:rsidRPr="00B170DF">
        <w:rPr>
          <w:rFonts w:hint="eastAsia"/>
          <w:szCs w:val="20"/>
        </w:rPr>
        <w:t>医保控费</w:t>
      </w:r>
      <w:proofErr w:type="gramEnd"/>
      <w:r w:rsidRPr="00B170DF">
        <w:rPr>
          <w:rFonts w:hint="eastAsia"/>
          <w:szCs w:val="20"/>
        </w:rPr>
        <w:t>影响，</w:t>
      </w:r>
      <w:proofErr w:type="gramStart"/>
      <w:r w:rsidRPr="00B170DF">
        <w:rPr>
          <w:rFonts w:hint="eastAsia"/>
          <w:szCs w:val="20"/>
        </w:rPr>
        <w:t>药企上市</w:t>
      </w:r>
      <w:proofErr w:type="gramEnd"/>
      <w:r w:rsidRPr="00B170DF">
        <w:rPr>
          <w:rFonts w:hint="eastAsia"/>
          <w:szCs w:val="20"/>
        </w:rPr>
        <w:t>公司在向创新药和大健康大消费转型。本次募集资金投资项目的实施符合国家大力支持创新药及中医药发展的产业政策以及公司战略发展方向，有利于推动公司创新药研发进展，扩大公司在创新</w:t>
      </w:r>
      <w:proofErr w:type="gramStart"/>
      <w:r w:rsidRPr="00B170DF">
        <w:rPr>
          <w:rFonts w:hint="eastAsia"/>
          <w:szCs w:val="20"/>
        </w:rPr>
        <w:t>药领域</w:t>
      </w:r>
      <w:proofErr w:type="gramEnd"/>
      <w:r w:rsidRPr="00B170DF">
        <w:rPr>
          <w:rFonts w:hint="eastAsia"/>
          <w:szCs w:val="20"/>
        </w:rPr>
        <w:t>核心竞争力，进一步丰富产品管线，做大业务规模，提升公司综合实力，</w:t>
      </w:r>
      <w:r w:rsidRPr="00B170DF">
        <w:rPr>
          <w:rFonts w:hint="eastAsia"/>
          <w:szCs w:val="20"/>
        </w:rPr>
        <w:lastRenderedPageBreak/>
        <w:t>对公司的发展战略具有积极影响；并有助于提高公司的抗风险能力和综合竞争力，巩固公司在行业内的优势地位，符合公司及公司全体股东的利益。</w:t>
      </w:r>
    </w:p>
    <w:p w14:paraId="00770119" w14:textId="77777777" w:rsidR="00624783" w:rsidRPr="00B170DF" w:rsidRDefault="00624783" w:rsidP="00624783">
      <w:pPr>
        <w:keepNext/>
        <w:keepLines/>
        <w:spacing w:before="163" w:after="163"/>
        <w:ind w:firstLine="482"/>
        <w:outlineLvl w:val="2"/>
        <w:rPr>
          <w:rFonts w:eastAsia="黑体"/>
          <w:b/>
          <w:bCs/>
          <w:kern w:val="0"/>
          <w:szCs w:val="32"/>
        </w:rPr>
      </w:pPr>
      <w:bookmarkStart w:id="57" w:name="_Toc3840"/>
      <w:bookmarkStart w:id="58" w:name="_Toc30241"/>
      <w:r w:rsidRPr="00B170DF">
        <w:rPr>
          <w:rFonts w:eastAsia="黑体" w:hint="eastAsia"/>
          <w:b/>
          <w:bCs/>
          <w:kern w:val="0"/>
          <w:szCs w:val="32"/>
        </w:rPr>
        <w:t>（二）本次发行对公司财务状况的影响</w:t>
      </w:r>
      <w:bookmarkEnd w:id="57"/>
      <w:bookmarkEnd w:id="58"/>
    </w:p>
    <w:p w14:paraId="7071BBED" w14:textId="77777777" w:rsidR="00624783" w:rsidRPr="00B170DF" w:rsidRDefault="00FD2DFB" w:rsidP="00624783">
      <w:pPr>
        <w:spacing w:before="163" w:after="163"/>
        <w:ind w:firstLine="480"/>
        <w:rPr>
          <w:szCs w:val="20"/>
        </w:rPr>
      </w:pPr>
      <w:r w:rsidRPr="00B170DF">
        <w:rPr>
          <w:rFonts w:hint="eastAsia"/>
          <w:szCs w:val="20"/>
        </w:rPr>
        <w:t>本次向特定对象发行募集资金到位后，公司的总资产和净资产均将相应增加，公司的资产结构将得到进一步的优化，公司资产负债率也将相应降低，财务结构更加稳健。本次向特定对象发行募集资金拟投资的项目围绕公司战略和主业，有利于丰富公司产品管线，进一步推进现有在</w:t>
      </w:r>
      <w:proofErr w:type="gramStart"/>
      <w:r w:rsidRPr="00B170DF">
        <w:rPr>
          <w:rFonts w:hint="eastAsia"/>
          <w:szCs w:val="20"/>
        </w:rPr>
        <w:t>研</w:t>
      </w:r>
      <w:proofErr w:type="gramEnd"/>
      <w:r w:rsidRPr="00B170DF">
        <w:rPr>
          <w:rFonts w:hint="eastAsia"/>
          <w:szCs w:val="20"/>
        </w:rPr>
        <w:t>药物研发进程。本次项目顺利实施后，公司在相关领域的市场地位和竞争力将进一步得以提升，从长远来看有利于进一步增强公司盈利能力。</w:t>
      </w:r>
    </w:p>
    <w:p w14:paraId="56435481" w14:textId="77777777" w:rsidR="00624783" w:rsidRPr="00B170DF" w:rsidRDefault="00624783" w:rsidP="00624783">
      <w:pPr>
        <w:pStyle w:val="001"/>
        <w:spacing w:before="163" w:after="163"/>
        <w:rPr>
          <w:color w:val="000000"/>
        </w:rPr>
      </w:pPr>
      <w:bookmarkStart w:id="59" w:name="_Toc194169724"/>
      <w:r w:rsidRPr="00B170DF">
        <w:rPr>
          <w:rFonts w:hint="eastAsia"/>
          <w:color w:val="000000"/>
        </w:rPr>
        <w:lastRenderedPageBreak/>
        <w:t>第三节</w:t>
      </w:r>
      <w:r w:rsidRPr="00B170DF">
        <w:rPr>
          <w:rFonts w:hint="eastAsia"/>
          <w:color w:val="000000"/>
        </w:rPr>
        <w:t xml:space="preserve"> </w:t>
      </w:r>
      <w:r w:rsidRPr="00B170DF">
        <w:rPr>
          <w:rFonts w:hint="eastAsia"/>
          <w:color w:val="000000"/>
        </w:rPr>
        <w:t>董事会关于本次发行对公司影响的讨论与分析</w:t>
      </w:r>
      <w:bookmarkEnd w:id="59"/>
    </w:p>
    <w:p w14:paraId="700DC355" w14:textId="77777777" w:rsidR="00624783" w:rsidRPr="00B170DF" w:rsidRDefault="00BC4C28" w:rsidP="00BC4C28">
      <w:pPr>
        <w:keepNext/>
        <w:keepLines/>
        <w:widowControl/>
        <w:spacing w:before="163" w:after="163"/>
        <w:ind w:firstLineChars="0" w:firstLine="0"/>
        <w:outlineLvl w:val="1"/>
        <w:rPr>
          <w:rFonts w:eastAsia="黑体"/>
          <w:b/>
          <w:bCs/>
          <w:color w:val="000000"/>
          <w:sz w:val="28"/>
          <w:szCs w:val="28"/>
        </w:rPr>
      </w:pPr>
      <w:bookmarkStart w:id="60" w:name="_Toc194169725"/>
      <w:r w:rsidRPr="00B170DF">
        <w:rPr>
          <w:rFonts w:eastAsia="黑体" w:hint="eastAsia"/>
          <w:b/>
          <w:bCs/>
          <w:color w:val="000000"/>
          <w:sz w:val="28"/>
          <w:szCs w:val="28"/>
        </w:rPr>
        <w:t>一、本次发行后公司业务、章程、股东结构、高管和业务结构的变动情况</w:t>
      </w:r>
      <w:bookmarkEnd w:id="60"/>
    </w:p>
    <w:p w14:paraId="5B0B985A" w14:textId="77777777" w:rsidR="006D2F2F" w:rsidRPr="00B170DF" w:rsidRDefault="00BC4C28" w:rsidP="00BC4C28">
      <w:pPr>
        <w:keepNext/>
        <w:keepLines/>
        <w:widowControl/>
        <w:spacing w:before="163" w:after="163"/>
        <w:ind w:firstLine="482"/>
        <w:jc w:val="left"/>
        <w:outlineLvl w:val="2"/>
        <w:rPr>
          <w:rFonts w:eastAsia="黑体"/>
          <w:b/>
          <w:bCs/>
          <w:szCs w:val="28"/>
        </w:rPr>
      </w:pPr>
      <w:r w:rsidRPr="00B170DF">
        <w:rPr>
          <w:rFonts w:eastAsia="黑体" w:hint="eastAsia"/>
          <w:b/>
          <w:bCs/>
          <w:szCs w:val="28"/>
        </w:rPr>
        <w:t>（一）</w:t>
      </w:r>
      <w:r w:rsidR="007B3A68" w:rsidRPr="00B170DF">
        <w:rPr>
          <w:rFonts w:eastAsia="黑体" w:hint="eastAsia"/>
          <w:b/>
          <w:bCs/>
          <w:szCs w:val="28"/>
        </w:rPr>
        <w:t>本次发行</w:t>
      </w:r>
      <w:r w:rsidRPr="00B170DF">
        <w:rPr>
          <w:rFonts w:eastAsia="黑体" w:hint="eastAsia"/>
          <w:b/>
          <w:bCs/>
          <w:szCs w:val="28"/>
        </w:rPr>
        <w:t>对公司业务的影响</w:t>
      </w:r>
    </w:p>
    <w:p w14:paraId="66E093ED" w14:textId="77777777" w:rsidR="00BC4C28" w:rsidRPr="00B170DF" w:rsidRDefault="007B3A68">
      <w:pPr>
        <w:spacing w:before="163" w:after="163"/>
        <w:ind w:firstLine="480"/>
        <w:rPr>
          <w:szCs w:val="20"/>
        </w:rPr>
      </w:pPr>
      <w:r w:rsidRPr="00B170DF">
        <w:rPr>
          <w:rFonts w:hint="eastAsia"/>
          <w:szCs w:val="20"/>
        </w:rPr>
        <w:t>公司本次募集资金投向“创新药研发项目”、“中药传统名方产业化”和“补充流动资金项目”，均系围绕公司由仿制药向创新药和大健康大消费产业的战略转型开展。</w:t>
      </w:r>
    </w:p>
    <w:p w14:paraId="5097E621" w14:textId="77777777" w:rsidR="00BC4C28" w:rsidRPr="00B170DF" w:rsidRDefault="007B3A68" w:rsidP="007B3A68">
      <w:pPr>
        <w:spacing w:before="163" w:after="163"/>
        <w:ind w:firstLine="480"/>
        <w:rPr>
          <w:szCs w:val="20"/>
        </w:rPr>
      </w:pPr>
      <w:r w:rsidRPr="00B170DF">
        <w:rPr>
          <w:rFonts w:hint="eastAsia"/>
          <w:szCs w:val="20"/>
        </w:rPr>
        <w:t>创新药研发项目</w:t>
      </w:r>
      <w:r w:rsidR="00FD2DFB" w:rsidRPr="00B170DF">
        <w:rPr>
          <w:rFonts w:hint="eastAsia"/>
          <w:szCs w:val="20"/>
        </w:rPr>
        <w:t>系基于公司在乙肝治疗及抗病毒领域多年的技术及经验积累，是公司主营业务的延伸，符合公司的业务发展方向和战略布局</w:t>
      </w:r>
      <w:r w:rsidRPr="00B170DF">
        <w:rPr>
          <w:rFonts w:hint="eastAsia"/>
          <w:szCs w:val="20"/>
        </w:rPr>
        <w:t>。中药传统名方产业化项目，有助于公司适应国内快速增长的大健康消费升级需求，并通过引进圆</w:t>
      </w:r>
      <w:proofErr w:type="gramStart"/>
      <w:r w:rsidRPr="00B170DF">
        <w:rPr>
          <w:rFonts w:hint="eastAsia"/>
          <w:szCs w:val="20"/>
        </w:rPr>
        <w:t>山基金</w:t>
      </w:r>
      <w:proofErr w:type="gramEnd"/>
      <w:r w:rsidRPr="00B170DF">
        <w:rPr>
          <w:rFonts w:hint="eastAsia"/>
          <w:szCs w:val="20"/>
        </w:rPr>
        <w:t>为战投，借助与漳州大健康产业的战略合作推进公司在中药大健康领域的战略布局。补充流动资金项目，有助于提升公司抗风险能力，满足公司的持续发展的营运资金需求。</w:t>
      </w:r>
    </w:p>
    <w:p w14:paraId="6E646391" w14:textId="77777777" w:rsidR="00BC4C28" w:rsidRPr="00B170DF" w:rsidRDefault="007B3A68">
      <w:pPr>
        <w:spacing w:before="163" w:after="163"/>
        <w:ind w:firstLine="480"/>
        <w:rPr>
          <w:szCs w:val="24"/>
        </w:rPr>
      </w:pPr>
      <w:r w:rsidRPr="00B170DF">
        <w:rPr>
          <w:rFonts w:hint="eastAsia"/>
          <w:szCs w:val="24"/>
        </w:rPr>
        <w:t>本次发行完成后，公司的主营业务范围不会产生重大变化。</w:t>
      </w:r>
    </w:p>
    <w:p w14:paraId="1C4C9AE1" w14:textId="77777777" w:rsidR="00BC4C28" w:rsidRPr="00B170DF" w:rsidRDefault="007B3A68" w:rsidP="007B3A68">
      <w:pPr>
        <w:keepNext/>
        <w:keepLines/>
        <w:widowControl/>
        <w:spacing w:before="163" w:after="163"/>
        <w:ind w:firstLine="482"/>
        <w:jc w:val="left"/>
        <w:outlineLvl w:val="2"/>
        <w:rPr>
          <w:rFonts w:eastAsia="黑体"/>
          <w:b/>
          <w:bCs/>
          <w:szCs w:val="28"/>
        </w:rPr>
      </w:pPr>
      <w:r w:rsidRPr="00B170DF">
        <w:rPr>
          <w:rFonts w:eastAsia="黑体" w:hint="eastAsia"/>
          <w:b/>
          <w:bCs/>
          <w:szCs w:val="28"/>
        </w:rPr>
        <w:t>（二）本次发行对公司章程的影响</w:t>
      </w:r>
    </w:p>
    <w:p w14:paraId="41DE5E1D" w14:textId="77777777" w:rsidR="00BC4C28" w:rsidRPr="00B170DF" w:rsidRDefault="007B3A68" w:rsidP="007B3A68">
      <w:pPr>
        <w:spacing w:before="163" w:after="163"/>
        <w:ind w:firstLine="480"/>
        <w:rPr>
          <w:szCs w:val="24"/>
        </w:rPr>
      </w:pPr>
      <w:r w:rsidRPr="00B170DF">
        <w:rPr>
          <w:rFonts w:hint="eastAsia"/>
          <w:szCs w:val="24"/>
        </w:rPr>
        <w:t>本次发行完成后，公司注册资本、股本总额及股本结构将发生变化，公司将按照相关法规规定及发行后的实际情况对《公司章程》相关条款进行修改，并办理工商变更登记。</w:t>
      </w:r>
    </w:p>
    <w:p w14:paraId="0ACD571B" w14:textId="77777777" w:rsidR="00BC4C28" w:rsidRPr="00B170DF" w:rsidRDefault="007B3A68" w:rsidP="007B3A68">
      <w:pPr>
        <w:keepNext/>
        <w:keepLines/>
        <w:widowControl/>
        <w:spacing w:before="163" w:after="163"/>
        <w:ind w:firstLine="482"/>
        <w:jc w:val="left"/>
        <w:outlineLvl w:val="2"/>
        <w:rPr>
          <w:rFonts w:eastAsia="黑体"/>
          <w:b/>
          <w:bCs/>
          <w:szCs w:val="28"/>
        </w:rPr>
      </w:pPr>
      <w:r w:rsidRPr="00B170DF">
        <w:rPr>
          <w:rFonts w:eastAsia="黑体" w:hint="eastAsia"/>
          <w:b/>
          <w:bCs/>
          <w:szCs w:val="28"/>
        </w:rPr>
        <w:t>（三）本次发行对股权结构的影响</w:t>
      </w:r>
    </w:p>
    <w:p w14:paraId="02934EC0" w14:textId="77777777" w:rsidR="00BC4C28" w:rsidRPr="00B170DF" w:rsidRDefault="007B3A68" w:rsidP="007B3A68">
      <w:pPr>
        <w:spacing w:before="163" w:after="163"/>
        <w:ind w:firstLine="480"/>
        <w:rPr>
          <w:szCs w:val="24"/>
        </w:rPr>
      </w:pPr>
      <w:r w:rsidRPr="00B170DF">
        <w:rPr>
          <w:rFonts w:hint="eastAsia"/>
          <w:szCs w:val="24"/>
        </w:rPr>
        <w:t>本次发行完成后，公司的股本规模、股东结构及持股比例将发生变化，本次发行不会导致公司控制权发生变化。本次发行完成后，公司股权分布仍符合上市条件。</w:t>
      </w:r>
    </w:p>
    <w:p w14:paraId="6840C81B" w14:textId="77777777" w:rsidR="007B3A68" w:rsidRPr="00B170DF" w:rsidRDefault="008F7BD6" w:rsidP="008F7BD6">
      <w:pPr>
        <w:keepNext/>
        <w:keepLines/>
        <w:widowControl/>
        <w:spacing w:before="163" w:after="163"/>
        <w:ind w:firstLine="482"/>
        <w:jc w:val="left"/>
        <w:outlineLvl w:val="2"/>
        <w:rPr>
          <w:rFonts w:eastAsia="黑体"/>
          <w:b/>
          <w:bCs/>
          <w:szCs w:val="28"/>
        </w:rPr>
      </w:pPr>
      <w:r w:rsidRPr="00B170DF">
        <w:rPr>
          <w:rFonts w:eastAsia="黑体" w:hint="eastAsia"/>
          <w:b/>
          <w:bCs/>
          <w:szCs w:val="28"/>
        </w:rPr>
        <w:lastRenderedPageBreak/>
        <w:t>（四）对高管人员结构的影响</w:t>
      </w:r>
    </w:p>
    <w:p w14:paraId="1849A208" w14:textId="77777777" w:rsidR="008F7BD6" w:rsidRPr="00B170DF" w:rsidRDefault="008F7BD6" w:rsidP="008F7BD6">
      <w:pPr>
        <w:spacing w:before="163" w:after="163"/>
        <w:ind w:firstLine="480"/>
        <w:rPr>
          <w:szCs w:val="24"/>
        </w:rPr>
      </w:pPr>
      <w:r w:rsidRPr="00B170DF">
        <w:rPr>
          <w:rFonts w:hint="eastAsia"/>
          <w:szCs w:val="24"/>
        </w:rPr>
        <w:t>截至本预案公告日，公司尚无对高管人员结构进行调整的计划。本次发行完成后，公司的高管人员结构不会因本次发行发生变化。若公司拟调整高管人员结构，将根据有关规定，履行必要的法律程序和信息披露义务。</w:t>
      </w:r>
    </w:p>
    <w:p w14:paraId="5BD9DECD" w14:textId="77777777" w:rsidR="007B3A68" w:rsidRPr="00B170DF" w:rsidRDefault="008F7BD6" w:rsidP="008F7BD6">
      <w:pPr>
        <w:keepNext/>
        <w:keepLines/>
        <w:widowControl/>
        <w:spacing w:before="163" w:after="163"/>
        <w:ind w:firstLine="482"/>
        <w:jc w:val="left"/>
        <w:outlineLvl w:val="2"/>
        <w:rPr>
          <w:rFonts w:eastAsia="黑体"/>
          <w:b/>
          <w:bCs/>
          <w:szCs w:val="28"/>
        </w:rPr>
      </w:pPr>
      <w:r w:rsidRPr="00B170DF">
        <w:rPr>
          <w:rFonts w:eastAsia="黑体" w:hint="eastAsia"/>
          <w:b/>
          <w:bCs/>
          <w:szCs w:val="28"/>
        </w:rPr>
        <w:t>（五）本次发行对业务结构的影响</w:t>
      </w:r>
    </w:p>
    <w:p w14:paraId="50454CC4" w14:textId="77777777" w:rsidR="007B3A68" w:rsidRPr="00B170DF" w:rsidRDefault="008F7BD6" w:rsidP="008F7BD6">
      <w:pPr>
        <w:spacing w:before="163" w:after="163"/>
        <w:ind w:firstLine="480"/>
        <w:rPr>
          <w:szCs w:val="24"/>
        </w:rPr>
      </w:pPr>
      <w:r w:rsidRPr="00B170DF">
        <w:rPr>
          <w:rFonts w:hint="eastAsia"/>
          <w:szCs w:val="24"/>
        </w:rPr>
        <w:t>本次募集资金投资项目紧密围绕公司主营业务开展，是对公司现有业务能力的</w:t>
      </w:r>
      <w:r w:rsidR="00C14C5D" w:rsidRPr="00B170DF">
        <w:rPr>
          <w:rFonts w:hint="eastAsia"/>
          <w:szCs w:val="24"/>
        </w:rPr>
        <w:t>升级</w:t>
      </w:r>
      <w:r w:rsidRPr="00B170DF">
        <w:rPr>
          <w:rFonts w:hint="eastAsia"/>
          <w:szCs w:val="24"/>
        </w:rPr>
        <w:t>。本次发行完成后，公司业务结构不会发生重大变化。</w:t>
      </w:r>
    </w:p>
    <w:p w14:paraId="0D9EE36F" w14:textId="77777777" w:rsidR="007B3A68" w:rsidRPr="00B170DF" w:rsidRDefault="004D234C" w:rsidP="004D234C">
      <w:pPr>
        <w:keepNext/>
        <w:keepLines/>
        <w:widowControl/>
        <w:spacing w:before="163" w:after="163"/>
        <w:ind w:firstLineChars="0" w:firstLine="0"/>
        <w:outlineLvl w:val="1"/>
        <w:rPr>
          <w:rFonts w:eastAsia="黑体"/>
          <w:b/>
          <w:bCs/>
          <w:color w:val="000000"/>
          <w:sz w:val="28"/>
          <w:szCs w:val="28"/>
        </w:rPr>
      </w:pPr>
      <w:bookmarkStart w:id="61" w:name="_Toc194169726"/>
      <w:r w:rsidRPr="00B170DF">
        <w:rPr>
          <w:rFonts w:eastAsia="黑体" w:hint="eastAsia"/>
          <w:b/>
          <w:bCs/>
          <w:color w:val="000000"/>
          <w:sz w:val="28"/>
          <w:szCs w:val="28"/>
        </w:rPr>
        <w:t>二、本次发行后公司财务状况、盈利能力及现金流量的变动情况</w:t>
      </w:r>
      <w:bookmarkEnd w:id="61"/>
    </w:p>
    <w:p w14:paraId="2387BFD7" w14:textId="77777777" w:rsidR="008F7BD6" w:rsidRPr="00B170DF" w:rsidRDefault="004D234C" w:rsidP="004D234C">
      <w:pPr>
        <w:spacing w:before="163" w:after="163"/>
        <w:ind w:firstLine="480"/>
        <w:rPr>
          <w:szCs w:val="24"/>
        </w:rPr>
      </w:pPr>
      <w:r w:rsidRPr="00B170DF">
        <w:rPr>
          <w:rFonts w:hint="eastAsia"/>
          <w:szCs w:val="24"/>
        </w:rPr>
        <w:t>本次发行募集资金到位后，公司的总资产及净资产规模将有所增加，财务状况将有所改善，盈利能力进一步提高，整体实力得到增强。本次发行对公司财务状况、盈利能力及现金流量的具体影响如下：</w:t>
      </w:r>
    </w:p>
    <w:p w14:paraId="29D75C85" w14:textId="77777777" w:rsidR="008F7BD6" w:rsidRPr="00B170DF" w:rsidRDefault="004D234C" w:rsidP="004D234C">
      <w:pPr>
        <w:keepNext/>
        <w:keepLines/>
        <w:widowControl/>
        <w:spacing w:before="163" w:after="163"/>
        <w:ind w:firstLine="482"/>
        <w:jc w:val="left"/>
        <w:outlineLvl w:val="2"/>
        <w:rPr>
          <w:rFonts w:eastAsia="黑体"/>
          <w:b/>
          <w:bCs/>
          <w:szCs w:val="28"/>
        </w:rPr>
      </w:pPr>
      <w:r w:rsidRPr="00B170DF">
        <w:rPr>
          <w:rFonts w:eastAsia="黑体" w:hint="eastAsia"/>
          <w:b/>
          <w:bCs/>
          <w:szCs w:val="28"/>
        </w:rPr>
        <w:t>（一）本次发行对公司财务状况的影响</w:t>
      </w:r>
    </w:p>
    <w:p w14:paraId="460523BF" w14:textId="77777777" w:rsidR="008F7BD6" w:rsidRPr="00B170DF" w:rsidRDefault="004D234C" w:rsidP="004D234C">
      <w:pPr>
        <w:spacing w:before="163" w:after="163"/>
        <w:ind w:firstLine="480"/>
        <w:rPr>
          <w:szCs w:val="24"/>
        </w:rPr>
      </w:pPr>
      <w:r w:rsidRPr="00B170DF">
        <w:rPr>
          <w:rFonts w:hint="eastAsia"/>
          <w:szCs w:val="24"/>
        </w:rPr>
        <w:t>本次发行完成后，公司总资产和净资产将有所增加，公司资产负债率及财务风险将进一步降低，公司财务结构将更加稳健合理，经营抗风险能力将进一步加强。</w:t>
      </w:r>
    </w:p>
    <w:p w14:paraId="4E393086" w14:textId="77777777" w:rsidR="004D234C" w:rsidRPr="00B170DF" w:rsidRDefault="004D234C" w:rsidP="004D234C">
      <w:pPr>
        <w:keepNext/>
        <w:keepLines/>
        <w:widowControl/>
        <w:spacing w:before="163" w:after="163"/>
        <w:ind w:firstLine="482"/>
        <w:jc w:val="left"/>
        <w:outlineLvl w:val="2"/>
        <w:rPr>
          <w:rFonts w:eastAsia="黑体"/>
          <w:b/>
          <w:bCs/>
          <w:szCs w:val="28"/>
        </w:rPr>
      </w:pPr>
      <w:r w:rsidRPr="00B170DF">
        <w:rPr>
          <w:rFonts w:eastAsia="黑体" w:hint="eastAsia"/>
          <w:b/>
          <w:bCs/>
          <w:szCs w:val="28"/>
        </w:rPr>
        <w:t>（二）本次发行对公司盈利能力的影响</w:t>
      </w:r>
    </w:p>
    <w:p w14:paraId="0307723B" w14:textId="77777777" w:rsidR="004D234C" w:rsidRPr="00B170DF" w:rsidRDefault="00BD6A17" w:rsidP="00BD6A17">
      <w:pPr>
        <w:spacing w:before="163" w:after="163"/>
        <w:ind w:firstLine="480"/>
        <w:rPr>
          <w:szCs w:val="24"/>
        </w:rPr>
      </w:pPr>
      <w:r w:rsidRPr="00B170DF">
        <w:rPr>
          <w:rFonts w:hint="eastAsia"/>
          <w:szCs w:val="24"/>
        </w:rPr>
        <w:t>本次发行完成后，由于募集资金投资项目的经济效益需要一段时间实现，因此短期内可能会导致净资产收益率、每股收益等财务指标出现一定程度的下降。但从长远来看，本次募集资金投资项目的实施将对公司主营业务的发展产生积极影响，提升公司的综合竞争力，随着募集资金投资项目预期效益的实现，公司的盈利能力将会进一步增强。</w:t>
      </w:r>
    </w:p>
    <w:p w14:paraId="4FB5E3FA" w14:textId="77777777" w:rsidR="004D234C" w:rsidRPr="00B170DF" w:rsidRDefault="004021D2" w:rsidP="004021D2">
      <w:pPr>
        <w:keepNext/>
        <w:keepLines/>
        <w:widowControl/>
        <w:spacing w:before="163" w:after="163"/>
        <w:ind w:firstLine="482"/>
        <w:jc w:val="left"/>
        <w:outlineLvl w:val="2"/>
        <w:rPr>
          <w:rFonts w:eastAsia="黑体"/>
          <w:b/>
          <w:bCs/>
          <w:szCs w:val="28"/>
        </w:rPr>
      </w:pPr>
      <w:r w:rsidRPr="00B170DF">
        <w:rPr>
          <w:rFonts w:eastAsia="黑体" w:hint="eastAsia"/>
          <w:b/>
          <w:bCs/>
          <w:szCs w:val="28"/>
        </w:rPr>
        <w:t>（三）对现金流量的影响</w:t>
      </w:r>
    </w:p>
    <w:p w14:paraId="0FF7BD8D" w14:textId="77777777" w:rsidR="004D234C" w:rsidRPr="00B170DF" w:rsidRDefault="004021D2" w:rsidP="004021D2">
      <w:pPr>
        <w:spacing w:before="163" w:after="163"/>
        <w:ind w:firstLine="480"/>
        <w:rPr>
          <w:szCs w:val="24"/>
        </w:rPr>
      </w:pPr>
      <w:r w:rsidRPr="00B170DF">
        <w:rPr>
          <w:rFonts w:hint="eastAsia"/>
          <w:szCs w:val="24"/>
        </w:rPr>
        <w:t>本次</w:t>
      </w:r>
      <w:r w:rsidR="005B7FDD" w:rsidRPr="00B170DF">
        <w:rPr>
          <w:rFonts w:hint="eastAsia"/>
          <w:szCs w:val="24"/>
        </w:rPr>
        <w:t>向特定对象发行</w:t>
      </w:r>
      <w:r w:rsidR="005B7FDD" w:rsidRPr="00B170DF">
        <w:rPr>
          <w:rFonts w:hint="eastAsia"/>
          <w:szCs w:val="24"/>
        </w:rPr>
        <w:t>A</w:t>
      </w:r>
      <w:r w:rsidR="005B7FDD" w:rsidRPr="00B170DF">
        <w:rPr>
          <w:rFonts w:hint="eastAsia"/>
          <w:szCs w:val="24"/>
        </w:rPr>
        <w:t>股股票</w:t>
      </w:r>
      <w:r w:rsidRPr="00B170DF">
        <w:rPr>
          <w:rFonts w:hint="eastAsia"/>
          <w:szCs w:val="24"/>
        </w:rPr>
        <w:t>完成后，随着募集资金的到位，公司筹资活动现金流入将有所增加，公司资本实力显著增厚，抗风险能力显著增强，为实现</w:t>
      </w:r>
      <w:r w:rsidRPr="00B170DF">
        <w:rPr>
          <w:rFonts w:hint="eastAsia"/>
          <w:szCs w:val="24"/>
        </w:rPr>
        <w:lastRenderedPageBreak/>
        <w:t>可持续发展奠定基础。未来，随着募集资金投资项目投产并产生效益，将有助于扩大公司经营活动现金流入规模。</w:t>
      </w:r>
    </w:p>
    <w:p w14:paraId="2E2F7888" w14:textId="77777777" w:rsidR="004D234C" w:rsidRPr="00B170DF" w:rsidRDefault="002A04DA" w:rsidP="002A04DA">
      <w:pPr>
        <w:keepNext/>
        <w:keepLines/>
        <w:widowControl/>
        <w:spacing w:before="163" w:after="163"/>
        <w:ind w:firstLineChars="0" w:firstLine="0"/>
        <w:outlineLvl w:val="1"/>
        <w:rPr>
          <w:rFonts w:eastAsia="黑体"/>
          <w:b/>
          <w:bCs/>
          <w:color w:val="000000"/>
          <w:sz w:val="28"/>
          <w:szCs w:val="28"/>
        </w:rPr>
      </w:pPr>
      <w:bookmarkStart w:id="62" w:name="_Toc194169727"/>
      <w:r w:rsidRPr="00B170DF">
        <w:rPr>
          <w:rFonts w:eastAsia="黑体" w:hint="eastAsia"/>
          <w:b/>
          <w:bCs/>
          <w:color w:val="000000"/>
          <w:sz w:val="28"/>
          <w:szCs w:val="28"/>
        </w:rPr>
        <w:t>三、公司与控股股东、实际控制人及其关联人之间的业务关系、管理关系、同业竞争及关联交易等变化情况</w:t>
      </w:r>
      <w:bookmarkEnd w:id="62"/>
    </w:p>
    <w:p w14:paraId="6E2FB69F" w14:textId="77777777" w:rsidR="004D234C" w:rsidRPr="00B170DF" w:rsidRDefault="002A04DA" w:rsidP="002A04DA">
      <w:pPr>
        <w:spacing w:before="163" w:after="163"/>
        <w:ind w:firstLine="480"/>
        <w:rPr>
          <w:szCs w:val="24"/>
        </w:rPr>
      </w:pPr>
      <w:r w:rsidRPr="00B170DF">
        <w:rPr>
          <w:rFonts w:hint="eastAsia"/>
          <w:szCs w:val="24"/>
        </w:rPr>
        <w:t>公司经营管理体系完善、人员机构配置完整，具有自主的独立经营能力。本次发行前，公司在业务、人员、资产、机构、财务等方面均独立运行。本次发行完成后，公司仍保持在业务、人员、资产、机构、财务等方面均独立运行，公司与控股股东、实际控制人及其关联人之间的业务关系、管理关系和不存在同业竞争状况不会发生变化，也不会产生新的关联交易和同业竞争。</w:t>
      </w:r>
    </w:p>
    <w:p w14:paraId="377DDAF6" w14:textId="77777777" w:rsidR="002A04DA" w:rsidRPr="00B170DF" w:rsidRDefault="002A04DA" w:rsidP="002A04DA">
      <w:pPr>
        <w:keepNext/>
        <w:keepLines/>
        <w:widowControl/>
        <w:spacing w:before="163" w:after="163"/>
        <w:ind w:firstLineChars="0" w:firstLine="0"/>
        <w:outlineLvl w:val="1"/>
        <w:rPr>
          <w:rFonts w:eastAsia="黑体"/>
          <w:b/>
          <w:bCs/>
          <w:color w:val="000000"/>
          <w:sz w:val="28"/>
          <w:szCs w:val="28"/>
        </w:rPr>
      </w:pPr>
      <w:bookmarkStart w:id="63" w:name="_Toc194169728"/>
      <w:r w:rsidRPr="00B170DF">
        <w:rPr>
          <w:rFonts w:eastAsia="黑体" w:hint="eastAsia"/>
          <w:b/>
          <w:bCs/>
          <w:color w:val="000000"/>
          <w:sz w:val="28"/>
          <w:szCs w:val="28"/>
        </w:rPr>
        <w:t>四、本次发行完成后，公司是否存在资金、资产被控股股东、实际控制人及其关联人占用的情形，或公司为控股股东、实际控制人及其关联人提供担保的情形</w:t>
      </w:r>
      <w:bookmarkEnd w:id="63"/>
    </w:p>
    <w:p w14:paraId="7245EA1A" w14:textId="77777777" w:rsidR="002A04DA" w:rsidRPr="00B170DF" w:rsidRDefault="002A04DA" w:rsidP="002A04DA">
      <w:pPr>
        <w:spacing w:before="163" w:after="163"/>
        <w:ind w:firstLine="480"/>
        <w:rPr>
          <w:szCs w:val="24"/>
        </w:rPr>
      </w:pPr>
      <w:r w:rsidRPr="00B170DF">
        <w:rPr>
          <w:rFonts w:hint="eastAsia"/>
          <w:szCs w:val="24"/>
        </w:rPr>
        <w:t>截至本预案</w:t>
      </w:r>
      <w:r w:rsidR="00FD2DFB" w:rsidRPr="00B170DF">
        <w:rPr>
          <w:rFonts w:hint="eastAsia"/>
          <w:szCs w:val="24"/>
        </w:rPr>
        <w:t>公告</w:t>
      </w:r>
      <w:r w:rsidRPr="00B170DF">
        <w:rPr>
          <w:rFonts w:hint="eastAsia"/>
          <w:szCs w:val="24"/>
        </w:rPr>
        <w:t>之日，公司不存在资金、资产被控股股东、实际控制人及其关联人占用的情况，亦不存在为控股股东、实际控制人及其关联人违规提供担保的情形。公司也不会因本次发行而产生资金、资产被控股股东、实际控制人及其关联人占用以及为其违规提供担保的情况。</w:t>
      </w:r>
    </w:p>
    <w:p w14:paraId="7F32E65F" w14:textId="77777777" w:rsidR="002A04DA" w:rsidRPr="00B170DF" w:rsidRDefault="002A04DA" w:rsidP="002A04DA">
      <w:pPr>
        <w:keepNext/>
        <w:keepLines/>
        <w:widowControl/>
        <w:spacing w:before="163" w:after="163"/>
        <w:ind w:firstLineChars="0" w:firstLine="0"/>
        <w:outlineLvl w:val="1"/>
        <w:rPr>
          <w:rFonts w:eastAsia="黑体"/>
          <w:b/>
          <w:bCs/>
          <w:color w:val="000000"/>
          <w:sz w:val="28"/>
          <w:szCs w:val="28"/>
        </w:rPr>
      </w:pPr>
      <w:bookmarkStart w:id="64" w:name="_Toc194169729"/>
      <w:r w:rsidRPr="00B170DF">
        <w:rPr>
          <w:rFonts w:eastAsia="黑体" w:hint="eastAsia"/>
          <w:b/>
          <w:bCs/>
          <w:color w:val="000000"/>
          <w:sz w:val="28"/>
          <w:szCs w:val="28"/>
        </w:rPr>
        <w:t>五、本次发行对公司负债情况的影响</w:t>
      </w:r>
      <w:bookmarkEnd w:id="64"/>
    </w:p>
    <w:p w14:paraId="5EBCBF53" w14:textId="77777777" w:rsidR="002A04DA" w:rsidRPr="00B170DF" w:rsidRDefault="00FF6DAE" w:rsidP="00FF6DAE">
      <w:pPr>
        <w:spacing w:before="163" w:after="163"/>
        <w:ind w:firstLine="480"/>
        <w:rPr>
          <w:szCs w:val="24"/>
        </w:rPr>
      </w:pPr>
      <w:r w:rsidRPr="00B170DF">
        <w:rPr>
          <w:rFonts w:hint="eastAsia"/>
          <w:szCs w:val="24"/>
        </w:rPr>
        <w:t>本次发行完成后，公司的资产负债率将有所下降，抵御风险能力将进一步增强；随着</w:t>
      </w:r>
      <w:proofErr w:type="gramStart"/>
      <w:r w:rsidRPr="00B170DF">
        <w:rPr>
          <w:rFonts w:hint="eastAsia"/>
          <w:szCs w:val="24"/>
        </w:rPr>
        <w:t>募投项目</w:t>
      </w:r>
      <w:proofErr w:type="gramEnd"/>
      <w:r w:rsidRPr="00B170DF">
        <w:rPr>
          <w:rFonts w:hint="eastAsia"/>
          <w:szCs w:val="24"/>
        </w:rPr>
        <w:t>的建设和实施，新增产能逐步释放，随着经营规模增大，流动负债将相应增加，本次发行不会导致公司出现负债比例过低、财务成本不合理的情况。公司不存在通过本次发行大量增加负债（包括或有负债）的情况。</w:t>
      </w:r>
    </w:p>
    <w:p w14:paraId="0A04B3E3" w14:textId="77777777" w:rsidR="002A04DA" w:rsidRPr="00B170DF" w:rsidRDefault="00FF6DAE" w:rsidP="00FF6DAE">
      <w:pPr>
        <w:keepNext/>
        <w:keepLines/>
        <w:widowControl/>
        <w:spacing w:before="163" w:after="163"/>
        <w:ind w:firstLineChars="0" w:firstLine="0"/>
        <w:outlineLvl w:val="1"/>
        <w:rPr>
          <w:rFonts w:eastAsia="黑体"/>
          <w:b/>
          <w:bCs/>
          <w:color w:val="000000"/>
          <w:sz w:val="28"/>
          <w:szCs w:val="28"/>
        </w:rPr>
      </w:pPr>
      <w:bookmarkStart w:id="65" w:name="_Toc194169730"/>
      <w:r w:rsidRPr="00B170DF">
        <w:rPr>
          <w:rFonts w:eastAsia="黑体" w:hint="eastAsia"/>
          <w:b/>
          <w:bCs/>
          <w:color w:val="000000"/>
          <w:sz w:val="28"/>
          <w:szCs w:val="28"/>
        </w:rPr>
        <w:lastRenderedPageBreak/>
        <w:t>六、本次发行的相关风险</w:t>
      </w:r>
      <w:bookmarkEnd w:id="65"/>
    </w:p>
    <w:p w14:paraId="7175D20B" w14:textId="77777777" w:rsidR="003B5A2A" w:rsidRPr="00B170DF" w:rsidRDefault="003B5A2A" w:rsidP="003B5A2A">
      <w:pPr>
        <w:keepNext/>
        <w:keepLines/>
        <w:widowControl/>
        <w:spacing w:before="163" w:after="163"/>
        <w:ind w:firstLine="482"/>
        <w:jc w:val="left"/>
        <w:outlineLvl w:val="2"/>
        <w:rPr>
          <w:rFonts w:eastAsia="黑体"/>
          <w:b/>
          <w:bCs/>
          <w:szCs w:val="28"/>
        </w:rPr>
      </w:pPr>
      <w:bookmarkStart w:id="66" w:name="_Toc128478261"/>
      <w:bookmarkStart w:id="67" w:name="_Hlk126769257"/>
      <w:bookmarkStart w:id="68" w:name="_Hlk126073590"/>
      <w:r w:rsidRPr="00B170DF">
        <w:rPr>
          <w:rFonts w:eastAsia="黑体" w:hint="eastAsia"/>
          <w:b/>
          <w:bCs/>
          <w:szCs w:val="28"/>
        </w:rPr>
        <w:t>（一）行业政策与市场风险</w:t>
      </w:r>
      <w:bookmarkEnd w:id="66"/>
    </w:p>
    <w:p w14:paraId="5007F43E" w14:textId="77777777" w:rsidR="003B5A2A" w:rsidRPr="00B170DF" w:rsidRDefault="003B5A2A" w:rsidP="003B5A2A">
      <w:pPr>
        <w:keepNext/>
        <w:keepLines/>
        <w:spacing w:before="163" w:after="163"/>
        <w:ind w:firstLine="482"/>
        <w:rPr>
          <w:b/>
          <w:bCs/>
          <w:kern w:val="0"/>
          <w:szCs w:val="24"/>
        </w:rPr>
      </w:pPr>
      <w:r w:rsidRPr="00B170DF">
        <w:rPr>
          <w:rFonts w:hint="eastAsia"/>
          <w:b/>
          <w:bCs/>
          <w:kern w:val="0"/>
          <w:szCs w:val="24"/>
        </w:rPr>
        <w:t>1</w:t>
      </w:r>
      <w:r w:rsidRPr="00B170DF">
        <w:rPr>
          <w:rFonts w:hint="eastAsia"/>
          <w:b/>
          <w:bCs/>
          <w:kern w:val="0"/>
          <w:szCs w:val="24"/>
        </w:rPr>
        <w:t>、产业政策变化风险</w:t>
      </w:r>
    </w:p>
    <w:p w14:paraId="5C31DF4A" w14:textId="77777777" w:rsidR="003B5A2A" w:rsidRPr="00B170DF" w:rsidRDefault="003B5A2A" w:rsidP="003B5A2A">
      <w:pPr>
        <w:spacing w:before="163" w:afterLines="0" w:after="160"/>
        <w:ind w:firstLine="480"/>
        <w:rPr>
          <w:szCs w:val="20"/>
        </w:rPr>
      </w:pPr>
      <w:r w:rsidRPr="00B170DF">
        <w:rPr>
          <w:rFonts w:hint="eastAsia"/>
          <w:kern w:val="0"/>
          <w:szCs w:val="20"/>
        </w:rPr>
        <w:t>近年来，国家引导和鼓励战略性新兴产业进行产业升级和结构优化，支持以创新为驱动的医药行业的发展，医药企业面临难得的创新发展机遇。但随着医疗体制改革的深入，“两票制”、“一致性</w:t>
      </w:r>
      <w:r w:rsidRPr="00B170DF">
        <w:rPr>
          <w:kern w:val="0"/>
          <w:szCs w:val="20"/>
        </w:rPr>
        <w:t>评价</w:t>
      </w:r>
      <w:r w:rsidRPr="00B170DF">
        <w:rPr>
          <w:rFonts w:hint="eastAsia"/>
          <w:kern w:val="0"/>
          <w:szCs w:val="20"/>
        </w:rPr>
        <w:t>”、“带量</w:t>
      </w:r>
      <w:r w:rsidRPr="00B170DF">
        <w:rPr>
          <w:kern w:val="0"/>
          <w:szCs w:val="20"/>
        </w:rPr>
        <w:t>采购</w:t>
      </w:r>
      <w:r w:rsidRPr="00B170DF">
        <w:rPr>
          <w:rFonts w:hint="eastAsia"/>
          <w:kern w:val="0"/>
          <w:szCs w:val="20"/>
        </w:rPr>
        <w:t>”等</w:t>
      </w:r>
      <w:r w:rsidRPr="00B170DF">
        <w:rPr>
          <w:kern w:val="0"/>
          <w:szCs w:val="20"/>
        </w:rPr>
        <w:t>政策陆续推出</w:t>
      </w:r>
      <w:r w:rsidRPr="00B170DF">
        <w:rPr>
          <w:rFonts w:hint="eastAsia"/>
          <w:kern w:val="0"/>
          <w:szCs w:val="20"/>
        </w:rPr>
        <w:t>，医药行业的药品研发、注册、生产与质量管理、销售、招标价格等</w:t>
      </w:r>
      <w:r w:rsidRPr="00B170DF">
        <w:rPr>
          <w:kern w:val="0"/>
          <w:szCs w:val="20"/>
        </w:rPr>
        <w:t>受到</w:t>
      </w:r>
      <w:r w:rsidRPr="00B170DF">
        <w:rPr>
          <w:rFonts w:hint="eastAsia"/>
          <w:kern w:val="0"/>
          <w:szCs w:val="20"/>
        </w:rPr>
        <w:t>重大影响，短期对国内医药企业带来较大的经营压力和挑战，在一定程度上增加了经营风险。</w:t>
      </w:r>
      <w:r w:rsidRPr="00B170DF">
        <w:rPr>
          <w:szCs w:val="20"/>
        </w:rPr>
        <w:t>上述政策可能导致公司产品的销售地区、销售价格受到限制，若公司在经营策略上不能及时调整，顺应国家有关医药行业的政策和行业法规的变化，将会对公司经营活动产生不利影响。</w:t>
      </w:r>
    </w:p>
    <w:p w14:paraId="005001E3"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2</w:t>
      </w:r>
      <w:r w:rsidRPr="00B170DF">
        <w:rPr>
          <w:rFonts w:hint="eastAsia"/>
          <w:b/>
          <w:bCs/>
          <w:kern w:val="0"/>
          <w:szCs w:val="24"/>
        </w:rPr>
        <w:t>、市场竞争加剧风险</w:t>
      </w:r>
    </w:p>
    <w:p w14:paraId="18651970" w14:textId="77777777" w:rsidR="003B5A2A" w:rsidRPr="00B170DF" w:rsidRDefault="003B5A2A" w:rsidP="003B5A2A">
      <w:pPr>
        <w:spacing w:before="163" w:afterLines="0" w:after="160"/>
        <w:ind w:firstLine="480"/>
        <w:rPr>
          <w:kern w:val="0"/>
          <w:szCs w:val="20"/>
        </w:rPr>
      </w:pPr>
      <w:r w:rsidRPr="00B170DF">
        <w:rPr>
          <w:rFonts w:hint="eastAsia"/>
          <w:kern w:val="0"/>
          <w:szCs w:val="20"/>
        </w:rPr>
        <w:t>中国医药市场广阔而且发展潜力大，国际、国内企业竞相进入，市场竞争不断加剧，仿制</w:t>
      </w:r>
      <w:proofErr w:type="gramStart"/>
      <w:r w:rsidRPr="00B170DF">
        <w:rPr>
          <w:rFonts w:hint="eastAsia"/>
          <w:kern w:val="0"/>
          <w:szCs w:val="20"/>
        </w:rPr>
        <w:t>药领域</w:t>
      </w:r>
      <w:proofErr w:type="gramEnd"/>
      <w:r w:rsidRPr="00B170DF">
        <w:rPr>
          <w:rFonts w:hint="eastAsia"/>
          <w:kern w:val="0"/>
          <w:szCs w:val="20"/>
        </w:rPr>
        <w:t>与创新药研发领域的商业化竞争均日趋激烈，给医药企业带来持续的经营压力。目前，公司已上市药品及在</w:t>
      </w:r>
      <w:proofErr w:type="gramStart"/>
      <w:r w:rsidRPr="00B170DF">
        <w:rPr>
          <w:rFonts w:hint="eastAsia"/>
          <w:kern w:val="0"/>
          <w:szCs w:val="20"/>
        </w:rPr>
        <w:t>研</w:t>
      </w:r>
      <w:proofErr w:type="gramEnd"/>
      <w:r w:rsidRPr="00B170DF">
        <w:rPr>
          <w:rFonts w:hint="eastAsia"/>
          <w:kern w:val="0"/>
          <w:szCs w:val="20"/>
        </w:rPr>
        <w:t>药品均面临及可能面临来自全球的主要制药公司的竞争。</w:t>
      </w:r>
      <w:r w:rsidRPr="00B170DF">
        <w:rPr>
          <w:kern w:val="0"/>
          <w:szCs w:val="20"/>
        </w:rPr>
        <w:t>如果公司不能够在工艺研发、产品质量处于领先优势，不能在销售网络建设和营销策略的设计等方面适应市场竞争状况的变化，不能保持并不断提高市场占有率、加强品牌建设，公司可能在市场竞争中无法</w:t>
      </w:r>
      <w:r w:rsidRPr="00B170DF">
        <w:rPr>
          <w:rFonts w:hint="eastAsia"/>
          <w:kern w:val="0"/>
          <w:szCs w:val="20"/>
        </w:rPr>
        <w:t>持续</w:t>
      </w:r>
      <w:r w:rsidRPr="00B170DF">
        <w:rPr>
          <w:kern w:val="0"/>
          <w:szCs w:val="20"/>
        </w:rPr>
        <w:t>保持</w:t>
      </w:r>
      <w:r w:rsidRPr="00B170DF">
        <w:rPr>
          <w:rFonts w:hint="eastAsia"/>
          <w:kern w:val="0"/>
          <w:szCs w:val="20"/>
        </w:rPr>
        <w:t>或提升</w:t>
      </w:r>
      <w:r w:rsidRPr="00B170DF">
        <w:rPr>
          <w:kern w:val="0"/>
          <w:szCs w:val="20"/>
        </w:rPr>
        <w:t>自身的竞争优势，从而对公司的效益产生影响。</w:t>
      </w:r>
    </w:p>
    <w:p w14:paraId="798DAB76"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3</w:t>
      </w:r>
      <w:r w:rsidRPr="00B170DF">
        <w:rPr>
          <w:rFonts w:hint="eastAsia"/>
          <w:b/>
          <w:bCs/>
          <w:kern w:val="0"/>
          <w:szCs w:val="24"/>
        </w:rPr>
        <w:t>、药品价格下降风险</w:t>
      </w:r>
    </w:p>
    <w:p w14:paraId="4AF7CAE7" w14:textId="77777777" w:rsidR="003B5A2A" w:rsidRPr="00B170DF" w:rsidRDefault="003B5A2A" w:rsidP="003B5A2A">
      <w:pPr>
        <w:spacing w:before="163" w:afterLines="0" w:after="160"/>
        <w:ind w:firstLine="480"/>
        <w:rPr>
          <w:szCs w:val="20"/>
        </w:rPr>
      </w:pPr>
      <w:r w:rsidRPr="00B170DF">
        <w:rPr>
          <w:szCs w:val="32"/>
        </w:rPr>
        <w:t>药品作为与国民经济发展和社会公众生活关系重大的商品，其价格受国家政策影响较大</w:t>
      </w:r>
      <w:r w:rsidRPr="00B170DF">
        <w:rPr>
          <w:rFonts w:hint="eastAsia"/>
          <w:szCs w:val="32"/>
        </w:rPr>
        <w:t>。</w:t>
      </w:r>
      <w:r w:rsidRPr="00B170DF">
        <w:rPr>
          <w:szCs w:val="32"/>
        </w:rPr>
        <w:t>随着医疗体制改革的深入，国家相继出台了以降低价格为主要导向的集中招标、药品零加价、差别定价</w:t>
      </w:r>
      <w:proofErr w:type="gramStart"/>
      <w:r w:rsidRPr="00B170DF">
        <w:rPr>
          <w:szCs w:val="32"/>
        </w:rPr>
        <w:t>及集中</w:t>
      </w:r>
      <w:proofErr w:type="gramEnd"/>
      <w:r w:rsidRPr="00B170DF">
        <w:rPr>
          <w:szCs w:val="32"/>
        </w:rPr>
        <w:t>带量采购等药品价格管理制度和药品流通环节价格管理的暂行办法，对列入政府定价范围的药品价格进行全面调整。</w:t>
      </w:r>
      <w:r w:rsidRPr="00B170DF">
        <w:rPr>
          <w:rFonts w:hint="eastAsia"/>
          <w:szCs w:val="32"/>
        </w:rPr>
        <w:t>其中，集中带量采购政策对报告期内公司</w:t>
      </w:r>
      <w:r w:rsidRPr="00B170DF">
        <w:rPr>
          <w:rFonts w:hint="eastAsia"/>
          <w:kern w:val="0"/>
          <w:szCs w:val="20"/>
        </w:rPr>
        <w:t>抗乙肝病毒药物的价格和毛利率产生了</w:t>
      </w:r>
      <w:r w:rsidRPr="00B170DF">
        <w:rPr>
          <w:rFonts w:hint="eastAsia"/>
          <w:kern w:val="0"/>
          <w:szCs w:val="20"/>
        </w:rPr>
        <w:lastRenderedPageBreak/>
        <w:t>较大影响。未来随着集</w:t>
      </w:r>
      <w:proofErr w:type="gramStart"/>
      <w:r w:rsidRPr="00B170DF">
        <w:rPr>
          <w:rFonts w:hint="eastAsia"/>
          <w:kern w:val="0"/>
          <w:szCs w:val="20"/>
        </w:rPr>
        <w:t>采实施</w:t>
      </w:r>
      <w:proofErr w:type="gramEnd"/>
      <w:r w:rsidRPr="00B170DF">
        <w:rPr>
          <w:rFonts w:hint="eastAsia"/>
          <w:kern w:val="0"/>
          <w:szCs w:val="20"/>
        </w:rPr>
        <w:t>的进一步深入，</w:t>
      </w:r>
      <w:proofErr w:type="gramStart"/>
      <w:r w:rsidRPr="00B170DF">
        <w:rPr>
          <w:rFonts w:hint="eastAsia"/>
          <w:kern w:val="0"/>
          <w:szCs w:val="20"/>
        </w:rPr>
        <w:t>若相关</w:t>
      </w:r>
      <w:proofErr w:type="gramEnd"/>
      <w:r w:rsidRPr="00B170DF">
        <w:rPr>
          <w:rFonts w:hint="eastAsia"/>
          <w:kern w:val="0"/>
          <w:szCs w:val="20"/>
        </w:rPr>
        <w:t>药品中标价格进一步下降或公司的其他产品也进入集采目录，将对公司未来产品销售价格产生不利影响，进一步影响到公司的整体盈利能力。</w:t>
      </w:r>
    </w:p>
    <w:p w14:paraId="1F2FE7B2" w14:textId="77777777" w:rsidR="003B5A2A" w:rsidRPr="00B170DF" w:rsidRDefault="003B5A2A" w:rsidP="003B5A2A">
      <w:pPr>
        <w:keepNext/>
        <w:keepLines/>
        <w:widowControl/>
        <w:spacing w:before="163" w:after="163"/>
        <w:ind w:firstLineChars="0" w:firstLine="482"/>
        <w:jc w:val="left"/>
        <w:outlineLvl w:val="2"/>
        <w:rPr>
          <w:rFonts w:eastAsia="黑体"/>
          <w:b/>
          <w:bCs/>
          <w:szCs w:val="28"/>
        </w:rPr>
      </w:pPr>
      <w:bookmarkStart w:id="69" w:name="_Toc128478262"/>
      <w:bookmarkEnd w:id="67"/>
      <w:r w:rsidRPr="00B170DF">
        <w:rPr>
          <w:rFonts w:eastAsia="黑体" w:hint="eastAsia"/>
          <w:b/>
          <w:bCs/>
          <w:szCs w:val="28"/>
        </w:rPr>
        <w:t>（二）技术与产品风险</w:t>
      </w:r>
      <w:bookmarkEnd w:id="69"/>
    </w:p>
    <w:p w14:paraId="0BD86119"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1</w:t>
      </w:r>
      <w:r w:rsidRPr="00B170DF">
        <w:rPr>
          <w:rFonts w:hint="eastAsia"/>
          <w:b/>
          <w:bCs/>
          <w:kern w:val="0"/>
          <w:szCs w:val="24"/>
        </w:rPr>
        <w:t>、新药研发风险</w:t>
      </w:r>
    </w:p>
    <w:p w14:paraId="0711AFDC" w14:textId="77777777" w:rsidR="003B5A2A" w:rsidRPr="00B170DF" w:rsidRDefault="003B5A2A" w:rsidP="003B5A2A">
      <w:pPr>
        <w:widowControl/>
        <w:spacing w:before="163" w:afterLines="0" w:after="160"/>
        <w:ind w:firstLine="480"/>
      </w:pPr>
      <w:r w:rsidRPr="00B170DF">
        <w:t>新药研发涉及多个学科的专业知识组合、长时间的投入和高昂资本开支，具有投入大、风险高、周期长等特点。根据《药品注册管理办法》等相关规定，新药注册一般需经过临床前基础工作、临床试验申请审评、开展系列临床试验研究、新药上市许可审评等阶段</w:t>
      </w:r>
      <w:r w:rsidRPr="00B170DF">
        <w:rPr>
          <w:rFonts w:hint="eastAsia"/>
        </w:rPr>
        <w:t>。目前公司的在</w:t>
      </w:r>
      <w:proofErr w:type="gramStart"/>
      <w:r w:rsidRPr="00B170DF">
        <w:rPr>
          <w:rFonts w:hint="eastAsia"/>
        </w:rPr>
        <w:t>研</w:t>
      </w:r>
      <w:proofErr w:type="gramEnd"/>
      <w:r w:rsidRPr="00B170DF">
        <w:rPr>
          <w:rFonts w:hint="eastAsia"/>
        </w:rPr>
        <w:t>创新药均已进入临床试验阶段并在前期的研究及试验中取得了较好的结果，但在后续的临床试验及药品注册审评中，仍可能出现无法按期招募到足够的临床试验受试者、受试者入组进度不及预期或退出等，从而导致临床试验出现终止或延期；可能出现疗效或安全性等相关指标未达到预设目标等临床试验结果不佳的情况，从而无法进行新药注册申请或需调整临床试验方案、增加额外的临床试验，进而导致项目失败或延期；可能出现在提交新药注册申请后，监管部门不认可临床试验相关数据的完整性、有效性以及临床试验的执行过程，或药品评审制度发生变化导致评审时间延长等，从而导致研发项目无法获批上市或者无法按照预期时间获批上市并投产。</w:t>
      </w:r>
    </w:p>
    <w:p w14:paraId="4C94521A"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2</w:t>
      </w:r>
      <w:r w:rsidRPr="00B170DF">
        <w:rPr>
          <w:rFonts w:hint="eastAsia"/>
          <w:b/>
          <w:bCs/>
          <w:kern w:val="0"/>
          <w:szCs w:val="24"/>
        </w:rPr>
        <w:t>、新药上市销售风险</w:t>
      </w:r>
    </w:p>
    <w:p w14:paraId="711E9EB6" w14:textId="77777777" w:rsidR="003B5A2A" w:rsidRPr="00B170DF" w:rsidRDefault="003B5A2A" w:rsidP="003B5A2A">
      <w:pPr>
        <w:autoSpaceDE w:val="0"/>
        <w:autoSpaceDN w:val="0"/>
        <w:adjustRightInd w:val="0"/>
        <w:spacing w:before="163" w:afterLines="0" w:after="160"/>
        <w:ind w:firstLine="480"/>
        <w:rPr>
          <w:szCs w:val="20"/>
        </w:rPr>
      </w:pPr>
      <w:r w:rsidRPr="00B170DF">
        <w:rPr>
          <w:szCs w:val="20"/>
        </w:rPr>
        <w:t>公司新药研发成功并获批</w:t>
      </w:r>
      <w:r w:rsidRPr="00B170DF">
        <w:rPr>
          <w:rFonts w:hint="eastAsia"/>
          <w:szCs w:val="20"/>
        </w:rPr>
        <w:t>上市</w:t>
      </w:r>
      <w:r w:rsidRPr="00B170DF">
        <w:rPr>
          <w:szCs w:val="20"/>
        </w:rPr>
        <w:t>后，仍需要经过学术推广、市场拓展等环节，才可能被医生、患者以及其他医疗行业人士所认可</w:t>
      </w:r>
      <w:r w:rsidRPr="00B170DF">
        <w:rPr>
          <w:rFonts w:hint="eastAsia"/>
          <w:szCs w:val="20"/>
        </w:rPr>
        <w:t>，同时，病毒的不断变异、防治手段的发展导致患者规模及类型持续变化，</w:t>
      </w:r>
      <w:r w:rsidRPr="00B170DF">
        <w:rPr>
          <w:szCs w:val="20"/>
        </w:rPr>
        <w:t>新药上市后存在无法满足市场最新需求或未被市场所接受的可能性。此外，</w:t>
      </w:r>
      <w:r w:rsidRPr="00B170DF">
        <w:rPr>
          <w:rFonts w:hint="eastAsia"/>
          <w:szCs w:val="20"/>
        </w:rPr>
        <w:t>国内新药政策日益完善，产品更新换代速度加快，</w:t>
      </w:r>
      <w:r w:rsidRPr="00B170DF">
        <w:rPr>
          <w:szCs w:val="20"/>
        </w:rPr>
        <w:t>如有在价格、药效、品质等方面优于公司的其他厂家产品获批上市，公司新</w:t>
      </w:r>
      <w:r w:rsidRPr="00B170DF">
        <w:rPr>
          <w:rFonts w:hint="eastAsia"/>
          <w:szCs w:val="20"/>
        </w:rPr>
        <w:t>药</w:t>
      </w:r>
      <w:r w:rsidRPr="00B170DF">
        <w:rPr>
          <w:szCs w:val="20"/>
        </w:rPr>
        <w:t>的市场推广亦将受到相关不利影响，进而导致销售不及预期。</w:t>
      </w:r>
    </w:p>
    <w:p w14:paraId="3EBBA234"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3</w:t>
      </w:r>
      <w:r w:rsidRPr="00B170DF">
        <w:rPr>
          <w:rFonts w:hint="eastAsia"/>
          <w:b/>
          <w:bCs/>
          <w:kern w:val="0"/>
          <w:szCs w:val="24"/>
        </w:rPr>
        <w:t>、核心技术人员流失风险</w:t>
      </w:r>
    </w:p>
    <w:p w14:paraId="3F4A88EC" w14:textId="77777777" w:rsidR="003B5A2A" w:rsidRPr="00B170DF" w:rsidRDefault="003B5A2A" w:rsidP="003B5A2A">
      <w:pPr>
        <w:autoSpaceDE w:val="0"/>
        <w:autoSpaceDN w:val="0"/>
        <w:adjustRightInd w:val="0"/>
        <w:spacing w:before="163" w:afterLines="0" w:after="160"/>
        <w:ind w:firstLine="480"/>
        <w:rPr>
          <w:szCs w:val="20"/>
        </w:rPr>
      </w:pPr>
      <w:r w:rsidRPr="00B170DF">
        <w:rPr>
          <w:rFonts w:hint="eastAsia"/>
          <w:szCs w:val="20"/>
        </w:rPr>
        <w:t>公司</w:t>
      </w:r>
      <w:r w:rsidRPr="00B170DF">
        <w:rPr>
          <w:szCs w:val="20"/>
        </w:rPr>
        <w:t>持续推进创新发展战略，坚定不移地推动创新药物的研发，在新药研发</w:t>
      </w:r>
      <w:r w:rsidRPr="00B170DF">
        <w:rPr>
          <w:szCs w:val="20"/>
        </w:rPr>
        <w:lastRenderedPageBreak/>
        <w:t>过程中，需要由专业知识与技能过硬、技术创新能力突出的技术人员参与</w:t>
      </w:r>
      <w:r w:rsidRPr="00B170DF">
        <w:rPr>
          <w:rFonts w:hint="eastAsia"/>
          <w:szCs w:val="20"/>
        </w:rPr>
        <w:t>。公司</w:t>
      </w:r>
      <w:r w:rsidRPr="00B170DF">
        <w:rPr>
          <w:szCs w:val="20"/>
        </w:rPr>
        <w:t>能否维持研发团队的稳定并持续进行优秀技术人才的招募，将直接影响</w:t>
      </w:r>
      <w:r w:rsidRPr="00B170DF">
        <w:rPr>
          <w:rFonts w:hint="eastAsia"/>
          <w:szCs w:val="20"/>
        </w:rPr>
        <w:t>到公司</w:t>
      </w:r>
      <w:r w:rsidRPr="00B170DF">
        <w:rPr>
          <w:szCs w:val="20"/>
        </w:rPr>
        <w:t>各研发项目的推进以及技术竞争实力。</w:t>
      </w:r>
      <w:r w:rsidRPr="00B170DF">
        <w:rPr>
          <w:rFonts w:hint="eastAsia"/>
          <w:szCs w:val="20"/>
        </w:rPr>
        <w:t>若公司</w:t>
      </w:r>
      <w:r w:rsidRPr="00B170DF">
        <w:rPr>
          <w:szCs w:val="20"/>
        </w:rPr>
        <w:t>薪酬待遇与同行业相比失去优势，或者</w:t>
      </w:r>
      <w:r w:rsidRPr="00B170DF">
        <w:rPr>
          <w:rFonts w:hint="eastAsia"/>
          <w:szCs w:val="20"/>
        </w:rPr>
        <w:t>公司</w:t>
      </w:r>
      <w:r w:rsidRPr="00B170DF">
        <w:rPr>
          <w:szCs w:val="20"/>
        </w:rPr>
        <w:t>无法满足核心技术人员的激励及晋升需求，将可能导致相关核心技术人员的流失</w:t>
      </w:r>
      <w:r w:rsidRPr="00B170DF">
        <w:rPr>
          <w:rFonts w:hint="eastAsia"/>
          <w:szCs w:val="20"/>
        </w:rPr>
        <w:t>，进而对公司推进相关业务造成不利影响。</w:t>
      </w:r>
    </w:p>
    <w:p w14:paraId="29738C05"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4</w:t>
      </w:r>
      <w:r w:rsidRPr="00B170DF">
        <w:rPr>
          <w:rFonts w:hint="eastAsia"/>
          <w:b/>
          <w:bCs/>
          <w:kern w:val="0"/>
          <w:szCs w:val="24"/>
        </w:rPr>
        <w:t>、知识产权无法得到充分保护的风险</w:t>
      </w:r>
    </w:p>
    <w:p w14:paraId="50CF5DD4" w14:textId="77777777" w:rsidR="003B5A2A" w:rsidRPr="00B170DF" w:rsidRDefault="003B5A2A" w:rsidP="003B5A2A">
      <w:pPr>
        <w:autoSpaceDE w:val="0"/>
        <w:autoSpaceDN w:val="0"/>
        <w:adjustRightInd w:val="0"/>
        <w:spacing w:before="163" w:afterLines="0" w:after="160"/>
        <w:ind w:firstLine="480"/>
        <w:rPr>
          <w:szCs w:val="20"/>
        </w:rPr>
      </w:pPr>
      <w:r w:rsidRPr="00B170DF">
        <w:rPr>
          <w:rFonts w:hint="eastAsia"/>
          <w:szCs w:val="20"/>
        </w:rPr>
        <w:t>公司在创新药研发领域所涉及的知识产权包含了多个方面，且相关专利在知识产权范围、有效性、可强制执行性等方面均存在一定的不确定性。虽然公司已通过在中国、美国及其他国家提交专利申请等方式来保护重要在</w:t>
      </w:r>
      <w:proofErr w:type="gramStart"/>
      <w:r w:rsidRPr="00B170DF">
        <w:rPr>
          <w:rFonts w:hint="eastAsia"/>
          <w:szCs w:val="20"/>
        </w:rPr>
        <w:t>研</w:t>
      </w:r>
      <w:proofErr w:type="gramEnd"/>
      <w:r w:rsidRPr="00B170DF">
        <w:rPr>
          <w:rFonts w:hint="eastAsia"/>
          <w:szCs w:val="20"/>
        </w:rPr>
        <w:t>药品及技术，但若所取得的知识产权覆盖范围不够广泛，则第三方仍可能通过</w:t>
      </w:r>
      <w:proofErr w:type="gramStart"/>
      <w:r w:rsidRPr="00B170DF">
        <w:rPr>
          <w:rFonts w:hint="eastAsia"/>
          <w:szCs w:val="20"/>
        </w:rPr>
        <w:t>不</w:t>
      </w:r>
      <w:proofErr w:type="gramEnd"/>
      <w:r w:rsidRPr="00B170DF">
        <w:rPr>
          <w:rFonts w:hint="eastAsia"/>
          <w:szCs w:val="20"/>
        </w:rPr>
        <w:t>侵权的方式开发与公司相同或相似的产品从而与公司形成直接的竞争，导致公司知识产权价值下降，在</w:t>
      </w:r>
      <w:proofErr w:type="gramStart"/>
      <w:r w:rsidRPr="00B170DF">
        <w:rPr>
          <w:rFonts w:hint="eastAsia"/>
          <w:szCs w:val="20"/>
        </w:rPr>
        <w:t>研</w:t>
      </w:r>
      <w:proofErr w:type="gramEnd"/>
      <w:r w:rsidRPr="00B170DF">
        <w:rPr>
          <w:rFonts w:hint="eastAsia"/>
          <w:szCs w:val="20"/>
        </w:rPr>
        <w:t>药物的商业价值受到冲击。因此，公司知识产权存在可能被侵害或保护不充分的风险。</w:t>
      </w:r>
    </w:p>
    <w:p w14:paraId="3E4F68D4"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5</w:t>
      </w:r>
      <w:r w:rsidRPr="00B170DF">
        <w:rPr>
          <w:rFonts w:hint="eastAsia"/>
          <w:b/>
          <w:bCs/>
          <w:kern w:val="0"/>
          <w:szCs w:val="24"/>
        </w:rPr>
        <w:t>、合作研发风险</w:t>
      </w:r>
    </w:p>
    <w:p w14:paraId="07756C8E" w14:textId="77777777" w:rsidR="003B5A2A" w:rsidRPr="00B170DF" w:rsidRDefault="003B5A2A" w:rsidP="003B5A2A">
      <w:pPr>
        <w:spacing w:before="163" w:afterLines="0" w:after="160"/>
        <w:ind w:firstLine="480"/>
        <w:rPr>
          <w:szCs w:val="20"/>
        </w:rPr>
      </w:pPr>
      <w:r w:rsidRPr="00B170DF">
        <w:rPr>
          <w:rFonts w:hint="eastAsia"/>
          <w:szCs w:val="20"/>
        </w:rPr>
        <w:t>公司依照行业惯例与第三</w:t>
      </w:r>
      <w:proofErr w:type="gramStart"/>
      <w:r w:rsidRPr="00B170DF">
        <w:rPr>
          <w:rFonts w:hint="eastAsia"/>
          <w:szCs w:val="20"/>
        </w:rPr>
        <w:t>方合同</w:t>
      </w:r>
      <w:proofErr w:type="gramEnd"/>
      <w:r w:rsidRPr="00B170DF">
        <w:rPr>
          <w:rFonts w:hint="eastAsia"/>
          <w:szCs w:val="20"/>
        </w:rPr>
        <w:t>研究组织（</w:t>
      </w:r>
      <w:r w:rsidRPr="00B170DF">
        <w:rPr>
          <w:rFonts w:hint="eastAsia"/>
          <w:szCs w:val="20"/>
        </w:rPr>
        <w:t>CRO</w:t>
      </w:r>
      <w:r w:rsidRPr="00B170DF">
        <w:rPr>
          <w:rFonts w:hint="eastAsia"/>
          <w:szCs w:val="20"/>
        </w:rPr>
        <w:t>）、主要研究者及医院在临床试验、数据分析等领域开展了较为紧密的合作。上述组织及个人并非公司雇员，公司无法控制其能否为公司投入足够的时间及资源。若第三方未能完整履行合同义务、履行合同未达预期或未能遵守监管规定，则公司所获得相应数据或分析结论的及时性、准确性、可靠性等方面将受到影响，而变更受托研究机构亦可能会导致公司增加额外的费用支出并造成试验进度的推迟。此外，合作方可能会对合作项目的知识产权归属、里程碑付款条件、合同实际履行情况等存在争议，从而导致对应合作研发项目的研究、开发或商业化进度发生延迟。</w:t>
      </w:r>
    </w:p>
    <w:p w14:paraId="3ED22767" w14:textId="77777777" w:rsidR="00116C5C" w:rsidRPr="00B170DF" w:rsidRDefault="00116C5C" w:rsidP="00B170DF">
      <w:pPr>
        <w:keepNext/>
        <w:keepLines/>
        <w:spacing w:before="163" w:after="163"/>
        <w:ind w:firstLineChars="0" w:firstLine="482"/>
        <w:rPr>
          <w:b/>
          <w:bCs/>
          <w:kern w:val="0"/>
          <w:szCs w:val="24"/>
        </w:rPr>
      </w:pPr>
      <w:r w:rsidRPr="00B170DF">
        <w:rPr>
          <w:rFonts w:hint="eastAsia"/>
          <w:b/>
          <w:bCs/>
          <w:kern w:val="0"/>
          <w:szCs w:val="24"/>
        </w:rPr>
        <w:t>6</w:t>
      </w:r>
      <w:r w:rsidRPr="00B170DF">
        <w:rPr>
          <w:rFonts w:hint="eastAsia"/>
          <w:b/>
          <w:bCs/>
          <w:kern w:val="0"/>
          <w:szCs w:val="24"/>
        </w:rPr>
        <w:t>、</w:t>
      </w:r>
      <w:r w:rsidR="008D7BF6" w:rsidRPr="00B170DF">
        <w:rPr>
          <w:rFonts w:hint="eastAsia"/>
          <w:b/>
          <w:bCs/>
          <w:kern w:val="0"/>
          <w:szCs w:val="24"/>
        </w:rPr>
        <w:t>药品</w:t>
      </w:r>
      <w:r w:rsidRPr="00B170DF">
        <w:rPr>
          <w:rFonts w:hint="eastAsia"/>
          <w:b/>
          <w:bCs/>
          <w:kern w:val="0"/>
          <w:szCs w:val="24"/>
        </w:rPr>
        <w:t>质量</w:t>
      </w:r>
      <w:r w:rsidR="008D7BF6" w:rsidRPr="00B170DF">
        <w:rPr>
          <w:rFonts w:hint="eastAsia"/>
          <w:b/>
          <w:bCs/>
          <w:kern w:val="0"/>
          <w:szCs w:val="24"/>
        </w:rPr>
        <w:t>安全</w:t>
      </w:r>
      <w:r w:rsidRPr="00B170DF">
        <w:rPr>
          <w:rFonts w:hint="eastAsia"/>
          <w:b/>
          <w:bCs/>
          <w:kern w:val="0"/>
          <w:szCs w:val="24"/>
        </w:rPr>
        <w:t>风险</w:t>
      </w:r>
    </w:p>
    <w:p w14:paraId="1F3E6D84" w14:textId="77777777" w:rsidR="00116C5C" w:rsidRPr="00B170DF" w:rsidRDefault="008D7BF6" w:rsidP="00B170DF">
      <w:pPr>
        <w:spacing w:before="163" w:after="163"/>
        <w:ind w:firstLine="480"/>
      </w:pPr>
      <w:r w:rsidRPr="00B170DF">
        <w:rPr>
          <w:rFonts w:hint="eastAsia"/>
        </w:rPr>
        <w:t>药品直接关系到患者的生命及健康，其质量尤其重要。药品生成涉及环节多，原料、辅料、包装材料、生产工艺、储存、运输、销售任何一个环节出问题都</w:t>
      </w:r>
      <w:r w:rsidR="001A4479" w:rsidRPr="00B170DF">
        <w:rPr>
          <w:rFonts w:hint="eastAsia"/>
        </w:rPr>
        <w:t>可能</w:t>
      </w:r>
      <w:r w:rsidRPr="00B170DF">
        <w:rPr>
          <w:rFonts w:hint="eastAsia"/>
        </w:rPr>
        <w:t>影响药品质量</w:t>
      </w:r>
      <w:r w:rsidR="001A4479" w:rsidRPr="00B170DF">
        <w:rPr>
          <w:rFonts w:hint="eastAsia"/>
        </w:rPr>
        <w:t>安全</w:t>
      </w:r>
      <w:r w:rsidRPr="00B170DF">
        <w:rPr>
          <w:rFonts w:hint="eastAsia"/>
        </w:rPr>
        <w:t>。</w:t>
      </w:r>
      <w:r w:rsidR="00EC4F22" w:rsidRPr="00B170DF">
        <w:rPr>
          <w:rFonts w:hint="eastAsia"/>
        </w:rPr>
        <w:t>公司</w:t>
      </w:r>
      <w:r w:rsidRPr="00B170DF">
        <w:rPr>
          <w:rFonts w:hint="eastAsia"/>
        </w:rPr>
        <w:t>已建立了严格的质量控制体系和标准，并在临床试验</w:t>
      </w:r>
      <w:r w:rsidRPr="00B170DF">
        <w:rPr>
          <w:rFonts w:hint="eastAsia"/>
        </w:rPr>
        <w:lastRenderedPageBreak/>
        <w:t>阶段加强了安全性评估，但由于</w:t>
      </w:r>
      <w:r w:rsidR="00EC4F22" w:rsidRPr="00B170DF">
        <w:rPr>
          <w:rFonts w:hint="eastAsia"/>
        </w:rPr>
        <w:t>药品生产流程长、环节多，</w:t>
      </w:r>
      <w:r w:rsidRPr="00B170DF">
        <w:rPr>
          <w:rFonts w:hint="eastAsia"/>
        </w:rPr>
        <w:t>药品不良反应的成因较为复杂，且部分药品的不良反应需经过较长时间才会显现，因此发行人未来仍存在一定的药品</w:t>
      </w:r>
      <w:r w:rsidR="001A4479" w:rsidRPr="00B170DF">
        <w:rPr>
          <w:rFonts w:hint="eastAsia"/>
        </w:rPr>
        <w:t>质量</w:t>
      </w:r>
      <w:r w:rsidRPr="00B170DF">
        <w:rPr>
          <w:rFonts w:hint="eastAsia"/>
        </w:rPr>
        <w:t>安全风险。</w:t>
      </w:r>
    </w:p>
    <w:p w14:paraId="38FC254A" w14:textId="77777777" w:rsidR="003B5A2A" w:rsidRPr="00B170DF" w:rsidRDefault="003B5A2A" w:rsidP="003B5A2A">
      <w:pPr>
        <w:keepNext/>
        <w:keepLines/>
        <w:widowControl/>
        <w:spacing w:before="163" w:after="163"/>
        <w:ind w:firstLineChars="0" w:firstLine="482"/>
        <w:jc w:val="left"/>
        <w:outlineLvl w:val="2"/>
        <w:rPr>
          <w:rFonts w:eastAsia="黑体"/>
          <w:b/>
          <w:bCs/>
          <w:szCs w:val="28"/>
        </w:rPr>
      </w:pPr>
      <w:bookmarkStart w:id="70" w:name="_Toc128478263"/>
      <w:bookmarkStart w:id="71" w:name="_Hlk126072752"/>
      <w:r w:rsidRPr="00B170DF">
        <w:rPr>
          <w:rFonts w:eastAsia="黑体" w:hint="eastAsia"/>
          <w:b/>
          <w:bCs/>
          <w:szCs w:val="28"/>
        </w:rPr>
        <w:t>（三）经营风险</w:t>
      </w:r>
      <w:bookmarkEnd w:id="70"/>
    </w:p>
    <w:p w14:paraId="3C2F5489"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1</w:t>
      </w:r>
      <w:r w:rsidRPr="00B170DF">
        <w:rPr>
          <w:rFonts w:hint="eastAsia"/>
          <w:b/>
          <w:bCs/>
          <w:kern w:val="0"/>
          <w:szCs w:val="24"/>
        </w:rPr>
        <w:t>、持续亏损的风险</w:t>
      </w:r>
    </w:p>
    <w:p w14:paraId="7ECADEA3" w14:textId="77777777" w:rsidR="003B5A2A" w:rsidRPr="00B170DF" w:rsidRDefault="00025C96" w:rsidP="003B5A2A">
      <w:pPr>
        <w:autoSpaceDE w:val="0"/>
        <w:autoSpaceDN w:val="0"/>
        <w:adjustRightInd w:val="0"/>
        <w:spacing w:before="163" w:afterLines="0" w:after="0"/>
        <w:ind w:firstLine="480"/>
        <w:rPr>
          <w:bCs/>
        </w:rPr>
      </w:pPr>
      <w:bookmarkStart w:id="72" w:name="_Hlk192581211"/>
      <w:bookmarkStart w:id="73" w:name="_Hlk191644363"/>
      <w:r w:rsidRPr="00B170DF">
        <w:rPr>
          <w:rFonts w:hint="eastAsia"/>
          <w:szCs w:val="32"/>
        </w:rPr>
        <w:t>2021</w:t>
      </w:r>
      <w:r w:rsidRPr="00B170DF">
        <w:rPr>
          <w:rFonts w:hint="eastAsia"/>
          <w:szCs w:val="32"/>
        </w:rPr>
        <w:t>年、</w:t>
      </w:r>
      <w:r w:rsidRPr="00B170DF">
        <w:rPr>
          <w:rFonts w:hint="eastAsia"/>
          <w:szCs w:val="32"/>
        </w:rPr>
        <w:t>2022</w:t>
      </w:r>
      <w:r w:rsidRPr="00B170DF">
        <w:rPr>
          <w:rFonts w:hint="eastAsia"/>
          <w:szCs w:val="32"/>
        </w:rPr>
        <w:t>年、</w:t>
      </w:r>
      <w:r w:rsidRPr="00B170DF">
        <w:rPr>
          <w:rFonts w:hint="eastAsia"/>
          <w:szCs w:val="32"/>
        </w:rPr>
        <w:t>2023</w:t>
      </w:r>
      <w:r w:rsidRPr="00B170DF">
        <w:rPr>
          <w:rFonts w:hint="eastAsia"/>
          <w:szCs w:val="32"/>
        </w:rPr>
        <w:t>年及</w:t>
      </w:r>
      <w:r w:rsidRPr="00B170DF">
        <w:rPr>
          <w:rFonts w:hint="eastAsia"/>
          <w:szCs w:val="32"/>
        </w:rPr>
        <w:t>2024</w:t>
      </w:r>
      <w:r w:rsidRPr="00B170DF">
        <w:rPr>
          <w:rFonts w:hint="eastAsia"/>
          <w:szCs w:val="32"/>
        </w:rPr>
        <w:t>年</w:t>
      </w:r>
      <w:r w:rsidRPr="00B170DF">
        <w:rPr>
          <w:rFonts w:hint="eastAsia"/>
          <w:szCs w:val="32"/>
        </w:rPr>
        <w:t>1-9</w:t>
      </w:r>
      <w:r w:rsidRPr="00B170DF">
        <w:rPr>
          <w:rFonts w:hint="eastAsia"/>
          <w:szCs w:val="32"/>
        </w:rPr>
        <w:t>月</w:t>
      </w:r>
      <w:r w:rsidR="003B5A2A" w:rsidRPr="00B170DF">
        <w:rPr>
          <w:rFonts w:hint="eastAsia"/>
          <w:szCs w:val="32"/>
        </w:rPr>
        <w:t>，</w:t>
      </w:r>
      <w:proofErr w:type="gramStart"/>
      <w:r w:rsidR="003B5A2A" w:rsidRPr="00B170DF">
        <w:rPr>
          <w:rFonts w:hint="eastAsia"/>
          <w:szCs w:val="32"/>
        </w:rPr>
        <w:t>公司扣非后归母净利润</w:t>
      </w:r>
      <w:proofErr w:type="gramEnd"/>
      <w:r w:rsidR="003B5A2A" w:rsidRPr="00B170DF">
        <w:rPr>
          <w:rFonts w:hint="eastAsia"/>
          <w:szCs w:val="32"/>
        </w:rPr>
        <w:t>分别为</w:t>
      </w:r>
      <w:r w:rsidR="00EB0FE1" w:rsidRPr="00B170DF">
        <w:rPr>
          <w:szCs w:val="32"/>
        </w:rPr>
        <w:t>-4,607.63</w:t>
      </w:r>
      <w:r w:rsidR="00EB0FE1" w:rsidRPr="00B170DF">
        <w:rPr>
          <w:rFonts w:hint="eastAsia"/>
          <w:szCs w:val="32"/>
        </w:rPr>
        <w:t>万元、</w:t>
      </w:r>
      <w:r w:rsidR="003B5A2A" w:rsidRPr="00B170DF">
        <w:rPr>
          <w:szCs w:val="32"/>
        </w:rPr>
        <w:t>-13,218.07</w:t>
      </w:r>
      <w:r w:rsidR="003B5A2A" w:rsidRPr="00B170DF">
        <w:rPr>
          <w:rFonts w:hint="eastAsia"/>
          <w:szCs w:val="32"/>
        </w:rPr>
        <w:t>万元、</w:t>
      </w:r>
      <w:r w:rsidR="003B5A2A" w:rsidRPr="00B170DF">
        <w:rPr>
          <w:szCs w:val="32"/>
        </w:rPr>
        <w:t>-35,423.28</w:t>
      </w:r>
      <w:r w:rsidR="003B5A2A" w:rsidRPr="00B170DF">
        <w:rPr>
          <w:rFonts w:hint="eastAsia"/>
          <w:szCs w:val="32"/>
        </w:rPr>
        <w:t>万元和</w:t>
      </w:r>
      <w:r w:rsidR="00EB0FE1" w:rsidRPr="00B170DF">
        <w:rPr>
          <w:szCs w:val="32"/>
        </w:rPr>
        <w:t>-8,375.90</w:t>
      </w:r>
      <w:r w:rsidR="003B5A2A" w:rsidRPr="00B170DF">
        <w:rPr>
          <w:rFonts w:hint="eastAsia"/>
          <w:szCs w:val="32"/>
        </w:rPr>
        <w:t>万元，经营业绩出现持续性亏损。公司业绩持续亏损主要系一方面，公司在创业板上市以来即启动了由仿制药向创新药战略转型，公司积极布局创新药研发，加大研发方面投入。</w:t>
      </w:r>
      <w:r w:rsidRPr="00B170DF">
        <w:rPr>
          <w:rFonts w:hint="eastAsia"/>
          <w:szCs w:val="32"/>
        </w:rPr>
        <w:t>2021</w:t>
      </w:r>
      <w:r w:rsidRPr="00B170DF">
        <w:rPr>
          <w:rFonts w:hint="eastAsia"/>
          <w:szCs w:val="32"/>
        </w:rPr>
        <w:t>年、</w:t>
      </w:r>
      <w:r w:rsidRPr="00B170DF">
        <w:rPr>
          <w:rFonts w:hint="eastAsia"/>
          <w:szCs w:val="32"/>
        </w:rPr>
        <w:t>2022</w:t>
      </w:r>
      <w:r w:rsidRPr="00B170DF">
        <w:rPr>
          <w:rFonts w:hint="eastAsia"/>
          <w:szCs w:val="32"/>
        </w:rPr>
        <w:t>年、</w:t>
      </w:r>
      <w:r w:rsidRPr="00B170DF">
        <w:rPr>
          <w:rFonts w:hint="eastAsia"/>
          <w:szCs w:val="32"/>
        </w:rPr>
        <w:t>2023</w:t>
      </w:r>
      <w:r w:rsidRPr="00B170DF">
        <w:rPr>
          <w:rFonts w:hint="eastAsia"/>
          <w:szCs w:val="32"/>
        </w:rPr>
        <w:t>年及</w:t>
      </w:r>
      <w:r w:rsidRPr="00B170DF">
        <w:rPr>
          <w:rFonts w:hint="eastAsia"/>
          <w:szCs w:val="32"/>
        </w:rPr>
        <w:t>2024</w:t>
      </w:r>
      <w:r w:rsidRPr="00B170DF">
        <w:rPr>
          <w:rFonts w:hint="eastAsia"/>
          <w:szCs w:val="32"/>
        </w:rPr>
        <w:t>年</w:t>
      </w:r>
      <w:r w:rsidRPr="00B170DF">
        <w:rPr>
          <w:rFonts w:hint="eastAsia"/>
          <w:szCs w:val="32"/>
        </w:rPr>
        <w:t>1-9</w:t>
      </w:r>
      <w:r w:rsidRPr="00B170DF">
        <w:rPr>
          <w:rFonts w:hint="eastAsia"/>
          <w:szCs w:val="32"/>
        </w:rPr>
        <w:t>月</w:t>
      </w:r>
      <w:r w:rsidR="003B5A2A" w:rsidRPr="00B170DF">
        <w:rPr>
          <w:rFonts w:hint="eastAsia"/>
          <w:szCs w:val="32"/>
        </w:rPr>
        <w:t>，公司研发费用分别为</w:t>
      </w:r>
      <w:r w:rsidR="00EB0FE1" w:rsidRPr="00B170DF">
        <w:rPr>
          <w:rFonts w:hint="eastAsia"/>
          <w:szCs w:val="32"/>
        </w:rPr>
        <w:t>6,898.95</w:t>
      </w:r>
      <w:r w:rsidR="00EB0FE1" w:rsidRPr="00B170DF">
        <w:rPr>
          <w:rFonts w:hint="eastAsia"/>
          <w:szCs w:val="32"/>
        </w:rPr>
        <w:t>万元、</w:t>
      </w:r>
      <w:r w:rsidR="003B5A2A" w:rsidRPr="00B170DF">
        <w:rPr>
          <w:bCs/>
        </w:rPr>
        <w:t>18,546.27</w:t>
      </w:r>
      <w:r w:rsidR="003B5A2A" w:rsidRPr="00B170DF">
        <w:rPr>
          <w:rFonts w:hint="eastAsia"/>
          <w:bCs/>
        </w:rPr>
        <w:t>万元、</w:t>
      </w:r>
      <w:r w:rsidR="003B5A2A" w:rsidRPr="00B170DF">
        <w:rPr>
          <w:bCs/>
        </w:rPr>
        <w:t>13,295.70</w:t>
      </w:r>
      <w:r w:rsidR="003B5A2A" w:rsidRPr="00B170DF">
        <w:rPr>
          <w:rFonts w:hint="eastAsia"/>
          <w:bCs/>
        </w:rPr>
        <w:t>万元和</w:t>
      </w:r>
      <w:r w:rsidR="0001174C" w:rsidRPr="00B170DF">
        <w:rPr>
          <w:rFonts w:hint="eastAsia"/>
          <w:bCs/>
        </w:rPr>
        <w:t>2,286.69</w:t>
      </w:r>
      <w:r w:rsidR="003B5A2A" w:rsidRPr="00B170DF">
        <w:rPr>
          <w:rFonts w:hint="eastAsia"/>
          <w:bCs/>
        </w:rPr>
        <w:t>万元。另一方面，受国家药品集中采购等政策持续影响，公司抗乙肝病毒药物毛利率较低。</w:t>
      </w:r>
    </w:p>
    <w:p w14:paraId="47CC0F5F" w14:textId="77777777" w:rsidR="003B5A2A" w:rsidRPr="00B170DF" w:rsidRDefault="003B5A2A" w:rsidP="003B5A2A">
      <w:pPr>
        <w:autoSpaceDE w:val="0"/>
        <w:autoSpaceDN w:val="0"/>
        <w:adjustRightInd w:val="0"/>
        <w:spacing w:before="163" w:afterLines="0" w:after="0"/>
        <w:ind w:firstLine="480"/>
        <w:rPr>
          <w:szCs w:val="32"/>
        </w:rPr>
      </w:pPr>
      <w:r w:rsidRPr="00B170DF">
        <w:rPr>
          <w:rFonts w:hint="eastAsia"/>
          <w:bCs/>
        </w:rPr>
        <w:t>随着在</w:t>
      </w:r>
      <w:proofErr w:type="gramStart"/>
      <w:r w:rsidRPr="00B170DF">
        <w:rPr>
          <w:rFonts w:hint="eastAsia"/>
          <w:bCs/>
        </w:rPr>
        <w:t>研</w:t>
      </w:r>
      <w:proofErr w:type="gramEnd"/>
      <w:r w:rsidRPr="00B170DF">
        <w:rPr>
          <w:rFonts w:hint="eastAsia"/>
          <w:bCs/>
        </w:rPr>
        <w:t>项目的持续推进，公司未来仍需保持一定较大金额的研发投入，同时，若因市场开拓不及预期、毛利率进一步下滑或不能有效控制管理和销售费用，则公司盈利水平可能无法完全覆盖公司研发费用等各项支出，存在持续亏损的风险</w:t>
      </w:r>
      <w:bookmarkEnd w:id="72"/>
      <w:r w:rsidRPr="00B170DF">
        <w:rPr>
          <w:rFonts w:hint="eastAsia"/>
          <w:szCs w:val="32"/>
        </w:rPr>
        <w:t>。</w:t>
      </w:r>
    </w:p>
    <w:bookmarkEnd w:id="73"/>
    <w:p w14:paraId="7A768899" w14:textId="77777777" w:rsidR="003B5A2A" w:rsidRPr="00B170DF" w:rsidRDefault="003B5A2A" w:rsidP="003B5A2A">
      <w:pPr>
        <w:keepNext/>
        <w:keepLines/>
        <w:spacing w:before="163" w:after="163"/>
        <w:ind w:firstLineChars="0" w:firstLine="482"/>
        <w:rPr>
          <w:b/>
          <w:bCs/>
          <w:kern w:val="0"/>
          <w:szCs w:val="24"/>
        </w:rPr>
      </w:pPr>
      <w:r w:rsidRPr="00B170DF">
        <w:rPr>
          <w:rFonts w:hint="eastAsia"/>
          <w:b/>
          <w:bCs/>
          <w:kern w:val="0"/>
          <w:szCs w:val="24"/>
        </w:rPr>
        <w:t>2</w:t>
      </w:r>
      <w:r w:rsidRPr="00B170DF">
        <w:rPr>
          <w:rFonts w:hint="eastAsia"/>
          <w:b/>
          <w:bCs/>
          <w:kern w:val="0"/>
          <w:szCs w:val="24"/>
        </w:rPr>
        <w:t>、经营资质申请及续期风险</w:t>
      </w:r>
    </w:p>
    <w:p w14:paraId="306354A9" w14:textId="77777777" w:rsidR="003B5A2A" w:rsidRPr="00B170DF" w:rsidRDefault="003B5A2A" w:rsidP="003B5A2A">
      <w:pPr>
        <w:autoSpaceDE w:val="0"/>
        <w:autoSpaceDN w:val="0"/>
        <w:adjustRightInd w:val="0"/>
        <w:spacing w:before="163" w:afterLines="0" w:after="160"/>
        <w:ind w:firstLine="480"/>
        <w:rPr>
          <w:kern w:val="0"/>
          <w:szCs w:val="20"/>
        </w:rPr>
      </w:pPr>
      <w:r w:rsidRPr="00B170DF">
        <w:rPr>
          <w:rFonts w:hint="eastAsia"/>
          <w:kern w:val="0"/>
          <w:szCs w:val="20"/>
        </w:rPr>
        <w:t>根据《中华人民共和国药品管理法》《药品生产质量管理规范》等法律法规的规定，医药制造企业须取得药品生产许可证、药品注册批件等许可、认证或批件，公司可能存在未能满足相关经营资质的申请条件或标准而不能成功获</w:t>
      </w:r>
      <w:proofErr w:type="gramStart"/>
      <w:r w:rsidRPr="00B170DF">
        <w:rPr>
          <w:rFonts w:hint="eastAsia"/>
          <w:kern w:val="0"/>
          <w:szCs w:val="20"/>
        </w:rPr>
        <w:t>批相应</w:t>
      </w:r>
      <w:proofErr w:type="gramEnd"/>
      <w:r w:rsidRPr="00B170DF">
        <w:rPr>
          <w:rFonts w:hint="eastAsia"/>
          <w:kern w:val="0"/>
          <w:szCs w:val="20"/>
        </w:rPr>
        <w:t>的经营资质，进而对公司生产经营产生不利影响。此外，该等经营资质一般情况下均设有一定的有效期，在有效期满后，公司需接受药品监督管理部门等相关监管机构的审查及评估，以延续上述文件的有效期。若公司无法在规定的时间内获得产品批准文号的再注册批件，或未能在相关执照、认证或登记有效期届满前换领新证或更新登记，将可能导致公司不能继续生产相关产品，从而对公司的生产经营造成不利影响。</w:t>
      </w:r>
    </w:p>
    <w:p w14:paraId="6DB3B3A1" w14:textId="77777777" w:rsidR="00622F39" w:rsidRPr="00B170DF" w:rsidRDefault="00374526" w:rsidP="00622F39">
      <w:pPr>
        <w:keepNext/>
        <w:keepLines/>
        <w:spacing w:before="163" w:after="163"/>
        <w:ind w:firstLineChars="0" w:firstLine="482"/>
        <w:rPr>
          <w:b/>
          <w:bCs/>
          <w:kern w:val="0"/>
          <w:szCs w:val="24"/>
        </w:rPr>
      </w:pPr>
      <w:bookmarkStart w:id="74" w:name="_Toc128478264"/>
      <w:bookmarkEnd w:id="71"/>
      <w:r w:rsidRPr="00B170DF">
        <w:rPr>
          <w:rFonts w:hint="eastAsia"/>
          <w:b/>
          <w:bCs/>
          <w:kern w:val="0"/>
          <w:szCs w:val="24"/>
        </w:rPr>
        <w:lastRenderedPageBreak/>
        <w:t>3</w:t>
      </w:r>
      <w:r w:rsidR="00622F39" w:rsidRPr="00B170DF">
        <w:rPr>
          <w:rFonts w:hint="eastAsia"/>
          <w:b/>
          <w:bCs/>
          <w:kern w:val="0"/>
          <w:szCs w:val="24"/>
        </w:rPr>
        <w:t>、</w:t>
      </w:r>
      <w:r w:rsidR="004F2315" w:rsidRPr="00B170DF">
        <w:rPr>
          <w:rFonts w:hint="eastAsia"/>
          <w:b/>
          <w:bCs/>
          <w:kern w:val="0"/>
          <w:szCs w:val="24"/>
        </w:rPr>
        <w:t>经营活动产生的现金流量净额为负的风险</w:t>
      </w:r>
    </w:p>
    <w:p w14:paraId="21FF1855" w14:textId="77777777" w:rsidR="00622F39" w:rsidRPr="00B170DF" w:rsidRDefault="00025C96" w:rsidP="00622F39">
      <w:pPr>
        <w:spacing w:before="163" w:after="163"/>
        <w:ind w:firstLine="480"/>
      </w:pPr>
      <w:r w:rsidRPr="00B170DF">
        <w:rPr>
          <w:rFonts w:hint="eastAsia"/>
        </w:rPr>
        <w:t>2021</w:t>
      </w:r>
      <w:r w:rsidRPr="00B170DF">
        <w:rPr>
          <w:rFonts w:hint="eastAsia"/>
        </w:rPr>
        <w:t>年、</w:t>
      </w:r>
      <w:r w:rsidRPr="00B170DF">
        <w:rPr>
          <w:rFonts w:hint="eastAsia"/>
        </w:rPr>
        <w:t>2022</w:t>
      </w:r>
      <w:r w:rsidRPr="00B170DF">
        <w:rPr>
          <w:rFonts w:hint="eastAsia"/>
        </w:rPr>
        <w:t>年、</w:t>
      </w:r>
      <w:r w:rsidRPr="00B170DF">
        <w:rPr>
          <w:rFonts w:hint="eastAsia"/>
        </w:rPr>
        <w:t>2023</w:t>
      </w:r>
      <w:r w:rsidRPr="00B170DF">
        <w:rPr>
          <w:rFonts w:hint="eastAsia"/>
        </w:rPr>
        <w:t>年及</w:t>
      </w:r>
      <w:r w:rsidRPr="00B170DF">
        <w:rPr>
          <w:rFonts w:hint="eastAsia"/>
        </w:rPr>
        <w:t>2024</w:t>
      </w:r>
      <w:r w:rsidRPr="00B170DF">
        <w:rPr>
          <w:rFonts w:hint="eastAsia"/>
        </w:rPr>
        <w:t>年</w:t>
      </w:r>
      <w:r w:rsidRPr="00B170DF">
        <w:rPr>
          <w:rFonts w:hint="eastAsia"/>
        </w:rPr>
        <w:t>1-9</w:t>
      </w:r>
      <w:r w:rsidRPr="00B170DF">
        <w:rPr>
          <w:rFonts w:hint="eastAsia"/>
        </w:rPr>
        <w:t>月</w:t>
      </w:r>
      <w:r w:rsidR="00622F39" w:rsidRPr="00B170DF">
        <w:t>，公司经营活动产生的现金流量净额分别为</w:t>
      </w:r>
      <w:r w:rsidR="00622F39" w:rsidRPr="00B170DF">
        <w:t>-1,776.48</w:t>
      </w:r>
      <w:r w:rsidR="00622F39" w:rsidRPr="00B170DF">
        <w:rPr>
          <w:rFonts w:hint="eastAsia"/>
        </w:rPr>
        <w:t>万元、</w:t>
      </w:r>
      <w:r w:rsidR="00622F39" w:rsidRPr="00B170DF">
        <w:rPr>
          <w:rFonts w:hint="eastAsia"/>
        </w:rPr>
        <w:t>-11,967.97</w:t>
      </w:r>
      <w:r w:rsidR="00622F39" w:rsidRPr="00B170DF">
        <w:rPr>
          <w:rFonts w:hint="eastAsia"/>
        </w:rPr>
        <w:t>万元</w:t>
      </w:r>
      <w:r w:rsidR="00622F39" w:rsidRPr="00B170DF">
        <w:t>、</w:t>
      </w:r>
      <w:r w:rsidR="00622F39" w:rsidRPr="00B170DF">
        <w:rPr>
          <w:rFonts w:hint="eastAsia"/>
        </w:rPr>
        <w:t>-17,459.56</w:t>
      </w:r>
      <w:r w:rsidR="00622F39" w:rsidRPr="00B170DF">
        <w:rPr>
          <w:rFonts w:hint="eastAsia"/>
        </w:rPr>
        <w:t>万元和</w:t>
      </w:r>
      <w:r w:rsidR="00622F39" w:rsidRPr="00B170DF">
        <w:rPr>
          <w:rFonts w:hint="eastAsia"/>
        </w:rPr>
        <w:t>-1,743.63</w:t>
      </w:r>
      <w:r w:rsidR="00622F39" w:rsidRPr="00B170DF">
        <w:rPr>
          <w:rFonts w:hint="eastAsia"/>
        </w:rPr>
        <w:t>万元</w:t>
      </w:r>
      <w:r w:rsidR="00622F39" w:rsidRPr="00B170DF">
        <w:t>。</w:t>
      </w:r>
      <w:r w:rsidR="00622F39" w:rsidRPr="00B170DF">
        <w:rPr>
          <w:rFonts w:hint="eastAsia"/>
        </w:rPr>
        <w:t>如果公司未能实现经营业绩改善，且未能及时通过计划的融资渠道获得足够资金，可能给公司带来短期的流动性风险，对公司业务造成不利影响。</w:t>
      </w:r>
    </w:p>
    <w:p w14:paraId="52553DA2" w14:textId="77777777" w:rsidR="004F2315" w:rsidRPr="00B170DF" w:rsidRDefault="00374526" w:rsidP="004F2315">
      <w:pPr>
        <w:keepNext/>
        <w:keepLines/>
        <w:spacing w:before="163" w:after="163"/>
        <w:ind w:firstLineChars="0" w:firstLine="482"/>
        <w:rPr>
          <w:b/>
          <w:bCs/>
          <w:kern w:val="0"/>
          <w:szCs w:val="24"/>
        </w:rPr>
      </w:pPr>
      <w:r w:rsidRPr="00B170DF">
        <w:rPr>
          <w:rFonts w:hint="eastAsia"/>
          <w:b/>
          <w:bCs/>
          <w:kern w:val="0"/>
          <w:szCs w:val="24"/>
        </w:rPr>
        <w:t>4</w:t>
      </w:r>
      <w:r w:rsidR="004F2315" w:rsidRPr="00B170DF">
        <w:rPr>
          <w:rFonts w:hint="eastAsia"/>
          <w:b/>
          <w:bCs/>
          <w:kern w:val="0"/>
          <w:szCs w:val="24"/>
        </w:rPr>
        <w:t>、资产负债率较高的风险</w:t>
      </w:r>
    </w:p>
    <w:p w14:paraId="2B2A5801" w14:textId="77777777" w:rsidR="004F2315" w:rsidRPr="00B170DF" w:rsidRDefault="004F2315" w:rsidP="004F2315">
      <w:pPr>
        <w:spacing w:before="163" w:after="163"/>
        <w:ind w:firstLine="480"/>
      </w:pPr>
      <w:r w:rsidRPr="00B170DF">
        <w:rPr>
          <w:rFonts w:hint="eastAsia"/>
        </w:rPr>
        <w:t>截至</w:t>
      </w:r>
      <w:r w:rsidRPr="00B170DF">
        <w:rPr>
          <w:rFonts w:hint="eastAsia"/>
        </w:rPr>
        <w:t>2024</w:t>
      </w:r>
      <w:r w:rsidRPr="00B170DF">
        <w:rPr>
          <w:rFonts w:hint="eastAsia"/>
        </w:rPr>
        <w:t>年</w:t>
      </w:r>
      <w:r w:rsidRPr="00B170DF">
        <w:rPr>
          <w:rFonts w:hint="eastAsia"/>
        </w:rPr>
        <w:t>9</w:t>
      </w:r>
      <w:r w:rsidRPr="00B170DF">
        <w:rPr>
          <w:rFonts w:hint="eastAsia"/>
        </w:rPr>
        <w:t>月</w:t>
      </w:r>
      <w:r w:rsidRPr="00B170DF">
        <w:rPr>
          <w:rFonts w:hint="eastAsia"/>
        </w:rPr>
        <w:t>30</w:t>
      </w:r>
      <w:r w:rsidRPr="00B170DF">
        <w:rPr>
          <w:rFonts w:hint="eastAsia"/>
        </w:rPr>
        <w:t>日，公司资产负债率为</w:t>
      </w:r>
      <w:r w:rsidRPr="00B170DF">
        <w:t>67.28%</w:t>
      </w:r>
      <w:r w:rsidRPr="00B170DF">
        <w:rPr>
          <w:rFonts w:hint="eastAsia"/>
        </w:rPr>
        <w:t>，资产负债率较高。公司自</w:t>
      </w:r>
      <w:r w:rsidRPr="00B170DF">
        <w:rPr>
          <w:rFonts w:hint="eastAsia"/>
        </w:rPr>
        <w:t>2015</w:t>
      </w:r>
      <w:r w:rsidRPr="00B170DF">
        <w:rPr>
          <w:rFonts w:hint="eastAsia"/>
        </w:rPr>
        <w:t>年</w:t>
      </w:r>
      <w:r w:rsidRPr="00B170DF">
        <w:rPr>
          <w:rFonts w:hint="eastAsia"/>
        </w:rPr>
        <w:t>IPO</w:t>
      </w:r>
      <w:r w:rsidRPr="00B170DF">
        <w:rPr>
          <w:rFonts w:hint="eastAsia"/>
        </w:rPr>
        <w:t>上市以来就明确向</w:t>
      </w:r>
      <w:proofErr w:type="gramStart"/>
      <w:r w:rsidRPr="00B170DF">
        <w:rPr>
          <w:rFonts w:hint="eastAsia"/>
        </w:rPr>
        <w:t>创新药企转型</w:t>
      </w:r>
      <w:proofErr w:type="gramEnd"/>
      <w:r w:rsidRPr="00B170DF">
        <w:rPr>
          <w:rFonts w:hint="eastAsia"/>
        </w:rPr>
        <w:t>，持续积极推进创新药发展战略，公司前期经营活动主要处于研发及试验生产阶段，自有资金无法满足营运资金需求，主要通过债务融资方式筹集资金，导致负债规模处于较高水平。公司较高的资产负债率水平将会对公司生产经营稳定性造成不利影响。</w:t>
      </w:r>
    </w:p>
    <w:p w14:paraId="127EE446" w14:textId="77777777" w:rsidR="003B5A2A" w:rsidRPr="00B170DF" w:rsidRDefault="00374526" w:rsidP="003B5A2A">
      <w:pPr>
        <w:keepNext/>
        <w:keepLines/>
        <w:spacing w:before="163" w:after="163"/>
        <w:ind w:firstLineChars="0" w:firstLine="482"/>
        <w:rPr>
          <w:b/>
          <w:bCs/>
          <w:kern w:val="0"/>
          <w:szCs w:val="24"/>
        </w:rPr>
      </w:pPr>
      <w:r w:rsidRPr="00B170DF">
        <w:rPr>
          <w:rFonts w:hint="eastAsia"/>
          <w:b/>
          <w:bCs/>
          <w:kern w:val="0"/>
          <w:szCs w:val="24"/>
        </w:rPr>
        <w:t>5</w:t>
      </w:r>
      <w:r w:rsidR="003B5A2A" w:rsidRPr="00B170DF">
        <w:rPr>
          <w:rFonts w:hint="eastAsia"/>
          <w:b/>
          <w:bCs/>
          <w:kern w:val="0"/>
          <w:szCs w:val="24"/>
        </w:rPr>
        <w:t>、</w:t>
      </w:r>
      <w:r w:rsidR="003B5A2A" w:rsidRPr="00B170DF">
        <w:rPr>
          <w:b/>
          <w:bCs/>
          <w:kern w:val="0"/>
          <w:szCs w:val="24"/>
        </w:rPr>
        <w:t>存货</w:t>
      </w:r>
      <w:r w:rsidR="003B5A2A" w:rsidRPr="00B170DF">
        <w:rPr>
          <w:rFonts w:hint="eastAsia"/>
          <w:b/>
          <w:bCs/>
          <w:kern w:val="0"/>
          <w:szCs w:val="24"/>
        </w:rPr>
        <w:t>跌价</w:t>
      </w:r>
      <w:r w:rsidR="003B5A2A" w:rsidRPr="00B170DF">
        <w:rPr>
          <w:b/>
          <w:bCs/>
          <w:kern w:val="0"/>
          <w:szCs w:val="24"/>
        </w:rPr>
        <w:t>风险</w:t>
      </w:r>
    </w:p>
    <w:p w14:paraId="290816F7" w14:textId="77777777" w:rsidR="003B5A2A" w:rsidRPr="00B170DF" w:rsidRDefault="00025C96" w:rsidP="003B5A2A">
      <w:pPr>
        <w:spacing w:before="163" w:after="163"/>
        <w:ind w:firstLine="480"/>
      </w:pPr>
      <w:r w:rsidRPr="00B170DF">
        <w:rPr>
          <w:rFonts w:hint="eastAsia"/>
        </w:rPr>
        <w:t>2021</w:t>
      </w:r>
      <w:r w:rsidRPr="00B170DF">
        <w:rPr>
          <w:rFonts w:hint="eastAsia"/>
        </w:rPr>
        <w:t>年末、</w:t>
      </w:r>
      <w:r w:rsidRPr="00B170DF">
        <w:rPr>
          <w:rFonts w:hint="eastAsia"/>
        </w:rPr>
        <w:t>2022</w:t>
      </w:r>
      <w:r w:rsidRPr="00B170DF">
        <w:rPr>
          <w:rFonts w:hint="eastAsia"/>
        </w:rPr>
        <w:t>年末、</w:t>
      </w:r>
      <w:r w:rsidRPr="00B170DF">
        <w:rPr>
          <w:rFonts w:hint="eastAsia"/>
        </w:rPr>
        <w:t>2023</w:t>
      </w:r>
      <w:r w:rsidRPr="00B170DF">
        <w:rPr>
          <w:rFonts w:hint="eastAsia"/>
        </w:rPr>
        <w:t>年末及</w:t>
      </w:r>
      <w:r w:rsidRPr="00B170DF">
        <w:rPr>
          <w:rFonts w:hint="eastAsia"/>
        </w:rPr>
        <w:t>2024</w:t>
      </w:r>
      <w:r w:rsidRPr="00B170DF">
        <w:rPr>
          <w:rFonts w:hint="eastAsia"/>
        </w:rPr>
        <w:t>年</w:t>
      </w:r>
      <w:r w:rsidRPr="00B170DF">
        <w:rPr>
          <w:rFonts w:hint="eastAsia"/>
        </w:rPr>
        <w:t>9</w:t>
      </w:r>
      <w:r w:rsidRPr="00B170DF">
        <w:rPr>
          <w:rFonts w:hint="eastAsia"/>
        </w:rPr>
        <w:t>月末</w:t>
      </w:r>
      <w:r w:rsidR="003B5A2A" w:rsidRPr="00B170DF">
        <w:rPr>
          <w:rFonts w:hint="eastAsia"/>
        </w:rPr>
        <w:t>，公司存货账面价值分别为</w:t>
      </w:r>
      <w:r w:rsidR="002B1CAF" w:rsidRPr="00B170DF">
        <w:t>8,179.57</w:t>
      </w:r>
      <w:r w:rsidR="002B1CAF" w:rsidRPr="00B170DF">
        <w:rPr>
          <w:rFonts w:hint="eastAsia"/>
        </w:rPr>
        <w:t>万元、</w:t>
      </w:r>
      <w:r w:rsidR="003B5A2A" w:rsidRPr="00B170DF">
        <w:rPr>
          <w:rFonts w:hint="eastAsia"/>
        </w:rPr>
        <w:t>6,866.15</w:t>
      </w:r>
      <w:r w:rsidR="003B5A2A" w:rsidRPr="00B170DF">
        <w:rPr>
          <w:rFonts w:hint="eastAsia"/>
        </w:rPr>
        <w:t>万元、</w:t>
      </w:r>
      <w:r w:rsidR="003B5A2A" w:rsidRPr="00B170DF">
        <w:rPr>
          <w:rFonts w:hint="eastAsia"/>
        </w:rPr>
        <w:t>11,147.56</w:t>
      </w:r>
      <w:r w:rsidR="003B5A2A" w:rsidRPr="00B170DF">
        <w:rPr>
          <w:rFonts w:hint="eastAsia"/>
        </w:rPr>
        <w:t>万元和</w:t>
      </w:r>
      <w:r w:rsidR="002B1CAF" w:rsidRPr="00B170DF">
        <w:rPr>
          <w:rFonts w:hint="eastAsia"/>
        </w:rPr>
        <w:t>14,561.94</w:t>
      </w:r>
      <w:r w:rsidR="003B5A2A" w:rsidRPr="00B170DF">
        <w:rPr>
          <w:rFonts w:hint="eastAsia"/>
        </w:rPr>
        <w:t>万元，占流动资产比例分别为</w:t>
      </w:r>
      <w:r w:rsidR="002B1CAF" w:rsidRPr="00B170DF">
        <w:t>14.87%</w:t>
      </w:r>
      <w:r w:rsidR="002B1CAF" w:rsidRPr="00B170DF">
        <w:rPr>
          <w:rFonts w:hint="eastAsia"/>
        </w:rPr>
        <w:t>、</w:t>
      </w:r>
      <w:r w:rsidR="003B5A2A" w:rsidRPr="00B170DF">
        <w:rPr>
          <w:rFonts w:hint="eastAsia"/>
        </w:rPr>
        <w:t>17.41%</w:t>
      </w:r>
      <w:r w:rsidR="003B5A2A" w:rsidRPr="00B170DF">
        <w:rPr>
          <w:rFonts w:hint="eastAsia"/>
        </w:rPr>
        <w:t>、</w:t>
      </w:r>
      <w:r w:rsidR="003B5A2A" w:rsidRPr="00B170DF">
        <w:rPr>
          <w:rFonts w:hint="eastAsia"/>
        </w:rPr>
        <w:t>24.81%</w:t>
      </w:r>
      <w:r w:rsidR="003B5A2A" w:rsidRPr="00B170DF">
        <w:rPr>
          <w:rFonts w:hint="eastAsia"/>
        </w:rPr>
        <w:t>和</w:t>
      </w:r>
      <w:r w:rsidR="002B1CAF" w:rsidRPr="00B170DF">
        <w:t>33.84%</w:t>
      </w:r>
      <w:r w:rsidR="003B5A2A" w:rsidRPr="00B170DF">
        <w:rPr>
          <w:rFonts w:hint="eastAsia"/>
        </w:rPr>
        <w:t>，规模总体较大。一方面，存货规模较大不但占用了发行人较多的流动资金，同时也给公司的管理带来较大压力，若管理不善，将影响经营效率，并最终影响公司的盈利水平；另一方面，随着公司经营规模的不断扩大，预计未来期末存货余额将持续增加，如果市场发生重大变化，则存在产品滞销而导致存货跌价的风险。</w:t>
      </w:r>
    </w:p>
    <w:p w14:paraId="3665CAC9" w14:textId="77777777" w:rsidR="002B1CAF" w:rsidRPr="00B170DF" w:rsidRDefault="00116C5C" w:rsidP="00A869B9">
      <w:pPr>
        <w:keepNext/>
        <w:keepLines/>
        <w:spacing w:before="163" w:after="163"/>
        <w:ind w:firstLineChars="0" w:firstLine="482"/>
        <w:rPr>
          <w:b/>
          <w:bCs/>
          <w:kern w:val="0"/>
          <w:szCs w:val="24"/>
        </w:rPr>
      </w:pPr>
      <w:r w:rsidRPr="00B170DF">
        <w:rPr>
          <w:rFonts w:hint="eastAsia"/>
          <w:b/>
          <w:bCs/>
          <w:kern w:val="0"/>
          <w:szCs w:val="24"/>
        </w:rPr>
        <w:t>6</w:t>
      </w:r>
      <w:r w:rsidR="002B1CAF" w:rsidRPr="00B170DF">
        <w:rPr>
          <w:rFonts w:hint="eastAsia"/>
          <w:b/>
          <w:bCs/>
          <w:kern w:val="0"/>
          <w:szCs w:val="24"/>
        </w:rPr>
        <w:t>、应收账款回收风险</w:t>
      </w:r>
    </w:p>
    <w:p w14:paraId="7A215EAD" w14:textId="77777777" w:rsidR="002B1CAF" w:rsidRPr="00B170DF" w:rsidRDefault="00025C96" w:rsidP="002B1CAF">
      <w:pPr>
        <w:spacing w:before="163" w:after="163"/>
        <w:ind w:firstLine="480"/>
      </w:pPr>
      <w:r w:rsidRPr="00B170DF">
        <w:rPr>
          <w:rFonts w:hint="eastAsia"/>
        </w:rPr>
        <w:t>2021</w:t>
      </w:r>
      <w:r w:rsidRPr="00B170DF">
        <w:rPr>
          <w:rFonts w:hint="eastAsia"/>
        </w:rPr>
        <w:t>年末、</w:t>
      </w:r>
      <w:r w:rsidRPr="00B170DF">
        <w:rPr>
          <w:rFonts w:hint="eastAsia"/>
        </w:rPr>
        <w:t>2022</w:t>
      </w:r>
      <w:r w:rsidRPr="00B170DF">
        <w:rPr>
          <w:rFonts w:hint="eastAsia"/>
        </w:rPr>
        <w:t>年末、</w:t>
      </w:r>
      <w:r w:rsidRPr="00B170DF">
        <w:rPr>
          <w:rFonts w:hint="eastAsia"/>
        </w:rPr>
        <w:t>2023</w:t>
      </w:r>
      <w:r w:rsidRPr="00B170DF">
        <w:rPr>
          <w:rFonts w:hint="eastAsia"/>
        </w:rPr>
        <w:t>年末及</w:t>
      </w:r>
      <w:r w:rsidRPr="00B170DF">
        <w:rPr>
          <w:rFonts w:hint="eastAsia"/>
        </w:rPr>
        <w:t>2024</w:t>
      </w:r>
      <w:r w:rsidRPr="00B170DF">
        <w:rPr>
          <w:rFonts w:hint="eastAsia"/>
        </w:rPr>
        <w:t>年</w:t>
      </w:r>
      <w:r w:rsidRPr="00B170DF">
        <w:rPr>
          <w:rFonts w:hint="eastAsia"/>
        </w:rPr>
        <w:t>9</w:t>
      </w:r>
      <w:r w:rsidRPr="00B170DF">
        <w:rPr>
          <w:rFonts w:hint="eastAsia"/>
        </w:rPr>
        <w:t>月末</w:t>
      </w:r>
      <w:r w:rsidR="002B1CAF" w:rsidRPr="00B170DF">
        <w:rPr>
          <w:rFonts w:hint="eastAsia"/>
        </w:rPr>
        <w:t>，公司应收账款账面价值分别为</w:t>
      </w:r>
      <w:r w:rsidR="00D50D39" w:rsidRPr="00B170DF">
        <w:rPr>
          <w:rFonts w:hint="eastAsia"/>
        </w:rPr>
        <w:t>5,168.09</w:t>
      </w:r>
      <w:r w:rsidR="00D50D39" w:rsidRPr="00B170DF">
        <w:rPr>
          <w:rFonts w:hint="eastAsia"/>
        </w:rPr>
        <w:t>万元、</w:t>
      </w:r>
      <w:r w:rsidR="002B1CAF" w:rsidRPr="00B170DF">
        <w:t>4,725.34</w:t>
      </w:r>
      <w:r w:rsidR="002B1CAF" w:rsidRPr="00B170DF">
        <w:rPr>
          <w:rFonts w:hint="eastAsia"/>
        </w:rPr>
        <w:t>万元、</w:t>
      </w:r>
      <w:r w:rsidR="002B1CAF" w:rsidRPr="00B170DF">
        <w:t>6,754.32</w:t>
      </w:r>
      <w:r w:rsidR="002B1CAF" w:rsidRPr="00B170DF">
        <w:rPr>
          <w:rFonts w:hint="eastAsia"/>
        </w:rPr>
        <w:t>万元和</w:t>
      </w:r>
      <w:r w:rsidR="00D50D39" w:rsidRPr="00B170DF">
        <w:rPr>
          <w:rFonts w:hint="eastAsia"/>
        </w:rPr>
        <w:t>6,233.50</w:t>
      </w:r>
      <w:r w:rsidR="002B1CAF" w:rsidRPr="00B170DF">
        <w:rPr>
          <w:rFonts w:hint="eastAsia"/>
        </w:rPr>
        <w:t>万元。公司下游客户主要为大型医药流通配送企业，信誉较高，公司给予部分客户一定的信用期。若下游客户经营状况出现恶化，或其对终端医院的回款出现延迟，将加大公司应收账款的回收难度，公司将面临应收账款坏账损失增加的风险。</w:t>
      </w:r>
    </w:p>
    <w:p w14:paraId="6D3A14FF" w14:textId="77777777" w:rsidR="002B1CAF" w:rsidRPr="00B170DF" w:rsidRDefault="00116C5C" w:rsidP="00A869B9">
      <w:pPr>
        <w:keepNext/>
        <w:keepLines/>
        <w:spacing w:before="163" w:after="163"/>
        <w:ind w:firstLineChars="0" w:firstLine="482"/>
        <w:rPr>
          <w:b/>
          <w:bCs/>
          <w:kern w:val="0"/>
          <w:szCs w:val="24"/>
        </w:rPr>
      </w:pPr>
      <w:r w:rsidRPr="00B170DF">
        <w:rPr>
          <w:rFonts w:hint="eastAsia"/>
          <w:b/>
          <w:bCs/>
          <w:kern w:val="0"/>
          <w:szCs w:val="24"/>
        </w:rPr>
        <w:lastRenderedPageBreak/>
        <w:t>7</w:t>
      </w:r>
      <w:r w:rsidR="002B1CAF" w:rsidRPr="00B170DF">
        <w:rPr>
          <w:rFonts w:hint="eastAsia"/>
          <w:b/>
          <w:bCs/>
          <w:kern w:val="0"/>
          <w:szCs w:val="24"/>
        </w:rPr>
        <w:t>、固定资产</w:t>
      </w:r>
      <w:r w:rsidR="009444B9" w:rsidRPr="00B170DF">
        <w:rPr>
          <w:rFonts w:hint="eastAsia"/>
          <w:b/>
          <w:bCs/>
          <w:kern w:val="0"/>
          <w:szCs w:val="24"/>
        </w:rPr>
        <w:t>及无形资产</w:t>
      </w:r>
      <w:r w:rsidR="002B1CAF" w:rsidRPr="00B170DF">
        <w:rPr>
          <w:rFonts w:hint="eastAsia"/>
          <w:b/>
          <w:bCs/>
          <w:kern w:val="0"/>
          <w:szCs w:val="24"/>
        </w:rPr>
        <w:t>减值风险</w:t>
      </w:r>
    </w:p>
    <w:p w14:paraId="6844681B" w14:textId="77777777" w:rsidR="002B1CAF" w:rsidRPr="00B170DF" w:rsidRDefault="007E2C4B" w:rsidP="002B1CAF">
      <w:pPr>
        <w:spacing w:before="163" w:after="163"/>
        <w:ind w:firstLine="480"/>
      </w:pPr>
      <w:r w:rsidRPr="00B170DF">
        <w:rPr>
          <w:rFonts w:hint="eastAsia"/>
        </w:rPr>
        <w:t>截至</w:t>
      </w:r>
      <w:r w:rsidR="00025C96" w:rsidRPr="00B170DF">
        <w:rPr>
          <w:rFonts w:hint="eastAsia"/>
        </w:rPr>
        <w:t>2024</w:t>
      </w:r>
      <w:r w:rsidR="00025C96" w:rsidRPr="00B170DF">
        <w:rPr>
          <w:rFonts w:hint="eastAsia"/>
        </w:rPr>
        <w:t>年</w:t>
      </w:r>
      <w:r w:rsidR="00025C96" w:rsidRPr="00B170DF">
        <w:rPr>
          <w:rFonts w:hint="eastAsia"/>
        </w:rPr>
        <w:t>9</w:t>
      </w:r>
      <w:r w:rsidR="00025C96" w:rsidRPr="00B170DF">
        <w:rPr>
          <w:rFonts w:hint="eastAsia"/>
        </w:rPr>
        <w:t>月末</w:t>
      </w:r>
      <w:r w:rsidR="002B1CAF" w:rsidRPr="00B170DF">
        <w:rPr>
          <w:rFonts w:hint="eastAsia"/>
        </w:rPr>
        <w:t>，公司固定资产账面价值分别为</w:t>
      </w:r>
      <w:r w:rsidR="00D50D39" w:rsidRPr="00B170DF">
        <w:rPr>
          <w:rFonts w:hint="eastAsia"/>
        </w:rPr>
        <w:t>57,794.84</w:t>
      </w:r>
      <w:r w:rsidR="002B1CAF" w:rsidRPr="00B170DF">
        <w:rPr>
          <w:rFonts w:hint="eastAsia"/>
        </w:rPr>
        <w:t>万元，</w:t>
      </w:r>
      <w:r w:rsidRPr="00B170DF">
        <w:rPr>
          <w:rFonts w:hint="eastAsia"/>
        </w:rPr>
        <w:t>无形资产账面价值</w:t>
      </w:r>
      <w:r w:rsidRPr="00B170DF">
        <w:rPr>
          <w:szCs w:val="24"/>
        </w:rPr>
        <w:t>27,897.79</w:t>
      </w:r>
      <w:r w:rsidRPr="00B170DF">
        <w:rPr>
          <w:rFonts w:hint="eastAsia"/>
          <w:szCs w:val="24"/>
        </w:rPr>
        <w:t>万元，</w:t>
      </w:r>
      <w:r w:rsidR="002B1CAF" w:rsidRPr="00B170DF">
        <w:rPr>
          <w:rFonts w:hint="eastAsia"/>
        </w:rPr>
        <w:t>占资产总额的比例较高。若未来生产经营环境或下游市场需求等因素发生不利变化，公司产能利用率进一步降低，</w:t>
      </w:r>
      <w:r w:rsidRPr="00B170DF">
        <w:rPr>
          <w:rFonts w:hint="eastAsia"/>
        </w:rPr>
        <w:t>相关药品销售不及预期，可能</w:t>
      </w:r>
      <w:r w:rsidR="002B1CAF" w:rsidRPr="00B170DF">
        <w:rPr>
          <w:rFonts w:hint="eastAsia"/>
        </w:rPr>
        <w:t>导致出现资产闲置、淘汰或者不可使用等情形，可能存在计提资产减值准备金额增加的风险。</w:t>
      </w:r>
    </w:p>
    <w:p w14:paraId="235ABC30" w14:textId="77777777" w:rsidR="004F2315" w:rsidRPr="00B170DF" w:rsidRDefault="00116C5C" w:rsidP="004F2315">
      <w:pPr>
        <w:keepNext/>
        <w:keepLines/>
        <w:spacing w:before="163" w:after="163"/>
        <w:ind w:firstLineChars="0" w:firstLine="482"/>
        <w:rPr>
          <w:b/>
          <w:bCs/>
          <w:kern w:val="0"/>
          <w:szCs w:val="24"/>
        </w:rPr>
      </w:pPr>
      <w:r w:rsidRPr="00B170DF">
        <w:rPr>
          <w:rFonts w:hint="eastAsia"/>
          <w:b/>
          <w:bCs/>
          <w:kern w:val="0"/>
          <w:szCs w:val="24"/>
        </w:rPr>
        <w:t>8</w:t>
      </w:r>
      <w:r w:rsidR="004F2315" w:rsidRPr="00B170DF">
        <w:rPr>
          <w:rFonts w:hint="eastAsia"/>
          <w:b/>
          <w:bCs/>
          <w:kern w:val="0"/>
          <w:szCs w:val="24"/>
        </w:rPr>
        <w:t>、推广服务</w:t>
      </w:r>
      <w:proofErr w:type="gramStart"/>
      <w:r w:rsidR="004F2315" w:rsidRPr="00B170DF">
        <w:rPr>
          <w:rFonts w:hint="eastAsia"/>
          <w:b/>
          <w:bCs/>
          <w:kern w:val="0"/>
          <w:szCs w:val="24"/>
        </w:rPr>
        <w:t>商管理</w:t>
      </w:r>
      <w:proofErr w:type="gramEnd"/>
      <w:r w:rsidR="004F2315" w:rsidRPr="00B170DF">
        <w:rPr>
          <w:rFonts w:hint="eastAsia"/>
          <w:b/>
          <w:bCs/>
          <w:kern w:val="0"/>
          <w:szCs w:val="24"/>
        </w:rPr>
        <w:t>风险</w:t>
      </w:r>
    </w:p>
    <w:p w14:paraId="6AF231E3" w14:textId="77777777" w:rsidR="004F2315" w:rsidRPr="00B170DF" w:rsidRDefault="004F2315" w:rsidP="004F2315">
      <w:pPr>
        <w:spacing w:before="163" w:after="163"/>
        <w:ind w:firstLine="480"/>
      </w:pPr>
      <w:r w:rsidRPr="00B170DF">
        <w:rPr>
          <w:rFonts w:hint="eastAsia"/>
        </w:rPr>
        <w:t>药品生产企业销售费用率较高为普遍的行业现象。</w:t>
      </w:r>
      <w:r w:rsidR="00025C96" w:rsidRPr="00B170DF">
        <w:rPr>
          <w:rFonts w:hint="eastAsia"/>
        </w:rPr>
        <w:t>2021</w:t>
      </w:r>
      <w:r w:rsidR="00025C96" w:rsidRPr="00B170DF">
        <w:rPr>
          <w:rFonts w:hint="eastAsia"/>
        </w:rPr>
        <w:t>年、</w:t>
      </w:r>
      <w:r w:rsidR="00025C96" w:rsidRPr="00B170DF">
        <w:rPr>
          <w:rFonts w:hint="eastAsia"/>
        </w:rPr>
        <w:t>2022</w:t>
      </w:r>
      <w:r w:rsidR="00025C96" w:rsidRPr="00B170DF">
        <w:rPr>
          <w:rFonts w:hint="eastAsia"/>
        </w:rPr>
        <w:t>年、</w:t>
      </w:r>
      <w:r w:rsidR="00025C96" w:rsidRPr="00B170DF">
        <w:rPr>
          <w:rFonts w:hint="eastAsia"/>
        </w:rPr>
        <w:t>2023</w:t>
      </w:r>
      <w:r w:rsidR="00025C96" w:rsidRPr="00B170DF">
        <w:rPr>
          <w:rFonts w:hint="eastAsia"/>
        </w:rPr>
        <w:t>年及</w:t>
      </w:r>
      <w:r w:rsidR="00025C96" w:rsidRPr="00B170DF">
        <w:rPr>
          <w:rFonts w:hint="eastAsia"/>
        </w:rPr>
        <w:t>2024</w:t>
      </w:r>
      <w:r w:rsidR="00025C96" w:rsidRPr="00B170DF">
        <w:rPr>
          <w:rFonts w:hint="eastAsia"/>
        </w:rPr>
        <w:t>年</w:t>
      </w:r>
      <w:r w:rsidR="00025C96" w:rsidRPr="00B170DF">
        <w:rPr>
          <w:rFonts w:hint="eastAsia"/>
        </w:rPr>
        <w:t>1-9</w:t>
      </w:r>
      <w:r w:rsidR="00025C96" w:rsidRPr="00B170DF">
        <w:rPr>
          <w:rFonts w:hint="eastAsia"/>
        </w:rPr>
        <w:t>月</w:t>
      </w:r>
      <w:r w:rsidRPr="00B170DF">
        <w:rPr>
          <w:rFonts w:hint="eastAsia"/>
        </w:rPr>
        <w:t>，公司销售费用分别为</w:t>
      </w:r>
      <w:r w:rsidRPr="00B170DF">
        <w:t>16,978.96</w:t>
      </w:r>
      <w:r w:rsidRPr="00B170DF">
        <w:rPr>
          <w:rFonts w:hint="eastAsia"/>
        </w:rPr>
        <w:t>万元、</w:t>
      </w:r>
      <w:r w:rsidRPr="00B170DF">
        <w:t>17,721.14</w:t>
      </w:r>
      <w:r w:rsidRPr="00B170DF">
        <w:rPr>
          <w:rFonts w:hint="eastAsia"/>
        </w:rPr>
        <w:t>万元、</w:t>
      </w:r>
      <w:r w:rsidRPr="00B170DF">
        <w:t>18,979.32</w:t>
      </w:r>
      <w:r w:rsidRPr="00B170DF">
        <w:rPr>
          <w:rFonts w:hint="eastAsia"/>
        </w:rPr>
        <w:t>万元和</w:t>
      </w:r>
      <w:r w:rsidRPr="00B170DF">
        <w:t>14,447.62</w:t>
      </w:r>
      <w:r w:rsidRPr="00B170DF">
        <w:rPr>
          <w:rFonts w:hint="eastAsia"/>
        </w:rPr>
        <w:t>万元，占营业收入的比例分别为</w:t>
      </w:r>
      <w:r w:rsidRPr="00B170DF">
        <w:t>45.83%</w:t>
      </w:r>
      <w:r w:rsidRPr="00B170DF">
        <w:rPr>
          <w:rFonts w:hint="eastAsia"/>
        </w:rPr>
        <w:t>、</w:t>
      </w:r>
      <w:r w:rsidRPr="00B170DF">
        <w:t>45.94</w:t>
      </w:r>
      <w:r w:rsidRPr="00B170DF">
        <w:rPr>
          <w:rFonts w:hint="eastAsia"/>
        </w:rPr>
        <w:t>%</w:t>
      </w:r>
      <w:r w:rsidRPr="00B170DF">
        <w:rPr>
          <w:rFonts w:hint="eastAsia"/>
        </w:rPr>
        <w:t>、</w:t>
      </w:r>
      <w:r w:rsidRPr="00B170DF">
        <w:t>44.90</w:t>
      </w:r>
      <w:r w:rsidRPr="00B170DF">
        <w:rPr>
          <w:rFonts w:hint="eastAsia"/>
        </w:rPr>
        <w:t>%</w:t>
      </w:r>
      <w:r w:rsidRPr="00B170DF">
        <w:rPr>
          <w:rFonts w:hint="eastAsia"/>
        </w:rPr>
        <w:t>和</w:t>
      </w:r>
      <w:r w:rsidRPr="00B170DF">
        <w:t>44.27</w:t>
      </w:r>
      <w:r w:rsidRPr="00B170DF">
        <w:rPr>
          <w:rFonts w:hint="eastAsia"/>
        </w:rPr>
        <w:t>%</w:t>
      </w:r>
      <w:r w:rsidRPr="00B170DF">
        <w:rPr>
          <w:rFonts w:hint="eastAsia"/>
        </w:rPr>
        <w:t>。药品生产企业的销售需要专业化的营销团队对药品的适应症进行专业化的学术推广，提高临床医生对公司产品相关理论知识的认识，从而实现药品在终端的销售。公司聘请推广服务商围绕公司产品开展学术推广活动，并向其支付推广服务费。</w:t>
      </w:r>
    </w:p>
    <w:p w14:paraId="6870B0FF" w14:textId="77777777" w:rsidR="004F2315" w:rsidRPr="00B170DF" w:rsidRDefault="004F2315" w:rsidP="004F2315">
      <w:pPr>
        <w:spacing w:before="163" w:after="163"/>
        <w:ind w:firstLine="480"/>
      </w:pPr>
      <w:r w:rsidRPr="00B170DF">
        <w:rPr>
          <w:rFonts w:hint="eastAsia"/>
        </w:rPr>
        <w:t>尽管公司会采取诸多措施加强对推广服务商和推广活动的管理，但由于公司推广服务商数量较多，分布全国各地，公司对推广服务商的日常管理深度依然会存在一定的限制，仍然可能出现推广服务商因合</w:t>
      </w:r>
      <w:proofErr w:type="gramStart"/>
      <w:r w:rsidRPr="00B170DF">
        <w:rPr>
          <w:rFonts w:hint="eastAsia"/>
        </w:rPr>
        <w:t>规</w:t>
      </w:r>
      <w:proofErr w:type="gramEnd"/>
      <w:r w:rsidRPr="00B170DF">
        <w:rPr>
          <w:rFonts w:hint="eastAsia"/>
        </w:rPr>
        <w:t>性问题而连带对公司产生负面影响。</w:t>
      </w:r>
    </w:p>
    <w:p w14:paraId="46431741" w14:textId="77777777" w:rsidR="002B1CAF" w:rsidRPr="00B170DF" w:rsidRDefault="00116C5C" w:rsidP="00A869B9">
      <w:pPr>
        <w:keepNext/>
        <w:keepLines/>
        <w:spacing w:before="163" w:after="163"/>
        <w:ind w:firstLineChars="0" w:firstLine="482"/>
        <w:rPr>
          <w:b/>
          <w:bCs/>
          <w:kern w:val="0"/>
          <w:szCs w:val="24"/>
        </w:rPr>
      </w:pPr>
      <w:r w:rsidRPr="00B170DF">
        <w:rPr>
          <w:rFonts w:hint="eastAsia"/>
          <w:b/>
          <w:bCs/>
          <w:kern w:val="0"/>
          <w:szCs w:val="24"/>
        </w:rPr>
        <w:t>9</w:t>
      </w:r>
      <w:r w:rsidR="002B1CAF" w:rsidRPr="00B170DF">
        <w:rPr>
          <w:rFonts w:hint="eastAsia"/>
          <w:b/>
          <w:bCs/>
          <w:kern w:val="0"/>
          <w:szCs w:val="24"/>
        </w:rPr>
        <w:t>、商誉减值风险</w:t>
      </w:r>
    </w:p>
    <w:p w14:paraId="16DFF2AE" w14:textId="77777777" w:rsidR="002B1CAF" w:rsidRPr="00B170DF" w:rsidRDefault="002B1CAF" w:rsidP="002B1CAF">
      <w:pPr>
        <w:spacing w:before="163" w:after="163"/>
        <w:ind w:firstLine="480"/>
      </w:pPr>
      <w:r w:rsidRPr="00B170DF">
        <w:rPr>
          <w:rFonts w:hint="eastAsia"/>
        </w:rPr>
        <w:t>公司收购江苏中兴后，在合并资产负债表中形成一定金额的商誉，根据《企业会计准则》等规定，商誉不作摊销处理，但需在每年年度终了进行减值测试。如果江苏中兴未来经营状况恶化，则存在商誉减值的风险，从而对公司当期损益造成不利影响。</w:t>
      </w:r>
    </w:p>
    <w:p w14:paraId="286DBD6D" w14:textId="77777777" w:rsidR="002B1CAF" w:rsidRPr="00B170DF" w:rsidRDefault="00116C5C" w:rsidP="00A869B9">
      <w:pPr>
        <w:keepNext/>
        <w:keepLines/>
        <w:spacing w:before="163" w:after="163"/>
        <w:ind w:firstLineChars="0" w:firstLine="482"/>
        <w:rPr>
          <w:b/>
          <w:bCs/>
          <w:kern w:val="0"/>
          <w:szCs w:val="24"/>
        </w:rPr>
      </w:pPr>
      <w:r w:rsidRPr="00B170DF">
        <w:rPr>
          <w:rFonts w:hint="eastAsia"/>
          <w:b/>
          <w:bCs/>
          <w:kern w:val="0"/>
          <w:szCs w:val="24"/>
        </w:rPr>
        <w:t>10</w:t>
      </w:r>
      <w:r w:rsidR="002B1CAF" w:rsidRPr="00B170DF">
        <w:rPr>
          <w:rFonts w:hint="eastAsia"/>
          <w:b/>
          <w:bCs/>
          <w:kern w:val="0"/>
          <w:szCs w:val="24"/>
        </w:rPr>
        <w:t>、环保相关的风险</w:t>
      </w:r>
    </w:p>
    <w:p w14:paraId="1508CBA0" w14:textId="77777777" w:rsidR="002B1CAF" w:rsidRPr="00B170DF" w:rsidRDefault="002B1CAF" w:rsidP="002B1CAF">
      <w:pPr>
        <w:spacing w:before="163" w:after="163"/>
        <w:ind w:firstLine="480"/>
      </w:pPr>
      <w:r w:rsidRPr="00B170DF">
        <w:rPr>
          <w:rFonts w:hint="eastAsia"/>
        </w:rPr>
        <w:t>公司在生产过程中会产生废水、废气和固体废物等污染排放物和噪声。虽然</w:t>
      </w:r>
      <w:r w:rsidRPr="00B170DF">
        <w:rPr>
          <w:rFonts w:hint="eastAsia"/>
        </w:rPr>
        <w:lastRenderedPageBreak/>
        <w:t>公司在各生产环节已建立了一整套遵守国家环境保护条例、控制污染物排放的环保体系，但是，随着社会发展对环保要求的不断提高，国家有可能出台更为严格的环保政策，如公司目前的环保设备和环保措施无法满足更严格的要求，公司可能面临被处罚或无法取得环保相关资质的风险。</w:t>
      </w:r>
    </w:p>
    <w:p w14:paraId="0D78887A" w14:textId="77777777" w:rsidR="003B5A2A" w:rsidRPr="00B170DF" w:rsidRDefault="003B5A2A" w:rsidP="003B5A2A">
      <w:pPr>
        <w:keepNext/>
        <w:keepLines/>
        <w:widowControl/>
        <w:spacing w:before="163" w:after="163"/>
        <w:ind w:firstLineChars="0" w:firstLine="482"/>
        <w:jc w:val="left"/>
        <w:outlineLvl w:val="2"/>
        <w:rPr>
          <w:rFonts w:eastAsia="黑体"/>
          <w:b/>
          <w:bCs/>
          <w:szCs w:val="28"/>
        </w:rPr>
      </w:pPr>
      <w:r w:rsidRPr="00B170DF">
        <w:rPr>
          <w:rFonts w:eastAsia="黑体" w:hint="eastAsia"/>
          <w:b/>
          <w:bCs/>
          <w:szCs w:val="28"/>
        </w:rPr>
        <w:t>（四）</w:t>
      </w:r>
      <w:proofErr w:type="gramStart"/>
      <w:r w:rsidRPr="00B170DF">
        <w:rPr>
          <w:rFonts w:eastAsia="黑体" w:hint="eastAsia"/>
          <w:b/>
          <w:bCs/>
          <w:szCs w:val="28"/>
        </w:rPr>
        <w:t>募投项目</w:t>
      </w:r>
      <w:proofErr w:type="gramEnd"/>
      <w:r w:rsidRPr="00B170DF">
        <w:rPr>
          <w:rFonts w:eastAsia="黑体" w:hint="eastAsia"/>
          <w:b/>
          <w:bCs/>
          <w:szCs w:val="28"/>
        </w:rPr>
        <w:t>实施及发行风险</w:t>
      </w:r>
      <w:bookmarkEnd w:id="74"/>
    </w:p>
    <w:p w14:paraId="64187182" w14:textId="77777777" w:rsidR="003B5A2A" w:rsidRPr="00B170DF" w:rsidRDefault="009978F2" w:rsidP="009978F2">
      <w:pPr>
        <w:keepNext/>
        <w:keepLines/>
        <w:spacing w:before="163" w:after="163"/>
        <w:ind w:firstLineChars="0" w:firstLine="482"/>
        <w:rPr>
          <w:b/>
          <w:bCs/>
          <w:kern w:val="0"/>
          <w:szCs w:val="24"/>
        </w:rPr>
      </w:pPr>
      <w:r w:rsidRPr="00B170DF">
        <w:rPr>
          <w:rFonts w:hint="eastAsia"/>
          <w:b/>
          <w:bCs/>
          <w:kern w:val="0"/>
          <w:szCs w:val="24"/>
        </w:rPr>
        <w:t>1</w:t>
      </w:r>
      <w:r w:rsidRPr="00B170DF">
        <w:rPr>
          <w:rFonts w:hint="eastAsia"/>
          <w:b/>
          <w:bCs/>
          <w:kern w:val="0"/>
          <w:szCs w:val="24"/>
        </w:rPr>
        <w:t>、</w:t>
      </w:r>
      <w:r w:rsidR="003B5A2A" w:rsidRPr="00B170DF">
        <w:rPr>
          <w:rFonts w:hint="eastAsia"/>
          <w:b/>
          <w:bCs/>
          <w:kern w:val="0"/>
          <w:szCs w:val="24"/>
        </w:rPr>
        <w:t>募集资金投资项目实施的风险</w:t>
      </w:r>
    </w:p>
    <w:p w14:paraId="18C7631E" w14:textId="77777777" w:rsidR="003B5A2A" w:rsidRPr="00B170DF" w:rsidRDefault="003B5A2A" w:rsidP="003B5A2A">
      <w:pPr>
        <w:spacing w:before="163" w:afterLines="0" w:after="160"/>
        <w:ind w:firstLine="480"/>
        <w:rPr>
          <w:kern w:val="0"/>
          <w:szCs w:val="20"/>
        </w:rPr>
      </w:pPr>
      <w:r w:rsidRPr="00B170DF">
        <w:rPr>
          <w:rFonts w:hint="eastAsia"/>
          <w:kern w:val="0"/>
          <w:szCs w:val="20"/>
        </w:rPr>
        <w:t>本次</w:t>
      </w:r>
      <w:proofErr w:type="gramStart"/>
      <w:r w:rsidRPr="00B170DF">
        <w:rPr>
          <w:rFonts w:hint="eastAsia"/>
          <w:kern w:val="0"/>
          <w:szCs w:val="20"/>
        </w:rPr>
        <w:t>募投项目</w:t>
      </w:r>
      <w:proofErr w:type="gramEnd"/>
      <w:r w:rsidRPr="00B170DF">
        <w:rPr>
          <w:rFonts w:hint="eastAsia"/>
          <w:kern w:val="0"/>
          <w:szCs w:val="20"/>
        </w:rPr>
        <w:t>中创新药研发主要用于满足乙肝创新药的临床研发，上述项目涉及产品尚处于临床试验阶段，可能会出现临床试验结果不佳的情况，包括疗效或安全性等相关指标未达到预设目标，无法证明药物对于相关适应症的安全有效性，从而无法进行新药注册申请等情形。本次</w:t>
      </w:r>
      <w:proofErr w:type="gramStart"/>
      <w:r w:rsidRPr="00B170DF">
        <w:rPr>
          <w:rFonts w:hint="eastAsia"/>
          <w:kern w:val="0"/>
          <w:szCs w:val="20"/>
        </w:rPr>
        <w:t>募投项目</w:t>
      </w:r>
      <w:proofErr w:type="gramEnd"/>
      <w:r w:rsidRPr="00B170DF">
        <w:rPr>
          <w:rFonts w:hint="eastAsia"/>
          <w:kern w:val="0"/>
          <w:szCs w:val="20"/>
        </w:rPr>
        <w:t>中药产业化项目主要用于</w:t>
      </w:r>
      <w:r w:rsidRPr="00B170DF">
        <w:rPr>
          <w:rFonts w:hint="eastAsia"/>
          <w:szCs w:val="20"/>
        </w:rPr>
        <w:t>中药传统名方产业化</w:t>
      </w:r>
      <w:r w:rsidRPr="00B170DF">
        <w:rPr>
          <w:rFonts w:hint="eastAsia"/>
          <w:kern w:val="0"/>
          <w:szCs w:val="20"/>
        </w:rPr>
        <w:t>项目，如果收购的中药批文存在潜在争议纠纷或药品市场销售不达预期，将对公司经营业绩形成不利影响。因此，</w:t>
      </w:r>
      <w:proofErr w:type="gramStart"/>
      <w:r w:rsidRPr="00B170DF">
        <w:rPr>
          <w:rFonts w:hint="eastAsia"/>
          <w:kern w:val="0"/>
          <w:szCs w:val="20"/>
        </w:rPr>
        <w:t>募投项目</w:t>
      </w:r>
      <w:proofErr w:type="gramEnd"/>
      <w:r w:rsidRPr="00B170DF">
        <w:rPr>
          <w:rFonts w:hint="eastAsia"/>
          <w:kern w:val="0"/>
          <w:szCs w:val="20"/>
        </w:rPr>
        <w:t>产品存在实施风险。</w:t>
      </w:r>
    </w:p>
    <w:p w14:paraId="3432360A" w14:textId="77777777" w:rsidR="003B5A2A" w:rsidRPr="00B170DF" w:rsidRDefault="009978F2" w:rsidP="009978F2">
      <w:pPr>
        <w:keepNext/>
        <w:keepLines/>
        <w:spacing w:before="163" w:after="163"/>
        <w:ind w:firstLineChars="0" w:firstLine="482"/>
        <w:rPr>
          <w:b/>
          <w:bCs/>
          <w:kern w:val="0"/>
          <w:szCs w:val="24"/>
        </w:rPr>
      </w:pPr>
      <w:r w:rsidRPr="00B170DF">
        <w:rPr>
          <w:rFonts w:hint="eastAsia"/>
          <w:b/>
          <w:bCs/>
          <w:kern w:val="0"/>
          <w:szCs w:val="24"/>
        </w:rPr>
        <w:t>2</w:t>
      </w:r>
      <w:r w:rsidRPr="00B170DF">
        <w:rPr>
          <w:rFonts w:hint="eastAsia"/>
          <w:b/>
          <w:bCs/>
          <w:kern w:val="0"/>
          <w:szCs w:val="24"/>
        </w:rPr>
        <w:t>、</w:t>
      </w:r>
      <w:r w:rsidR="003B5A2A" w:rsidRPr="00B170DF">
        <w:rPr>
          <w:rFonts w:hint="eastAsia"/>
          <w:b/>
          <w:bCs/>
          <w:kern w:val="0"/>
          <w:szCs w:val="24"/>
        </w:rPr>
        <w:t>即期回报被摊薄的风险</w:t>
      </w:r>
    </w:p>
    <w:p w14:paraId="054FE3B2" w14:textId="77777777" w:rsidR="003B5A2A" w:rsidRPr="00B170DF" w:rsidRDefault="003B5A2A" w:rsidP="003B5A2A">
      <w:pPr>
        <w:widowControl/>
        <w:spacing w:before="163" w:afterLines="0" w:after="160"/>
        <w:ind w:firstLine="480"/>
        <w:rPr>
          <w:szCs w:val="20"/>
        </w:rPr>
      </w:pPr>
      <w:bookmarkStart w:id="75" w:name="_Hlk113372616"/>
      <w:r w:rsidRPr="00B170DF">
        <w:t>本次</w:t>
      </w:r>
      <w:r w:rsidR="005B7FDD" w:rsidRPr="00B170DF">
        <w:t>向特定对象发行</w:t>
      </w:r>
      <w:r w:rsidR="005B7FDD" w:rsidRPr="00B170DF">
        <w:t>A</w:t>
      </w:r>
      <w:r w:rsidR="005B7FDD" w:rsidRPr="00B170DF">
        <w:t>股股票</w:t>
      </w:r>
      <w:r w:rsidRPr="00B170DF">
        <w:t>完成后，</w:t>
      </w:r>
      <w:r w:rsidRPr="00B170DF">
        <w:rPr>
          <w:rFonts w:hint="eastAsia"/>
        </w:rPr>
        <w:t>公司</w:t>
      </w:r>
      <w:r w:rsidRPr="00B170DF">
        <w:t>总股本和净资产将有所增加，而</w:t>
      </w:r>
      <w:proofErr w:type="gramStart"/>
      <w:r w:rsidRPr="00B170DF">
        <w:rPr>
          <w:rFonts w:hint="eastAsia"/>
        </w:rPr>
        <w:t>募投项目</w:t>
      </w:r>
      <w:proofErr w:type="gramEnd"/>
      <w:r w:rsidRPr="00B170DF">
        <w:rPr>
          <w:rFonts w:hint="eastAsia"/>
        </w:rPr>
        <w:t>的</w:t>
      </w:r>
      <w:r w:rsidRPr="00B170DF">
        <w:t>实施</w:t>
      </w:r>
      <w:r w:rsidRPr="00B170DF">
        <w:rPr>
          <w:rFonts w:hint="eastAsia"/>
        </w:rPr>
        <w:t>及效益产生</w:t>
      </w:r>
      <w:r w:rsidRPr="00B170DF">
        <w:t>需要一定的时间。</w:t>
      </w:r>
      <w:r w:rsidRPr="00B170DF">
        <w:rPr>
          <w:rFonts w:hint="eastAsia"/>
        </w:rPr>
        <w:t>在公司总股本和净资产均增加的情况下，</w:t>
      </w:r>
      <w:proofErr w:type="gramStart"/>
      <w:r w:rsidRPr="00B170DF">
        <w:rPr>
          <w:rFonts w:hint="eastAsia"/>
        </w:rPr>
        <w:t>若业务</w:t>
      </w:r>
      <w:proofErr w:type="gramEnd"/>
      <w:r w:rsidRPr="00B170DF">
        <w:rPr>
          <w:rFonts w:hint="eastAsia"/>
        </w:rPr>
        <w:t>规模和净利润未能获得相应幅度的增长，每股收益和净资产收益率存在下降的风险。本次募集资金到位后，公司即期回报（每股收益、净资产收益率等财务指标）存在被摊薄的风险。</w:t>
      </w:r>
    </w:p>
    <w:bookmarkEnd w:id="75"/>
    <w:p w14:paraId="64DED0C5" w14:textId="77777777" w:rsidR="003B5A2A" w:rsidRPr="00B170DF" w:rsidRDefault="009978F2" w:rsidP="009978F2">
      <w:pPr>
        <w:keepNext/>
        <w:keepLines/>
        <w:spacing w:before="163" w:after="163"/>
        <w:ind w:firstLineChars="0" w:firstLine="482"/>
        <w:rPr>
          <w:b/>
          <w:bCs/>
          <w:kern w:val="0"/>
          <w:szCs w:val="24"/>
        </w:rPr>
      </w:pPr>
      <w:r w:rsidRPr="00B170DF">
        <w:rPr>
          <w:rFonts w:hint="eastAsia"/>
          <w:b/>
          <w:bCs/>
          <w:kern w:val="0"/>
          <w:szCs w:val="24"/>
        </w:rPr>
        <w:t>3</w:t>
      </w:r>
      <w:r w:rsidRPr="00B170DF">
        <w:rPr>
          <w:rFonts w:hint="eastAsia"/>
          <w:b/>
          <w:bCs/>
          <w:kern w:val="0"/>
          <w:szCs w:val="24"/>
        </w:rPr>
        <w:t>、</w:t>
      </w:r>
      <w:r w:rsidR="003B5A2A" w:rsidRPr="00B170DF">
        <w:rPr>
          <w:rFonts w:hint="eastAsia"/>
          <w:b/>
          <w:bCs/>
          <w:kern w:val="0"/>
          <w:szCs w:val="24"/>
        </w:rPr>
        <w:t>审批风险</w:t>
      </w:r>
    </w:p>
    <w:p w14:paraId="52FBFCBE" w14:textId="77777777" w:rsidR="003B5A2A" w:rsidRPr="00B170DF" w:rsidRDefault="003B5A2A" w:rsidP="003B5A2A">
      <w:pPr>
        <w:spacing w:before="163" w:afterLines="0" w:after="160"/>
        <w:ind w:firstLine="480"/>
        <w:rPr>
          <w:kern w:val="0"/>
          <w:szCs w:val="20"/>
        </w:rPr>
      </w:pPr>
      <w:r w:rsidRPr="00B170DF">
        <w:rPr>
          <w:rFonts w:hint="eastAsia"/>
          <w:kern w:val="0"/>
          <w:szCs w:val="20"/>
        </w:rPr>
        <w:t>本次向特定对象发行已经公司董事会、股东大会审议通过，尚需通过深交所的审核并获得证监会同意注册。公司本次向特定对象发行能否通过深交所的审核及获得中国证监会同意注册，以及最终取得批准的时间存在一定不确定性。</w:t>
      </w:r>
    </w:p>
    <w:p w14:paraId="281BE36F" w14:textId="77777777" w:rsidR="003B5A2A" w:rsidRPr="00B170DF" w:rsidRDefault="009978F2" w:rsidP="009978F2">
      <w:pPr>
        <w:keepNext/>
        <w:keepLines/>
        <w:spacing w:before="163" w:after="163"/>
        <w:ind w:firstLineChars="0" w:firstLine="482"/>
        <w:rPr>
          <w:b/>
          <w:bCs/>
          <w:kern w:val="0"/>
          <w:szCs w:val="24"/>
        </w:rPr>
      </w:pPr>
      <w:r w:rsidRPr="00B170DF">
        <w:rPr>
          <w:rFonts w:hint="eastAsia"/>
          <w:b/>
          <w:bCs/>
          <w:kern w:val="0"/>
          <w:szCs w:val="24"/>
        </w:rPr>
        <w:t>4</w:t>
      </w:r>
      <w:r w:rsidRPr="00B170DF">
        <w:rPr>
          <w:rFonts w:hint="eastAsia"/>
          <w:b/>
          <w:bCs/>
          <w:kern w:val="0"/>
          <w:szCs w:val="24"/>
        </w:rPr>
        <w:t>、</w:t>
      </w:r>
      <w:r w:rsidR="003B5A2A" w:rsidRPr="00B170DF">
        <w:rPr>
          <w:rFonts w:hint="eastAsia"/>
          <w:b/>
          <w:bCs/>
          <w:kern w:val="0"/>
          <w:szCs w:val="24"/>
        </w:rPr>
        <w:t>发行失败或募集资金不足的风险</w:t>
      </w:r>
    </w:p>
    <w:p w14:paraId="50F0EE11" w14:textId="77777777" w:rsidR="003B5A2A" w:rsidRPr="00B170DF" w:rsidRDefault="003B5A2A" w:rsidP="003B5A2A">
      <w:pPr>
        <w:spacing w:before="163" w:afterLines="0" w:after="160"/>
        <w:ind w:firstLine="480"/>
        <w:rPr>
          <w:kern w:val="0"/>
          <w:szCs w:val="20"/>
        </w:rPr>
      </w:pPr>
      <w:r w:rsidRPr="00B170DF">
        <w:rPr>
          <w:rFonts w:hint="eastAsia"/>
          <w:kern w:val="0"/>
          <w:szCs w:val="20"/>
        </w:rPr>
        <w:t>本次发行方案为向不超过</w:t>
      </w:r>
      <w:r w:rsidRPr="00B170DF">
        <w:rPr>
          <w:rFonts w:hint="eastAsia"/>
          <w:kern w:val="0"/>
          <w:szCs w:val="20"/>
        </w:rPr>
        <w:t>35</w:t>
      </w:r>
      <w:r w:rsidRPr="00B170DF">
        <w:rPr>
          <w:rFonts w:hint="eastAsia"/>
          <w:kern w:val="0"/>
          <w:szCs w:val="20"/>
        </w:rPr>
        <w:t>名（含本数）符合条件的特定对象发行股票募</w:t>
      </w:r>
      <w:r w:rsidRPr="00B170DF">
        <w:rPr>
          <w:rFonts w:hint="eastAsia"/>
          <w:kern w:val="0"/>
          <w:szCs w:val="20"/>
        </w:rPr>
        <w:lastRenderedPageBreak/>
        <w:t>集资金。投资者的认购意向及认购能力受到证券市场整体情况、公司股票价格走势、投资者对发行方案及公司自身的认可程度、市场资金面等多种内外部因素的影响。上述因素若出现不利变化，有可能会导致本次发行存在发行失败或不能足额募集所需资金的风险。</w:t>
      </w:r>
    </w:p>
    <w:bookmarkEnd w:id="68"/>
    <w:p w14:paraId="45E9ECB9" w14:textId="77777777" w:rsidR="003B5A2A" w:rsidRPr="00B170DF" w:rsidRDefault="009978F2" w:rsidP="009978F2">
      <w:pPr>
        <w:keepNext/>
        <w:keepLines/>
        <w:widowControl/>
        <w:spacing w:before="163" w:after="163"/>
        <w:ind w:firstLineChars="0" w:firstLine="482"/>
        <w:jc w:val="left"/>
        <w:outlineLvl w:val="2"/>
        <w:rPr>
          <w:rFonts w:eastAsia="黑体"/>
          <w:b/>
          <w:bCs/>
          <w:szCs w:val="28"/>
        </w:rPr>
      </w:pPr>
      <w:r w:rsidRPr="00B170DF">
        <w:rPr>
          <w:rFonts w:eastAsia="黑体" w:hint="eastAsia"/>
          <w:b/>
          <w:bCs/>
          <w:szCs w:val="28"/>
        </w:rPr>
        <w:t>（五）</w:t>
      </w:r>
      <w:r w:rsidR="003B5A2A" w:rsidRPr="00B170DF">
        <w:rPr>
          <w:rFonts w:eastAsia="黑体" w:hint="eastAsia"/>
          <w:b/>
          <w:bCs/>
          <w:szCs w:val="28"/>
        </w:rPr>
        <w:t>控股股东、实际控制人股权质押、冻结风险</w:t>
      </w:r>
    </w:p>
    <w:p w14:paraId="3A2B5A49" w14:textId="77777777" w:rsidR="003B5A2A" w:rsidRPr="00B170DF" w:rsidRDefault="00FA6405" w:rsidP="003B5A2A">
      <w:pPr>
        <w:spacing w:before="163" w:afterLines="0" w:after="160"/>
        <w:ind w:firstLine="480"/>
        <w:rPr>
          <w:kern w:val="0"/>
          <w:szCs w:val="20"/>
        </w:rPr>
      </w:pPr>
      <w:r w:rsidRPr="00B170DF">
        <w:rPr>
          <w:rFonts w:hint="eastAsia"/>
          <w:kern w:val="0"/>
          <w:szCs w:val="20"/>
        </w:rPr>
        <w:t>截至本预案公告之日，公司控股股东奥华集团及其一致行动人李国平先生、李国栋先生、叶理青女士、奥泰投资合计持有公司</w:t>
      </w:r>
      <w:r w:rsidRPr="00B170DF">
        <w:rPr>
          <w:rFonts w:hint="eastAsia"/>
          <w:kern w:val="0"/>
          <w:szCs w:val="20"/>
        </w:rPr>
        <w:t>65,131,292</w:t>
      </w:r>
      <w:r w:rsidRPr="00B170DF">
        <w:rPr>
          <w:rFonts w:hint="eastAsia"/>
          <w:kern w:val="0"/>
          <w:szCs w:val="20"/>
        </w:rPr>
        <w:t>股，合计质押及冻结</w:t>
      </w:r>
      <w:r w:rsidRPr="00B170DF">
        <w:rPr>
          <w:rFonts w:hint="eastAsia"/>
          <w:kern w:val="0"/>
          <w:szCs w:val="20"/>
        </w:rPr>
        <w:t>34,490,000</w:t>
      </w:r>
      <w:r w:rsidRPr="00B170DF">
        <w:rPr>
          <w:rFonts w:hint="eastAsia"/>
          <w:kern w:val="0"/>
          <w:szCs w:val="20"/>
        </w:rPr>
        <w:t>股，质押及冻结股份数量占其所持公司股份合计比例为</w:t>
      </w:r>
      <w:r w:rsidRPr="00B170DF">
        <w:rPr>
          <w:rFonts w:hint="eastAsia"/>
          <w:kern w:val="0"/>
          <w:szCs w:val="20"/>
        </w:rPr>
        <w:t>52.95%</w:t>
      </w:r>
      <w:r w:rsidRPr="00B170DF">
        <w:rPr>
          <w:rFonts w:hint="eastAsia"/>
          <w:kern w:val="0"/>
          <w:szCs w:val="20"/>
        </w:rPr>
        <w:t>，占公司总股本</w:t>
      </w:r>
      <w:r w:rsidRPr="00B170DF">
        <w:rPr>
          <w:rFonts w:hint="eastAsia"/>
          <w:kern w:val="0"/>
          <w:szCs w:val="20"/>
        </w:rPr>
        <w:t>21.66%</w:t>
      </w:r>
      <w:r w:rsidRPr="00B170DF">
        <w:rPr>
          <w:rFonts w:hint="eastAsia"/>
          <w:kern w:val="0"/>
          <w:szCs w:val="20"/>
        </w:rPr>
        <w:t>。如未能按期偿还借款或未到期质押股票出现平仓风险且未能及时采取补缴保证金或提前回购等有效措施，可能会对公司控制权的稳定带来不利影响。</w:t>
      </w:r>
    </w:p>
    <w:p w14:paraId="2C337DA2" w14:textId="77777777" w:rsidR="003B5A2A" w:rsidRPr="00B170DF" w:rsidRDefault="009978F2" w:rsidP="009978F2">
      <w:pPr>
        <w:keepNext/>
        <w:keepLines/>
        <w:widowControl/>
        <w:spacing w:before="163" w:after="163"/>
        <w:ind w:firstLineChars="0" w:firstLine="482"/>
        <w:jc w:val="left"/>
        <w:outlineLvl w:val="2"/>
        <w:rPr>
          <w:rFonts w:eastAsia="黑体"/>
          <w:b/>
          <w:bCs/>
          <w:szCs w:val="28"/>
        </w:rPr>
      </w:pPr>
      <w:r w:rsidRPr="00B170DF">
        <w:rPr>
          <w:rFonts w:eastAsia="黑体" w:hint="eastAsia"/>
          <w:b/>
          <w:bCs/>
          <w:szCs w:val="28"/>
        </w:rPr>
        <w:t>（六）</w:t>
      </w:r>
      <w:r w:rsidR="003B5A2A" w:rsidRPr="00B170DF">
        <w:rPr>
          <w:rFonts w:eastAsia="黑体" w:hint="eastAsia"/>
          <w:b/>
          <w:bCs/>
          <w:szCs w:val="28"/>
        </w:rPr>
        <w:t>股票价格波动风险</w:t>
      </w:r>
    </w:p>
    <w:p w14:paraId="4E6784E5" w14:textId="77777777" w:rsidR="00C10B02" w:rsidRPr="00B170DF" w:rsidRDefault="003B5A2A" w:rsidP="003B5A2A">
      <w:pPr>
        <w:spacing w:before="163" w:after="163"/>
        <w:ind w:firstLine="480"/>
      </w:pPr>
      <w:r w:rsidRPr="00B170DF">
        <w:rPr>
          <w:rFonts w:hint="eastAsia"/>
        </w:rPr>
        <w:t>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将对公司的生产经营、财务状况等基本面情况形成影响，可能会导致公司股票市场价格的波动，从而对投资者造成影响。此外，公司股票价格还将受到国家宏观政策、国际和国内宏观经济形势、资本市场走势、市场心理预期、股票供求关系以及各类重大突发事件等多种因素的影响，存在一定的波动风险。投资者在考虑投资公司股票时，应预计到前述各类因素可能带来的投资风险，并做出审慎判断。</w:t>
      </w:r>
    </w:p>
    <w:p w14:paraId="7462253F" w14:textId="77777777" w:rsidR="003B5A2A" w:rsidRPr="00B170DF" w:rsidRDefault="00C10B02" w:rsidP="00C10B02">
      <w:pPr>
        <w:pStyle w:val="001"/>
        <w:spacing w:before="163" w:after="163"/>
      </w:pPr>
      <w:bookmarkStart w:id="76" w:name="_Toc194169731"/>
      <w:r w:rsidRPr="00B170DF">
        <w:rPr>
          <w:color w:val="000000"/>
        </w:rPr>
        <w:lastRenderedPageBreak/>
        <w:t>第四节</w:t>
      </w:r>
      <w:r w:rsidRPr="00B170DF">
        <w:rPr>
          <w:color w:val="000000"/>
        </w:rPr>
        <w:t xml:space="preserve"> </w:t>
      </w:r>
      <w:r w:rsidRPr="00B170DF">
        <w:rPr>
          <w:color w:val="000000"/>
        </w:rPr>
        <w:t>利润分配政策及执行情况</w:t>
      </w:r>
      <w:bookmarkEnd w:id="76"/>
    </w:p>
    <w:p w14:paraId="743BDCD7" w14:textId="77777777" w:rsidR="002A04DA" w:rsidRPr="00B170DF" w:rsidRDefault="00C10B02" w:rsidP="00C10B02">
      <w:pPr>
        <w:keepNext/>
        <w:keepLines/>
        <w:widowControl/>
        <w:spacing w:before="163" w:after="163"/>
        <w:ind w:firstLineChars="0" w:firstLine="0"/>
        <w:outlineLvl w:val="1"/>
        <w:rPr>
          <w:rFonts w:eastAsia="黑体"/>
          <w:b/>
          <w:bCs/>
          <w:color w:val="000000"/>
          <w:sz w:val="28"/>
          <w:szCs w:val="28"/>
        </w:rPr>
      </w:pPr>
      <w:bookmarkStart w:id="77" w:name="_Toc194169732"/>
      <w:r w:rsidRPr="00B170DF">
        <w:rPr>
          <w:rFonts w:eastAsia="黑体" w:hint="eastAsia"/>
          <w:b/>
          <w:bCs/>
          <w:color w:val="000000"/>
          <w:sz w:val="28"/>
          <w:szCs w:val="28"/>
        </w:rPr>
        <w:t>一、公司利润分配政策和现金分红政策</w:t>
      </w:r>
      <w:bookmarkEnd w:id="77"/>
    </w:p>
    <w:p w14:paraId="37942728" w14:textId="77777777" w:rsidR="00C10B02" w:rsidRPr="00B170DF" w:rsidRDefault="00C10B02" w:rsidP="00C10B02">
      <w:pPr>
        <w:spacing w:before="163" w:afterLines="0" w:after="0"/>
        <w:ind w:firstLine="480"/>
        <w:rPr>
          <w:kern w:val="0"/>
          <w:szCs w:val="24"/>
        </w:rPr>
      </w:pPr>
      <w:r w:rsidRPr="00B170DF">
        <w:rPr>
          <w:rFonts w:hint="eastAsia"/>
          <w:kern w:val="0"/>
          <w:szCs w:val="24"/>
        </w:rPr>
        <w:t>根据中国证监会颁布的《关于进一步落实上市公司现金分红有关事项的通知》（证监发</w:t>
      </w:r>
      <w:r w:rsidRPr="00B170DF">
        <w:rPr>
          <w:rFonts w:hint="eastAsia"/>
          <w:kern w:val="0"/>
          <w:szCs w:val="24"/>
        </w:rPr>
        <w:t>[2012]37</w:t>
      </w:r>
      <w:r w:rsidRPr="00B170DF">
        <w:rPr>
          <w:rFonts w:hint="eastAsia"/>
          <w:kern w:val="0"/>
          <w:szCs w:val="24"/>
        </w:rPr>
        <w:t>号）《上市公司监管指引第</w:t>
      </w:r>
      <w:r w:rsidRPr="00B170DF">
        <w:rPr>
          <w:rFonts w:hint="eastAsia"/>
          <w:kern w:val="0"/>
          <w:szCs w:val="24"/>
        </w:rPr>
        <w:t>3</w:t>
      </w:r>
      <w:r w:rsidRPr="00B170DF">
        <w:rPr>
          <w:rFonts w:hint="eastAsia"/>
          <w:kern w:val="0"/>
          <w:szCs w:val="24"/>
        </w:rPr>
        <w:t>号—上市公司现金分红（</w:t>
      </w:r>
      <w:r w:rsidRPr="00B170DF">
        <w:rPr>
          <w:rFonts w:hint="eastAsia"/>
          <w:kern w:val="0"/>
          <w:szCs w:val="24"/>
        </w:rPr>
        <w:t>2023</w:t>
      </w:r>
      <w:r w:rsidRPr="00B170DF">
        <w:rPr>
          <w:rFonts w:hint="eastAsia"/>
          <w:kern w:val="0"/>
          <w:szCs w:val="24"/>
        </w:rPr>
        <w:t>年修订）》（中国证券监督管理委员会公告</w:t>
      </w:r>
      <w:r w:rsidRPr="00B170DF">
        <w:rPr>
          <w:rFonts w:hint="eastAsia"/>
          <w:kern w:val="0"/>
          <w:szCs w:val="24"/>
        </w:rPr>
        <w:t>[2023]61</w:t>
      </w:r>
      <w:r w:rsidRPr="00B170DF">
        <w:rPr>
          <w:rFonts w:hint="eastAsia"/>
          <w:kern w:val="0"/>
          <w:szCs w:val="24"/>
        </w:rPr>
        <w:t>号）和《关于修改＜上市公司章程指引＞的决定》（中国证券监督管理委员会公告</w:t>
      </w:r>
      <w:r w:rsidRPr="00B170DF">
        <w:rPr>
          <w:rFonts w:hint="eastAsia"/>
          <w:kern w:val="0"/>
          <w:szCs w:val="24"/>
        </w:rPr>
        <w:t>[2023]62</w:t>
      </w:r>
      <w:r w:rsidRPr="00B170DF">
        <w:rPr>
          <w:rFonts w:hint="eastAsia"/>
          <w:kern w:val="0"/>
          <w:szCs w:val="24"/>
        </w:rPr>
        <w:t>号）的有关规定，公司现行有效的《公司章程》对利润分配政策规定如下：</w:t>
      </w:r>
    </w:p>
    <w:p w14:paraId="49AEF788" w14:textId="77777777" w:rsidR="00C10B02" w:rsidRPr="00B170DF" w:rsidRDefault="00C10B02" w:rsidP="00C10B02">
      <w:pPr>
        <w:spacing w:before="163" w:afterLines="0" w:after="0"/>
        <w:ind w:firstLine="480"/>
        <w:rPr>
          <w:kern w:val="0"/>
          <w:szCs w:val="24"/>
        </w:rPr>
      </w:pPr>
      <w:r w:rsidRPr="00B170DF">
        <w:rPr>
          <w:rFonts w:hint="eastAsia"/>
          <w:kern w:val="0"/>
          <w:szCs w:val="24"/>
        </w:rPr>
        <w:t>“</w:t>
      </w:r>
      <w:r w:rsidRPr="00B170DF">
        <w:rPr>
          <w:rFonts w:hint="eastAsia"/>
          <w:b/>
          <w:bCs/>
          <w:kern w:val="0"/>
          <w:szCs w:val="24"/>
        </w:rPr>
        <w:t>第一百七十一条</w:t>
      </w:r>
      <w:r w:rsidRPr="00B170DF">
        <w:rPr>
          <w:rFonts w:hint="eastAsia"/>
          <w:kern w:val="0"/>
          <w:szCs w:val="24"/>
        </w:rPr>
        <w:t xml:space="preserve">  </w:t>
      </w:r>
      <w:r w:rsidRPr="00B170DF">
        <w:rPr>
          <w:rFonts w:hint="eastAsia"/>
          <w:kern w:val="0"/>
          <w:szCs w:val="24"/>
        </w:rPr>
        <w:t>公司分配当年税后利润时，应当提取利润的</w:t>
      </w:r>
      <w:r w:rsidRPr="00B170DF">
        <w:rPr>
          <w:rFonts w:hint="eastAsia"/>
          <w:kern w:val="0"/>
          <w:szCs w:val="24"/>
        </w:rPr>
        <w:t>10%</w:t>
      </w:r>
      <w:r w:rsidRPr="00B170DF">
        <w:rPr>
          <w:rFonts w:hint="eastAsia"/>
          <w:kern w:val="0"/>
          <w:szCs w:val="24"/>
        </w:rPr>
        <w:t>列入公司法定公积金。公司法定公积金累计额为公司注册资本的</w:t>
      </w:r>
      <w:r w:rsidRPr="00B170DF">
        <w:rPr>
          <w:rFonts w:hint="eastAsia"/>
          <w:kern w:val="0"/>
          <w:szCs w:val="24"/>
        </w:rPr>
        <w:t>50%</w:t>
      </w:r>
      <w:r w:rsidRPr="00B170DF">
        <w:rPr>
          <w:rFonts w:hint="eastAsia"/>
          <w:kern w:val="0"/>
          <w:szCs w:val="24"/>
        </w:rPr>
        <w:t>以上的，可以不再提取。</w:t>
      </w:r>
    </w:p>
    <w:p w14:paraId="585AF99E" w14:textId="77777777" w:rsidR="00C10B02" w:rsidRPr="00B170DF" w:rsidRDefault="00C10B02" w:rsidP="00C10B02">
      <w:pPr>
        <w:spacing w:before="163" w:afterLines="0" w:after="0"/>
        <w:ind w:firstLine="480"/>
        <w:rPr>
          <w:kern w:val="0"/>
          <w:szCs w:val="24"/>
        </w:rPr>
      </w:pPr>
      <w:r w:rsidRPr="00B170DF">
        <w:rPr>
          <w:rFonts w:hint="eastAsia"/>
          <w:kern w:val="0"/>
          <w:szCs w:val="24"/>
        </w:rPr>
        <w:t>公司的法定公积金不足以弥补以前年度亏损的，在依照前款规定提取法定公积金之前，应当先用当年利润弥补亏损。</w:t>
      </w:r>
    </w:p>
    <w:p w14:paraId="3526FABD" w14:textId="77777777" w:rsidR="00C10B02" w:rsidRPr="00B170DF" w:rsidRDefault="00C10B02" w:rsidP="00C10B02">
      <w:pPr>
        <w:spacing w:before="163" w:afterLines="0" w:after="0"/>
        <w:ind w:firstLine="480"/>
        <w:rPr>
          <w:kern w:val="0"/>
          <w:szCs w:val="24"/>
        </w:rPr>
      </w:pPr>
      <w:r w:rsidRPr="00B170DF">
        <w:rPr>
          <w:rFonts w:hint="eastAsia"/>
          <w:kern w:val="0"/>
          <w:szCs w:val="24"/>
        </w:rPr>
        <w:t>公司从税后利润中提取法定公积金后，经股东大会决议，还可以从税后利润中提取任意公积金。</w:t>
      </w:r>
    </w:p>
    <w:p w14:paraId="336E046B" w14:textId="77777777" w:rsidR="00C10B02" w:rsidRPr="00B170DF" w:rsidRDefault="00C10B02" w:rsidP="00C10B02">
      <w:pPr>
        <w:spacing w:before="163" w:afterLines="0" w:after="0"/>
        <w:ind w:firstLine="480"/>
        <w:rPr>
          <w:kern w:val="0"/>
          <w:szCs w:val="24"/>
        </w:rPr>
      </w:pPr>
      <w:r w:rsidRPr="00B170DF">
        <w:rPr>
          <w:rFonts w:hint="eastAsia"/>
          <w:kern w:val="0"/>
          <w:szCs w:val="24"/>
        </w:rPr>
        <w:t>公司弥补亏损和提取公积金后所余税后利润，按照股东持有的股份比例分配，但本章程规定不按持股比例分配的除外。</w:t>
      </w:r>
    </w:p>
    <w:p w14:paraId="1EAC5BF5" w14:textId="77777777" w:rsidR="00C10B02" w:rsidRPr="00B170DF" w:rsidRDefault="00C10B02" w:rsidP="00C10B02">
      <w:pPr>
        <w:spacing w:before="163" w:afterLines="0" w:after="0"/>
        <w:ind w:firstLine="480"/>
        <w:rPr>
          <w:kern w:val="0"/>
          <w:szCs w:val="24"/>
        </w:rPr>
      </w:pPr>
      <w:r w:rsidRPr="00B170DF">
        <w:rPr>
          <w:rFonts w:hint="eastAsia"/>
          <w:kern w:val="0"/>
          <w:szCs w:val="24"/>
        </w:rPr>
        <w:t>股东大会违反前款规定，在公司弥补亏损和提取法定公积金之前向股东分配利润的，股东必须将违反规定分配的利润退还公司。</w:t>
      </w:r>
    </w:p>
    <w:p w14:paraId="55508CBC" w14:textId="77777777" w:rsidR="00C10B02" w:rsidRPr="00B170DF" w:rsidRDefault="00C10B02" w:rsidP="00C10B02">
      <w:pPr>
        <w:spacing w:before="163" w:afterLines="0" w:after="0"/>
        <w:ind w:firstLine="480"/>
        <w:rPr>
          <w:kern w:val="0"/>
          <w:szCs w:val="24"/>
        </w:rPr>
      </w:pPr>
      <w:r w:rsidRPr="00B170DF">
        <w:rPr>
          <w:rFonts w:hint="eastAsia"/>
          <w:kern w:val="0"/>
          <w:szCs w:val="24"/>
        </w:rPr>
        <w:t>公司持有的本公司股份不参与分配利润。</w:t>
      </w:r>
    </w:p>
    <w:p w14:paraId="0E33F41F" w14:textId="77777777" w:rsidR="00C10B02" w:rsidRPr="00B170DF" w:rsidRDefault="00C10B02" w:rsidP="00C10B02">
      <w:pPr>
        <w:spacing w:before="163" w:afterLines="0" w:after="0"/>
        <w:ind w:firstLine="482"/>
        <w:rPr>
          <w:kern w:val="0"/>
          <w:szCs w:val="24"/>
        </w:rPr>
      </w:pPr>
      <w:r w:rsidRPr="00B170DF">
        <w:rPr>
          <w:rFonts w:hint="eastAsia"/>
          <w:b/>
          <w:bCs/>
          <w:kern w:val="0"/>
          <w:szCs w:val="24"/>
        </w:rPr>
        <w:t>第一百七十二条</w:t>
      </w:r>
      <w:r w:rsidRPr="00B170DF">
        <w:rPr>
          <w:rFonts w:hint="eastAsia"/>
          <w:kern w:val="0"/>
          <w:szCs w:val="24"/>
        </w:rPr>
        <w:t xml:space="preserve">  </w:t>
      </w:r>
      <w:r w:rsidRPr="00B170DF">
        <w:rPr>
          <w:rFonts w:hint="eastAsia"/>
          <w:kern w:val="0"/>
          <w:szCs w:val="24"/>
        </w:rPr>
        <w:t>公司实行连续、稳定的利润分配政策，公司利润分配应重视对投资者的合理投资回报并兼顾公司的可持续发展。</w:t>
      </w:r>
    </w:p>
    <w:p w14:paraId="7A290B58" w14:textId="77777777" w:rsidR="00C10B02" w:rsidRPr="00B170DF" w:rsidRDefault="00C10B02" w:rsidP="00C10B02">
      <w:pPr>
        <w:spacing w:before="163" w:afterLines="0" w:after="0"/>
        <w:ind w:firstLine="480"/>
        <w:rPr>
          <w:kern w:val="0"/>
          <w:szCs w:val="24"/>
        </w:rPr>
      </w:pPr>
      <w:r w:rsidRPr="00B170DF">
        <w:rPr>
          <w:rFonts w:hint="eastAsia"/>
          <w:kern w:val="0"/>
          <w:szCs w:val="24"/>
        </w:rPr>
        <w:t>公司将严格执行公司章程确定的现金分红政策以及股东大会审议批准的现金分红具体方案。如因外部经营环境或者自身经营状况发生较大变化而需要调整利润分配政策尤其现金分红政策的，应以保护股东权益为出发点，在股东大会提</w:t>
      </w:r>
      <w:r w:rsidRPr="00B170DF">
        <w:rPr>
          <w:rFonts w:hint="eastAsia"/>
          <w:kern w:val="0"/>
          <w:szCs w:val="24"/>
        </w:rPr>
        <w:lastRenderedPageBreak/>
        <w:t>案中详细论证和说明原因；调整后的利润分配政策不得违反中国证监会和证券交易所的有关规定；有关调整利润分配政策的议案，须经董事会、监事会审议通过后提交股东大会批准，独立董事应当对该议案发表独立意见，股东大会审议该议案时应当经出席股东大会的股东所持表决权的</w:t>
      </w:r>
      <w:r w:rsidRPr="00B170DF">
        <w:rPr>
          <w:rFonts w:hint="eastAsia"/>
          <w:kern w:val="0"/>
          <w:szCs w:val="24"/>
        </w:rPr>
        <w:t>2/3</w:t>
      </w:r>
      <w:r w:rsidRPr="00B170DF">
        <w:rPr>
          <w:rFonts w:hint="eastAsia"/>
          <w:kern w:val="0"/>
          <w:szCs w:val="24"/>
        </w:rPr>
        <w:t>以上通过。股东大会进行审议时，应当通过多种渠道主动与股东特别是中小股东进行沟通和交流，充分听取中小股东的意见和诉求，并及时答复中小股东关心的问题。</w:t>
      </w:r>
    </w:p>
    <w:p w14:paraId="13A5371E" w14:textId="77777777" w:rsidR="00C10B02" w:rsidRPr="00B170DF" w:rsidRDefault="00C10B02" w:rsidP="00C10B02">
      <w:pPr>
        <w:spacing w:before="163" w:afterLines="0" w:after="0"/>
        <w:ind w:firstLine="482"/>
        <w:rPr>
          <w:kern w:val="0"/>
          <w:szCs w:val="24"/>
        </w:rPr>
      </w:pPr>
      <w:r w:rsidRPr="00B170DF">
        <w:rPr>
          <w:rFonts w:hint="eastAsia"/>
          <w:b/>
          <w:bCs/>
          <w:kern w:val="0"/>
          <w:szCs w:val="24"/>
        </w:rPr>
        <w:t>第一百七十三条</w:t>
      </w:r>
      <w:r w:rsidRPr="00B170DF">
        <w:rPr>
          <w:rFonts w:hint="eastAsia"/>
          <w:kern w:val="0"/>
          <w:szCs w:val="24"/>
        </w:rPr>
        <w:t xml:space="preserve">  </w:t>
      </w:r>
      <w:r w:rsidRPr="00B170DF">
        <w:rPr>
          <w:rFonts w:hint="eastAsia"/>
          <w:kern w:val="0"/>
          <w:szCs w:val="24"/>
        </w:rPr>
        <w:t>公司的公积金用于弥补公司的亏损、扩大公司生产经营或者转为增加公司资本。但是，资本公积金将不用于弥补公司的亏损。</w:t>
      </w:r>
    </w:p>
    <w:p w14:paraId="44402F06" w14:textId="77777777" w:rsidR="00C10B02" w:rsidRPr="00B170DF" w:rsidRDefault="00C10B02" w:rsidP="00C10B02">
      <w:pPr>
        <w:spacing w:before="163" w:afterLines="0" w:after="0"/>
        <w:ind w:firstLine="480"/>
        <w:rPr>
          <w:kern w:val="0"/>
          <w:szCs w:val="24"/>
        </w:rPr>
      </w:pPr>
      <w:r w:rsidRPr="00B170DF">
        <w:rPr>
          <w:rFonts w:hint="eastAsia"/>
          <w:kern w:val="0"/>
          <w:szCs w:val="24"/>
        </w:rPr>
        <w:t>法定公积金转为资本时，所留存的该项公积金将不少于转增前公司注册资本的</w:t>
      </w:r>
      <w:r w:rsidRPr="00B170DF">
        <w:rPr>
          <w:rFonts w:hint="eastAsia"/>
          <w:kern w:val="0"/>
          <w:szCs w:val="24"/>
        </w:rPr>
        <w:t>25%</w:t>
      </w:r>
      <w:r w:rsidRPr="00B170DF">
        <w:rPr>
          <w:rFonts w:hint="eastAsia"/>
          <w:kern w:val="0"/>
          <w:szCs w:val="24"/>
        </w:rPr>
        <w:t>。</w:t>
      </w:r>
    </w:p>
    <w:p w14:paraId="6D58CAB3" w14:textId="77777777" w:rsidR="00C10B02" w:rsidRPr="00B170DF" w:rsidRDefault="00C10B02" w:rsidP="00C10B02">
      <w:pPr>
        <w:spacing w:before="163" w:afterLines="0" w:after="0"/>
        <w:ind w:firstLine="482"/>
        <w:rPr>
          <w:kern w:val="0"/>
          <w:szCs w:val="24"/>
        </w:rPr>
      </w:pPr>
      <w:r w:rsidRPr="00B170DF">
        <w:rPr>
          <w:rFonts w:hint="eastAsia"/>
          <w:b/>
          <w:bCs/>
          <w:kern w:val="0"/>
          <w:szCs w:val="24"/>
        </w:rPr>
        <w:t>第一百七十四条</w:t>
      </w:r>
      <w:r w:rsidRPr="00B170DF">
        <w:rPr>
          <w:rFonts w:hint="eastAsia"/>
          <w:kern w:val="0"/>
          <w:szCs w:val="24"/>
        </w:rPr>
        <w:t xml:space="preserve">  </w:t>
      </w:r>
      <w:r w:rsidRPr="00B170DF">
        <w:rPr>
          <w:rFonts w:hint="eastAsia"/>
          <w:kern w:val="0"/>
          <w:szCs w:val="24"/>
        </w:rPr>
        <w:t>公司股东大会对利润分配方案</w:t>
      </w:r>
      <w:proofErr w:type="gramStart"/>
      <w:r w:rsidRPr="00B170DF">
        <w:rPr>
          <w:rFonts w:hint="eastAsia"/>
          <w:kern w:val="0"/>
          <w:szCs w:val="24"/>
        </w:rPr>
        <w:t>作出</w:t>
      </w:r>
      <w:proofErr w:type="gramEnd"/>
      <w:r w:rsidRPr="00B170DF">
        <w:rPr>
          <w:rFonts w:hint="eastAsia"/>
          <w:kern w:val="0"/>
          <w:szCs w:val="24"/>
        </w:rPr>
        <w:t>决议后，或公司董事会根据年度股东大会审议通过的下一年中期分红条件和上限制定具体方案后，须在</w:t>
      </w:r>
      <w:r w:rsidRPr="00B170DF">
        <w:rPr>
          <w:rFonts w:hint="eastAsia"/>
          <w:kern w:val="0"/>
          <w:szCs w:val="24"/>
        </w:rPr>
        <w:t>2</w:t>
      </w:r>
      <w:r w:rsidRPr="00B170DF">
        <w:rPr>
          <w:rFonts w:hint="eastAsia"/>
          <w:kern w:val="0"/>
          <w:szCs w:val="24"/>
        </w:rPr>
        <w:t>个月内完成股利（或股份）的派发事项。</w:t>
      </w:r>
    </w:p>
    <w:p w14:paraId="026526D9" w14:textId="77777777" w:rsidR="00C10B02" w:rsidRPr="00B170DF" w:rsidRDefault="00C10B02" w:rsidP="00C10B02">
      <w:pPr>
        <w:spacing w:before="163" w:afterLines="0" w:after="0"/>
        <w:ind w:firstLine="482"/>
        <w:rPr>
          <w:kern w:val="0"/>
          <w:szCs w:val="24"/>
        </w:rPr>
      </w:pPr>
      <w:r w:rsidRPr="00B170DF">
        <w:rPr>
          <w:rFonts w:hint="eastAsia"/>
          <w:b/>
          <w:bCs/>
          <w:kern w:val="0"/>
          <w:szCs w:val="24"/>
        </w:rPr>
        <w:t>第一百七十五条</w:t>
      </w:r>
      <w:r w:rsidRPr="00B170DF">
        <w:rPr>
          <w:rFonts w:hint="eastAsia"/>
          <w:kern w:val="0"/>
          <w:szCs w:val="24"/>
        </w:rPr>
        <w:t xml:space="preserve">  </w:t>
      </w:r>
      <w:r w:rsidRPr="00B170DF">
        <w:rPr>
          <w:rFonts w:hint="eastAsia"/>
          <w:kern w:val="0"/>
          <w:szCs w:val="24"/>
        </w:rPr>
        <w:t>公司按照股东持有的股份比例分配利润；可以采取现金、股票或二者结合的方式分配股利，但优先考虑现金分红。公司中期可以进行分红。公司召开年度股东大会审议年度利润分配方案时，</w:t>
      </w:r>
      <w:proofErr w:type="gramStart"/>
      <w:r w:rsidRPr="00B170DF">
        <w:rPr>
          <w:rFonts w:hint="eastAsia"/>
          <w:kern w:val="0"/>
          <w:szCs w:val="24"/>
        </w:rPr>
        <w:t>可审议</w:t>
      </w:r>
      <w:proofErr w:type="gramEnd"/>
      <w:r w:rsidRPr="00B170DF">
        <w:rPr>
          <w:rFonts w:hint="eastAsia"/>
          <w:kern w:val="0"/>
          <w:szCs w:val="24"/>
        </w:rPr>
        <w:t>批准下一年中期现金分红的条件、比例上限、金额上限等。年度股东大会审议的下一年中期分红上限不应超过相应期间归属于公司股东的净利润。董事会根据股东大会决议在符合利润分配的条件下制定具体的中期分红方案。</w:t>
      </w:r>
    </w:p>
    <w:p w14:paraId="7D900302" w14:textId="77777777" w:rsidR="00C10B02" w:rsidRPr="00B170DF" w:rsidRDefault="00C10B02" w:rsidP="00C10B02">
      <w:pPr>
        <w:spacing w:before="163" w:afterLines="0" w:after="0"/>
        <w:ind w:firstLine="480"/>
        <w:rPr>
          <w:kern w:val="0"/>
          <w:szCs w:val="24"/>
        </w:rPr>
      </w:pPr>
      <w:r w:rsidRPr="00B170DF">
        <w:rPr>
          <w:rFonts w:hint="eastAsia"/>
          <w:kern w:val="0"/>
          <w:szCs w:val="24"/>
        </w:rPr>
        <w:t>公司主要采取现金分红的股利分配政策，即公司当年度实现盈利，在依法提取法定公积金、任意公积金后进行现金分红；若公司收入增长快速，并且董事会认为公司股票价格与公司股本规模不匹配时，可以在满足上述现金股利分配之余，提出并实施股票股利分配预案。</w:t>
      </w:r>
    </w:p>
    <w:p w14:paraId="18D05C11" w14:textId="77777777" w:rsidR="00C10B02" w:rsidRPr="00B170DF" w:rsidRDefault="00C10B02" w:rsidP="00C10B02">
      <w:pPr>
        <w:spacing w:before="163" w:afterLines="0" w:after="0"/>
        <w:ind w:firstLine="480"/>
        <w:rPr>
          <w:kern w:val="0"/>
          <w:szCs w:val="24"/>
        </w:rPr>
      </w:pPr>
      <w:r w:rsidRPr="00B170DF">
        <w:rPr>
          <w:rFonts w:hint="eastAsia"/>
          <w:kern w:val="0"/>
          <w:szCs w:val="24"/>
        </w:rPr>
        <w:t>公司可以采取现金或股票等方式分配利润，利润分配不得超过累计可分配利润的范围，不得损害公司的可持续发展能力。公司利润分配预案由董事会提出，但需事先征求独立董事和监事会的意见，独立董事应对利润分配预案发表独立意</w:t>
      </w:r>
      <w:r w:rsidRPr="00B170DF">
        <w:rPr>
          <w:rFonts w:hint="eastAsia"/>
          <w:kern w:val="0"/>
          <w:szCs w:val="24"/>
        </w:rPr>
        <w:lastRenderedPageBreak/>
        <w:t>见，监事会应对利润分配预案提出审核意见。利润分配预案经二分之一以上独立董事及监事会审核同意，并经董事会审议通过后提请股东大会审议。公司董事会、监事会和股东大会对利润分配政策的决策和论证过程中应当充分考虑独立董事、外部监事和公众投资者的意见。</w:t>
      </w:r>
    </w:p>
    <w:p w14:paraId="0C68B7CB" w14:textId="77777777" w:rsidR="00C10B02" w:rsidRPr="00B170DF" w:rsidRDefault="00C10B02" w:rsidP="00C10B02">
      <w:pPr>
        <w:spacing w:before="163" w:afterLines="0" w:after="0"/>
        <w:ind w:firstLine="480"/>
        <w:rPr>
          <w:kern w:val="0"/>
          <w:szCs w:val="24"/>
        </w:rPr>
      </w:pPr>
      <w:r w:rsidRPr="00B170DF">
        <w:rPr>
          <w:rFonts w:hint="eastAsia"/>
          <w:kern w:val="0"/>
          <w:szCs w:val="24"/>
        </w:rPr>
        <w:t>独立董事认为现金分红具体方案可能损害公司或者中小股东权益的，有权发表独立意见。董事会对独立董事的意见未采纳或者未完全采纳的，应当在董事会决议中记载独立董事的意见及未采纳的具体理由，并披露。</w:t>
      </w:r>
    </w:p>
    <w:p w14:paraId="285FA264" w14:textId="77777777" w:rsidR="00C10B02" w:rsidRPr="00B170DF" w:rsidRDefault="00C10B02" w:rsidP="00C10B02">
      <w:pPr>
        <w:spacing w:before="163" w:afterLines="0" w:after="0"/>
        <w:ind w:firstLine="480"/>
        <w:rPr>
          <w:kern w:val="0"/>
          <w:szCs w:val="24"/>
        </w:rPr>
      </w:pPr>
      <w:r w:rsidRPr="00B170DF">
        <w:rPr>
          <w:rFonts w:hint="eastAsia"/>
          <w:kern w:val="0"/>
          <w:szCs w:val="24"/>
        </w:rPr>
        <w:t>在公司当年盈利且满足公司正常生产经营资金需求的情况下，公司应当采取现金方式分配股利。公司单一年度以现金方式分配的利润不少于当年度实现的可分配利润的</w:t>
      </w:r>
      <w:r w:rsidRPr="00B170DF">
        <w:rPr>
          <w:rFonts w:hint="eastAsia"/>
          <w:kern w:val="0"/>
          <w:szCs w:val="24"/>
        </w:rPr>
        <w:t>10%</w:t>
      </w:r>
      <w:r w:rsidRPr="00B170DF">
        <w:rPr>
          <w:rFonts w:hint="eastAsia"/>
          <w:kern w:val="0"/>
          <w:szCs w:val="24"/>
        </w:rPr>
        <w:t>。</w:t>
      </w:r>
    </w:p>
    <w:p w14:paraId="77E5A047" w14:textId="77777777" w:rsidR="00C10B02" w:rsidRPr="00B170DF" w:rsidRDefault="00C10B02" w:rsidP="00C10B02">
      <w:pPr>
        <w:spacing w:before="163" w:afterLines="0" w:after="0"/>
        <w:ind w:firstLine="480"/>
        <w:rPr>
          <w:kern w:val="0"/>
          <w:szCs w:val="24"/>
        </w:rPr>
      </w:pPr>
      <w:r w:rsidRPr="00B170DF">
        <w:rPr>
          <w:rFonts w:hint="eastAsia"/>
          <w:kern w:val="0"/>
          <w:szCs w:val="24"/>
        </w:rPr>
        <w:t>公司董事会应综合考虑所处行业特点、发展阶段、自身经营模式、债务水平及偿债能力、盈利水平以及是否有重大资金支出安排和投资者回报等因素，区分下列情形，并按照上述程序，提出差异化的现金分红政策：</w:t>
      </w:r>
    </w:p>
    <w:p w14:paraId="3F42CEB6" w14:textId="77777777" w:rsidR="00C10B02" w:rsidRPr="00B170DF" w:rsidRDefault="00C10B02" w:rsidP="00C10B02">
      <w:pPr>
        <w:spacing w:before="163" w:afterLines="0" w:after="0"/>
        <w:ind w:firstLine="480"/>
        <w:rPr>
          <w:kern w:val="0"/>
          <w:szCs w:val="24"/>
        </w:rPr>
      </w:pPr>
      <w:r w:rsidRPr="00B170DF">
        <w:rPr>
          <w:rFonts w:hint="eastAsia"/>
          <w:kern w:val="0"/>
          <w:szCs w:val="24"/>
        </w:rPr>
        <w:t>（一）公司发展阶段属成熟期且无重大资金支出安排的，进行利润分配时，现金分红在本次利润分配中所占比例最低应达到</w:t>
      </w:r>
      <w:r w:rsidRPr="00B170DF">
        <w:rPr>
          <w:rFonts w:hint="eastAsia"/>
          <w:kern w:val="0"/>
          <w:szCs w:val="24"/>
        </w:rPr>
        <w:t>80%</w:t>
      </w:r>
      <w:r w:rsidRPr="00B170DF">
        <w:rPr>
          <w:rFonts w:hint="eastAsia"/>
          <w:kern w:val="0"/>
          <w:szCs w:val="24"/>
        </w:rPr>
        <w:t>；</w:t>
      </w:r>
    </w:p>
    <w:p w14:paraId="0100ECF8" w14:textId="77777777" w:rsidR="00C10B02" w:rsidRPr="00B170DF" w:rsidRDefault="00C10B02" w:rsidP="00C10B02">
      <w:pPr>
        <w:spacing w:before="163" w:afterLines="0" w:after="0"/>
        <w:ind w:firstLine="480"/>
        <w:rPr>
          <w:kern w:val="0"/>
          <w:szCs w:val="24"/>
        </w:rPr>
      </w:pPr>
      <w:r w:rsidRPr="00B170DF">
        <w:rPr>
          <w:rFonts w:hint="eastAsia"/>
          <w:kern w:val="0"/>
          <w:szCs w:val="24"/>
        </w:rPr>
        <w:t>（二）公司发展阶段属成熟期且有重大资金支出安排的，进行利润分配时，现金分红在本次利润分配中所占比例最低应达到</w:t>
      </w:r>
      <w:r w:rsidRPr="00B170DF">
        <w:rPr>
          <w:rFonts w:hint="eastAsia"/>
          <w:kern w:val="0"/>
          <w:szCs w:val="24"/>
        </w:rPr>
        <w:t>40%</w:t>
      </w:r>
      <w:r w:rsidRPr="00B170DF">
        <w:rPr>
          <w:rFonts w:hint="eastAsia"/>
          <w:kern w:val="0"/>
          <w:szCs w:val="24"/>
        </w:rPr>
        <w:t>；</w:t>
      </w:r>
    </w:p>
    <w:p w14:paraId="1B8F9933" w14:textId="77777777" w:rsidR="00C10B02" w:rsidRPr="00B170DF" w:rsidRDefault="00C10B02" w:rsidP="00C10B02">
      <w:pPr>
        <w:spacing w:before="163" w:afterLines="0" w:after="0"/>
        <w:ind w:firstLine="480"/>
        <w:rPr>
          <w:kern w:val="0"/>
          <w:szCs w:val="24"/>
        </w:rPr>
      </w:pPr>
      <w:r w:rsidRPr="00B170DF">
        <w:rPr>
          <w:rFonts w:hint="eastAsia"/>
          <w:kern w:val="0"/>
          <w:szCs w:val="24"/>
        </w:rPr>
        <w:t>（三）公司发展阶段属成长期且有重大资金支出安排的，进行利润分配时，现金分红在本次利润分配中所占比例最低应达到</w:t>
      </w:r>
      <w:r w:rsidRPr="00B170DF">
        <w:rPr>
          <w:rFonts w:hint="eastAsia"/>
          <w:kern w:val="0"/>
          <w:szCs w:val="24"/>
        </w:rPr>
        <w:t>20%</w:t>
      </w:r>
      <w:r w:rsidRPr="00B170DF">
        <w:rPr>
          <w:rFonts w:hint="eastAsia"/>
          <w:kern w:val="0"/>
          <w:szCs w:val="24"/>
        </w:rPr>
        <w:t>；</w:t>
      </w:r>
    </w:p>
    <w:p w14:paraId="6EF4E85B" w14:textId="77777777" w:rsidR="00C10B02" w:rsidRPr="00B170DF" w:rsidRDefault="00C10B02" w:rsidP="00C10B02">
      <w:pPr>
        <w:spacing w:before="163" w:afterLines="0" w:after="0"/>
        <w:ind w:firstLine="480"/>
        <w:rPr>
          <w:kern w:val="0"/>
          <w:szCs w:val="24"/>
        </w:rPr>
      </w:pPr>
      <w:r w:rsidRPr="00B170DF">
        <w:rPr>
          <w:rFonts w:hint="eastAsia"/>
          <w:kern w:val="0"/>
          <w:szCs w:val="24"/>
        </w:rPr>
        <w:t>公司发展阶段不易区分但有重大资金支出安排的，可以按照前项规定处理。</w:t>
      </w:r>
      <w:r w:rsidRPr="00B170DF">
        <w:rPr>
          <w:rFonts w:hint="eastAsia"/>
          <w:kern w:val="0"/>
          <w:szCs w:val="24"/>
        </w:rPr>
        <w:t xml:space="preserve"> </w:t>
      </w:r>
    </w:p>
    <w:p w14:paraId="4482E48E" w14:textId="77777777" w:rsidR="00C10B02" w:rsidRPr="00B170DF" w:rsidRDefault="00C10B02" w:rsidP="00C10B02">
      <w:pPr>
        <w:spacing w:before="163" w:afterLines="0" w:after="0"/>
        <w:ind w:firstLine="480"/>
        <w:rPr>
          <w:kern w:val="0"/>
          <w:szCs w:val="24"/>
        </w:rPr>
      </w:pPr>
      <w:r w:rsidRPr="00B170DF">
        <w:rPr>
          <w:rFonts w:hint="eastAsia"/>
          <w:kern w:val="0"/>
          <w:szCs w:val="24"/>
        </w:rPr>
        <w:t>当公司最近一年审计报告为非无保留意见或带与持续经营相关的重大不确定性段落的无保留意见或资产负债率高于</w:t>
      </w:r>
      <w:r w:rsidRPr="00B170DF">
        <w:rPr>
          <w:rFonts w:hint="eastAsia"/>
          <w:kern w:val="0"/>
          <w:szCs w:val="24"/>
        </w:rPr>
        <w:t>70%</w:t>
      </w:r>
      <w:r w:rsidRPr="00B170DF">
        <w:rPr>
          <w:rFonts w:hint="eastAsia"/>
          <w:kern w:val="0"/>
          <w:szCs w:val="24"/>
        </w:rPr>
        <w:t>或经营性现金流净额为负数的或公司进行现金分红可能将导致公司现金</w:t>
      </w:r>
      <w:proofErr w:type="gramStart"/>
      <w:r w:rsidRPr="00B170DF">
        <w:rPr>
          <w:rFonts w:hint="eastAsia"/>
          <w:kern w:val="0"/>
          <w:szCs w:val="24"/>
        </w:rPr>
        <w:t>流无法</w:t>
      </w:r>
      <w:proofErr w:type="gramEnd"/>
      <w:r w:rsidRPr="00B170DF">
        <w:rPr>
          <w:rFonts w:hint="eastAsia"/>
          <w:kern w:val="0"/>
          <w:szCs w:val="24"/>
        </w:rPr>
        <w:t>满足公司投资或经营的其他情形时或法律法规及本章程规定的其他情形，可以不进行利润分配。”</w:t>
      </w:r>
    </w:p>
    <w:p w14:paraId="6C86F69F" w14:textId="77777777" w:rsidR="00C10B02" w:rsidRPr="00B170DF" w:rsidRDefault="00C10B02" w:rsidP="00C10B02">
      <w:pPr>
        <w:keepNext/>
        <w:keepLines/>
        <w:widowControl/>
        <w:spacing w:before="163" w:after="163"/>
        <w:ind w:firstLineChars="0" w:firstLine="0"/>
        <w:outlineLvl w:val="1"/>
        <w:rPr>
          <w:rFonts w:eastAsia="黑体"/>
          <w:b/>
          <w:bCs/>
          <w:color w:val="000000"/>
          <w:sz w:val="28"/>
          <w:szCs w:val="28"/>
        </w:rPr>
      </w:pPr>
      <w:bookmarkStart w:id="78" w:name="_Toc194169733"/>
      <w:r w:rsidRPr="00B170DF">
        <w:rPr>
          <w:rFonts w:eastAsia="黑体" w:hint="eastAsia"/>
          <w:b/>
          <w:bCs/>
          <w:color w:val="000000"/>
          <w:sz w:val="28"/>
          <w:szCs w:val="28"/>
        </w:rPr>
        <w:lastRenderedPageBreak/>
        <w:t>二、公司近三年的现金分红及利润分配政策执行情况</w:t>
      </w:r>
      <w:bookmarkEnd w:id="78"/>
    </w:p>
    <w:p w14:paraId="10B02634" w14:textId="77777777" w:rsidR="00C10B02" w:rsidRPr="00B170DF" w:rsidRDefault="00B25C45" w:rsidP="004D234C">
      <w:pPr>
        <w:spacing w:before="163" w:after="163"/>
        <w:ind w:firstLine="480"/>
        <w:rPr>
          <w:szCs w:val="24"/>
        </w:rPr>
      </w:pPr>
      <w:r w:rsidRPr="00B170DF">
        <w:rPr>
          <w:rFonts w:hint="eastAsia"/>
          <w:szCs w:val="24"/>
        </w:rPr>
        <w:t>近三年，公司持续亏损。公司根据《公司法》等法律、法规、规范性文件及《公司章程》的规定，并结合公司经营状况、资金需求及战略规划，最近三年未进行现金分红及利润分配。</w:t>
      </w:r>
    </w:p>
    <w:p w14:paraId="50B656DB" w14:textId="77777777" w:rsidR="00C10B02" w:rsidRPr="00B170DF" w:rsidRDefault="000D12CF" w:rsidP="000D12CF">
      <w:pPr>
        <w:keepNext/>
        <w:keepLines/>
        <w:widowControl/>
        <w:spacing w:before="163" w:after="163"/>
        <w:ind w:firstLineChars="0" w:firstLine="0"/>
        <w:outlineLvl w:val="1"/>
        <w:rPr>
          <w:rFonts w:eastAsia="黑体"/>
          <w:b/>
          <w:bCs/>
          <w:color w:val="000000"/>
          <w:sz w:val="28"/>
          <w:szCs w:val="28"/>
        </w:rPr>
      </w:pPr>
      <w:bookmarkStart w:id="79" w:name="_Toc194169734"/>
      <w:r w:rsidRPr="00B170DF">
        <w:rPr>
          <w:rFonts w:eastAsia="黑体" w:hint="eastAsia"/>
          <w:b/>
          <w:bCs/>
          <w:color w:val="000000"/>
          <w:sz w:val="28"/>
          <w:szCs w:val="28"/>
        </w:rPr>
        <w:t>三、公司未来三年（</w:t>
      </w:r>
      <w:r w:rsidRPr="00B170DF">
        <w:rPr>
          <w:rFonts w:eastAsia="黑体" w:hint="eastAsia"/>
          <w:b/>
          <w:bCs/>
          <w:color w:val="000000"/>
          <w:sz w:val="28"/>
          <w:szCs w:val="28"/>
        </w:rPr>
        <w:t>2025</w:t>
      </w:r>
      <w:r w:rsidRPr="00B170DF">
        <w:rPr>
          <w:rFonts w:eastAsia="黑体" w:hint="eastAsia"/>
          <w:b/>
          <w:bCs/>
          <w:color w:val="000000"/>
          <w:sz w:val="28"/>
          <w:szCs w:val="28"/>
        </w:rPr>
        <w:t>年</w:t>
      </w:r>
      <w:r w:rsidRPr="00B170DF">
        <w:rPr>
          <w:rFonts w:eastAsia="黑体" w:hint="eastAsia"/>
          <w:b/>
          <w:bCs/>
          <w:color w:val="000000"/>
          <w:sz w:val="28"/>
          <w:szCs w:val="28"/>
        </w:rPr>
        <w:t>-2027</w:t>
      </w:r>
      <w:r w:rsidRPr="00B170DF">
        <w:rPr>
          <w:rFonts w:eastAsia="黑体" w:hint="eastAsia"/>
          <w:b/>
          <w:bCs/>
          <w:color w:val="000000"/>
          <w:sz w:val="28"/>
          <w:szCs w:val="28"/>
        </w:rPr>
        <w:t>年）股东回报规划</w:t>
      </w:r>
      <w:bookmarkEnd w:id="79"/>
    </w:p>
    <w:p w14:paraId="7E2EF1B6" w14:textId="77777777" w:rsidR="00C10B02" w:rsidRPr="00B170DF" w:rsidRDefault="000D12CF" w:rsidP="000D12CF">
      <w:pPr>
        <w:spacing w:before="163" w:after="163"/>
        <w:ind w:firstLine="480"/>
      </w:pPr>
      <w:r w:rsidRPr="00B170DF">
        <w:t>为完善福建广生堂药业股份有限公司（以下简称</w:t>
      </w:r>
      <w:r w:rsidRPr="00B170DF">
        <w:t>“</w:t>
      </w:r>
      <w:r w:rsidRPr="00B170DF">
        <w:t>公司</w:t>
      </w:r>
      <w:r w:rsidRPr="00B170DF">
        <w:t>”</w:t>
      </w:r>
      <w:r w:rsidRPr="00B170DF">
        <w:t>）利润分配政策，建立对投资者持续、稳定、科学的回报机制，引导投资者树立长期投资和理性投资理念。</w:t>
      </w:r>
      <w:r w:rsidRPr="00B170DF">
        <w:rPr>
          <w:rFonts w:hint="eastAsia"/>
        </w:rPr>
        <w:t>根据《公司法》《上市公司监管指引第</w:t>
      </w:r>
      <w:r w:rsidRPr="00B170DF">
        <w:rPr>
          <w:rFonts w:hint="eastAsia"/>
        </w:rPr>
        <w:t>3</w:t>
      </w:r>
      <w:r w:rsidRPr="00B170DF">
        <w:rPr>
          <w:rFonts w:hint="eastAsia"/>
        </w:rPr>
        <w:t>号——上市公司现金分红》（证监会公告</w:t>
      </w:r>
      <w:r w:rsidRPr="00B170DF">
        <w:rPr>
          <w:rFonts w:hint="eastAsia"/>
        </w:rPr>
        <w:t>[2023]61</w:t>
      </w:r>
      <w:r w:rsidRPr="00B170DF">
        <w:rPr>
          <w:rFonts w:hint="eastAsia"/>
        </w:rPr>
        <w:t>号）</w:t>
      </w:r>
      <w:r w:rsidRPr="00B170DF">
        <w:t>等相关法律法规及《福建广生堂药业股份有限公司章程》的规定，结合公司实际情况，公司编制了《未来三年（</w:t>
      </w:r>
      <w:r w:rsidRPr="00B170DF">
        <w:t>202</w:t>
      </w:r>
      <w:r w:rsidRPr="00B170DF">
        <w:rPr>
          <w:rFonts w:hint="eastAsia"/>
        </w:rPr>
        <w:t>5</w:t>
      </w:r>
      <w:r w:rsidRPr="00B170DF">
        <w:t>年</w:t>
      </w:r>
      <w:r w:rsidRPr="00B170DF">
        <w:t>-202</w:t>
      </w:r>
      <w:r w:rsidRPr="00B170DF">
        <w:rPr>
          <w:rFonts w:hint="eastAsia"/>
        </w:rPr>
        <w:t>7</w:t>
      </w:r>
      <w:r w:rsidRPr="00B170DF">
        <w:t>年）股东回报规划》，具体内容如下：</w:t>
      </w:r>
    </w:p>
    <w:p w14:paraId="69FBD15E" w14:textId="77777777" w:rsidR="001258BF" w:rsidRPr="00B170DF" w:rsidRDefault="001258BF" w:rsidP="0058304E">
      <w:pPr>
        <w:spacing w:before="163" w:after="163"/>
        <w:ind w:firstLine="482"/>
        <w:rPr>
          <w:b/>
          <w:bCs/>
          <w:szCs w:val="24"/>
        </w:rPr>
      </w:pPr>
      <w:r w:rsidRPr="00B170DF">
        <w:rPr>
          <w:rFonts w:hint="eastAsia"/>
          <w:b/>
          <w:bCs/>
          <w:szCs w:val="24"/>
        </w:rPr>
        <w:t>一、股东回报规划考虑的因素</w:t>
      </w:r>
    </w:p>
    <w:p w14:paraId="7C9C05E5" w14:textId="77777777" w:rsidR="001258BF" w:rsidRPr="00B170DF" w:rsidRDefault="001258BF" w:rsidP="001258BF">
      <w:pPr>
        <w:spacing w:before="163" w:after="163"/>
        <w:ind w:firstLine="480"/>
        <w:rPr>
          <w:szCs w:val="24"/>
        </w:rPr>
      </w:pPr>
      <w:r w:rsidRPr="00B170DF">
        <w:rPr>
          <w:rFonts w:hint="eastAsia"/>
          <w:szCs w:val="24"/>
        </w:rPr>
        <w:t>公司将着眼于长远和可持续发展，综合考虑了企业实际情况，发展目标，建立对投资者持续、稳定、科学的回报规划和机制，从而对股利分配</w:t>
      </w:r>
      <w:proofErr w:type="gramStart"/>
      <w:r w:rsidRPr="00B170DF">
        <w:rPr>
          <w:rFonts w:hint="eastAsia"/>
          <w:szCs w:val="24"/>
        </w:rPr>
        <w:t>作出</w:t>
      </w:r>
      <w:proofErr w:type="gramEnd"/>
      <w:r w:rsidRPr="00B170DF">
        <w:rPr>
          <w:rFonts w:hint="eastAsia"/>
          <w:szCs w:val="24"/>
        </w:rPr>
        <w:t>制度性安排，以保证股利分配政策的连续性和稳定性。</w:t>
      </w:r>
    </w:p>
    <w:p w14:paraId="089B20F9" w14:textId="77777777" w:rsidR="001258BF" w:rsidRPr="00B170DF" w:rsidRDefault="001258BF" w:rsidP="001258BF">
      <w:pPr>
        <w:spacing w:before="163" w:after="163"/>
        <w:ind w:firstLine="482"/>
        <w:rPr>
          <w:b/>
          <w:bCs/>
          <w:szCs w:val="24"/>
        </w:rPr>
      </w:pPr>
      <w:r w:rsidRPr="00B170DF">
        <w:rPr>
          <w:rFonts w:hint="eastAsia"/>
          <w:b/>
          <w:bCs/>
          <w:szCs w:val="24"/>
        </w:rPr>
        <w:t>二、股东回报规划的制定原则</w:t>
      </w:r>
    </w:p>
    <w:p w14:paraId="424CB0D2" w14:textId="77777777" w:rsidR="001258BF" w:rsidRPr="00B170DF" w:rsidRDefault="001258BF" w:rsidP="001258BF">
      <w:pPr>
        <w:spacing w:before="163" w:after="163"/>
        <w:ind w:firstLine="480"/>
        <w:rPr>
          <w:szCs w:val="24"/>
        </w:rPr>
      </w:pPr>
      <w:r w:rsidRPr="00B170DF">
        <w:rPr>
          <w:rFonts w:hint="eastAsia"/>
          <w:szCs w:val="24"/>
        </w:rPr>
        <w:t>公司股东回报规划充分考虑和听取股东特别是中小股东的要求和意愿，在保证公司正常经营业务发展的前提下，坚持现金分红为主这一基本原则。在公司当年盈利且满足公司正常生产经营资金需求的情况下，公司应当采取现金方式分配股利。公司单一年度以现金方式分配的利润不少于当年度实现的可分配利润的</w:t>
      </w:r>
      <w:r w:rsidRPr="00B170DF">
        <w:rPr>
          <w:rFonts w:hint="eastAsia"/>
          <w:szCs w:val="24"/>
        </w:rPr>
        <w:t>10%</w:t>
      </w:r>
      <w:r w:rsidRPr="00B170DF">
        <w:rPr>
          <w:rFonts w:hint="eastAsia"/>
          <w:szCs w:val="24"/>
        </w:rPr>
        <w:t>。</w:t>
      </w:r>
    </w:p>
    <w:p w14:paraId="13284341" w14:textId="77777777" w:rsidR="001258BF" w:rsidRPr="00B170DF" w:rsidRDefault="001258BF" w:rsidP="001258BF">
      <w:pPr>
        <w:spacing w:before="163" w:after="163"/>
        <w:ind w:firstLine="482"/>
        <w:rPr>
          <w:b/>
          <w:bCs/>
          <w:szCs w:val="24"/>
        </w:rPr>
      </w:pPr>
      <w:r w:rsidRPr="00B170DF">
        <w:rPr>
          <w:rFonts w:hint="eastAsia"/>
          <w:b/>
          <w:bCs/>
          <w:szCs w:val="24"/>
        </w:rPr>
        <w:t>三、股东回报规划制定周期</w:t>
      </w:r>
    </w:p>
    <w:p w14:paraId="0AA8DBB9" w14:textId="77777777" w:rsidR="001258BF" w:rsidRPr="00B170DF" w:rsidRDefault="001258BF" w:rsidP="001258BF">
      <w:pPr>
        <w:spacing w:before="163" w:after="163"/>
        <w:ind w:firstLine="480"/>
        <w:rPr>
          <w:szCs w:val="24"/>
        </w:rPr>
      </w:pPr>
      <w:r w:rsidRPr="00B170DF">
        <w:rPr>
          <w:rFonts w:hint="eastAsia"/>
          <w:szCs w:val="24"/>
        </w:rPr>
        <w:t>公司至少每三年重新审阅一次《股东分红回报规划》，并由公司董事会结合具体经营数据，充分考虑公司目前盈利规模、现金流量状况、发展所处阶段及当</w:t>
      </w:r>
      <w:r w:rsidRPr="00B170DF">
        <w:rPr>
          <w:rFonts w:hint="eastAsia"/>
          <w:szCs w:val="24"/>
        </w:rPr>
        <w:lastRenderedPageBreak/>
        <w:t>前资金需求，制定年终或中期分红方案。</w:t>
      </w:r>
    </w:p>
    <w:p w14:paraId="0B020A26" w14:textId="77777777" w:rsidR="001258BF" w:rsidRPr="00B170DF" w:rsidRDefault="001258BF" w:rsidP="001258BF">
      <w:pPr>
        <w:spacing w:before="163" w:after="163"/>
        <w:ind w:firstLine="482"/>
        <w:rPr>
          <w:b/>
          <w:bCs/>
          <w:szCs w:val="24"/>
        </w:rPr>
      </w:pPr>
      <w:r w:rsidRPr="00B170DF">
        <w:rPr>
          <w:rFonts w:hint="eastAsia"/>
          <w:b/>
          <w:bCs/>
          <w:szCs w:val="24"/>
        </w:rPr>
        <w:t>四、</w:t>
      </w:r>
      <w:r w:rsidRPr="00B170DF">
        <w:rPr>
          <w:rFonts w:hint="eastAsia"/>
          <w:b/>
          <w:bCs/>
          <w:szCs w:val="24"/>
        </w:rPr>
        <w:t>2025</w:t>
      </w:r>
      <w:r w:rsidRPr="00B170DF">
        <w:rPr>
          <w:rFonts w:hint="eastAsia"/>
          <w:b/>
          <w:bCs/>
          <w:szCs w:val="24"/>
        </w:rPr>
        <w:t>年</w:t>
      </w:r>
      <w:r w:rsidRPr="00B170DF">
        <w:rPr>
          <w:rFonts w:hint="eastAsia"/>
          <w:b/>
          <w:bCs/>
          <w:szCs w:val="24"/>
        </w:rPr>
        <w:t>-2027</w:t>
      </w:r>
      <w:r w:rsidRPr="00B170DF">
        <w:rPr>
          <w:rFonts w:hint="eastAsia"/>
          <w:b/>
          <w:bCs/>
          <w:szCs w:val="24"/>
        </w:rPr>
        <w:t>年的股东回报规划</w:t>
      </w:r>
    </w:p>
    <w:p w14:paraId="684C0149" w14:textId="77777777" w:rsidR="001258BF" w:rsidRPr="00B170DF" w:rsidRDefault="001258BF" w:rsidP="001258BF">
      <w:pPr>
        <w:spacing w:before="163" w:after="163"/>
        <w:ind w:firstLine="480"/>
        <w:rPr>
          <w:szCs w:val="24"/>
        </w:rPr>
      </w:pPr>
      <w:r w:rsidRPr="00B170DF">
        <w:rPr>
          <w:rFonts w:hint="eastAsia"/>
          <w:szCs w:val="24"/>
        </w:rPr>
        <w:t>（一）公司利润分配政策的基本原则</w:t>
      </w:r>
    </w:p>
    <w:p w14:paraId="46DA312D" w14:textId="77777777" w:rsidR="001258BF" w:rsidRPr="00B170DF" w:rsidRDefault="001258BF" w:rsidP="001258BF">
      <w:pPr>
        <w:spacing w:before="163" w:after="163"/>
        <w:ind w:firstLine="480"/>
        <w:rPr>
          <w:szCs w:val="24"/>
        </w:rPr>
      </w:pPr>
      <w:r w:rsidRPr="00B170DF">
        <w:rPr>
          <w:rFonts w:hint="eastAsia"/>
          <w:szCs w:val="24"/>
        </w:rPr>
        <w:t>公司实施积极的利润分配政策，重视对投资者的合理投资回报。公司应保持利润分配政策的连续性和稳定性，同时兼顾公司的长远利益、全体股东的整体利益及公司的可持续发展，利润分配不得超过可分配利润的范围，不得损害公司持续经营能力。公司董事会、监事会和股东大会对利润分配政策的决策和论证过程中应当充分考虑独立董事和公众投资者的意见。</w:t>
      </w:r>
    </w:p>
    <w:p w14:paraId="3B9D5527" w14:textId="77777777" w:rsidR="001258BF" w:rsidRPr="00B170DF" w:rsidRDefault="001258BF" w:rsidP="001258BF">
      <w:pPr>
        <w:spacing w:before="163" w:after="163"/>
        <w:ind w:firstLine="480"/>
        <w:rPr>
          <w:szCs w:val="24"/>
        </w:rPr>
      </w:pPr>
      <w:r w:rsidRPr="00B170DF">
        <w:rPr>
          <w:rFonts w:hint="eastAsia"/>
          <w:szCs w:val="24"/>
        </w:rPr>
        <w:t>（二）利润分配的方式</w:t>
      </w:r>
    </w:p>
    <w:p w14:paraId="1DD88FCA" w14:textId="77777777" w:rsidR="001258BF" w:rsidRPr="00B170DF" w:rsidRDefault="001258BF" w:rsidP="001258BF">
      <w:pPr>
        <w:spacing w:before="163" w:after="163"/>
        <w:ind w:firstLine="480"/>
        <w:rPr>
          <w:szCs w:val="24"/>
        </w:rPr>
      </w:pPr>
      <w:r w:rsidRPr="00B170DF">
        <w:rPr>
          <w:rFonts w:hint="eastAsia"/>
          <w:szCs w:val="24"/>
        </w:rPr>
        <w:t>按照股东持有的股份比例分配利润；可以采取现金、股票或二者结合的方式分配股利。公司可以进行中期现金分红。</w:t>
      </w:r>
    </w:p>
    <w:p w14:paraId="1810EAF6" w14:textId="77777777" w:rsidR="001258BF" w:rsidRPr="00B170DF" w:rsidRDefault="001258BF" w:rsidP="001258BF">
      <w:pPr>
        <w:spacing w:before="163" w:after="163"/>
        <w:ind w:firstLine="480"/>
        <w:rPr>
          <w:szCs w:val="24"/>
        </w:rPr>
      </w:pPr>
      <w:r w:rsidRPr="00B170DF">
        <w:rPr>
          <w:rFonts w:hint="eastAsia"/>
          <w:szCs w:val="24"/>
        </w:rPr>
        <w:t>公司主要采取现金分红的股利分配政策，即公司当年度实现盈利，在依法提取法定公积金、任意公积金后进行现金分红。</w:t>
      </w:r>
    </w:p>
    <w:p w14:paraId="5C12AA25" w14:textId="77777777" w:rsidR="001258BF" w:rsidRPr="00B170DF" w:rsidRDefault="001258BF" w:rsidP="001258BF">
      <w:pPr>
        <w:spacing w:before="163" w:after="163"/>
        <w:ind w:firstLine="480"/>
        <w:rPr>
          <w:szCs w:val="24"/>
        </w:rPr>
      </w:pPr>
      <w:r w:rsidRPr="00B170DF">
        <w:rPr>
          <w:rFonts w:hint="eastAsia"/>
          <w:szCs w:val="24"/>
        </w:rPr>
        <w:t>（三）现金分红的条件及比例</w:t>
      </w:r>
    </w:p>
    <w:p w14:paraId="531631EB" w14:textId="77777777" w:rsidR="001258BF" w:rsidRPr="00B170DF" w:rsidRDefault="001258BF" w:rsidP="001258BF">
      <w:pPr>
        <w:spacing w:before="163" w:after="163"/>
        <w:ind w:firstLine="480"/>
        <w:rPr>
          <w:szCs w:val="24"/>
        </w:rPr>
      </w:pPr>
      <w:r w:rsidRPr="00B170DF">
        <w:rPr>
          <w:rFonts w:hint="eastAsia"/>
          <w:szCs w:val="24"/>
        </w:rPr>
        <w:t>在公司当年盈利且满足公司正常生产经营资金需求的情况下，公司应当采取现金方式分配股利。公司单一年度以现金方式分配的利润不少于当年度实现的可分配利润的</w:t>
      </w:r>
      <w:r w:rsidRPr="00B170DF">
        <w:rPr>
          <w:rFonts w:hint="eastAsia"/>
          <w:szCs w:val="24"/>
        </w:rPr>
        <w:t>10%</w:t>
      </w:r>
      <w:r w:rsidRPr="00B170DF">
        <w:rPr>
          <w:rFonts w:hint="eastAsia"/>
          <w:szCs w:val="24"/>
        </w:rPr>
        <w:t>。</w:t>
      </w:r>
    </w:p>
    <w:p w14:paraId="1585F477" w14:textId="77777777" w:rsidR="001258BF" w:rsidRPr="00B170DF" w:rsidRDefault="001258BF" w:rsidP="001258BF">
      <w:pPr>
        <w:spacing w:before="163" w:after="163"/>
        <w:ind w:firstLine="480"/>
        <w:rPr>
          <w:szCs w:val="24"/>
        </w:rPr>
      </w:pPr>
      <w:r w:rsidRPr="00B170DF">
        <w:rPr>
          <w:rFonts w:hint="eastAsia"/>
          <w:szCs w:val="24"/>
        </w:rPr>
        <w:t>公司董事会应综合考虑所处行业特点、发展阶段、自身经营模式、盈利水平以及是否有重大资金支出安排等因素，区分下列情形，并按照章程规定的程序，提出差异化的现金分红政策：</w:t>
      </w:r>
    </w:p>
    <w:p w14:paraId="4F0048E1" w14:textId="77777777" w:rsidR="001258BF" w:rsidRPr="00B170DF" w:rsidRDefault="001258BF" w:rsidP="001258BF">
      <w:pPr>
        <w:spacing w:before="163" w:after="163"/>
        <w:ind w:firstLine="480"/>
        <w:rPr>
          <w:szCs w:val="24"/>
        </w:rPr>
      </w:pPr>
      <w:r w:rsidRPr="00B170DF">
        <w:rPr>
          <w:rFonts w:hint="eastAsia"/>
          <w:szCs w:val="24"/>
        </w:rPr>
        <w:t>1</w:t>
      </w:r>
      <w:r w:rsidRPr="00B170DF">
        <w:rPr>
          <w:rFonts w:hint="eastAsia"/>
          <w:szCs w:val="24"/>
        </w:rPr>
        <w:t>、公司发展阶段属成熟期且无重大资金支出安排的，进行利润分配时，现金分红在本次利润分配中所占比例最低应达到</w:t>
      </w:r>
      <w:r w:rsidRPr="00B170DF">
        <w:rPr>
          <w:rFonts w:hint="eastAsia"/>
          <w:szCs w:val="24"/>
        </w:rPr>
        <w:t>80%</w:t>
      </w:r>
      <w:r w:rsidRPr="00B170DF">
        <w:rPr>
          <w:rFonts w:hint="eastAsia"/>
          <w:szCs w:val="24"/>
        </w:rPr>
        <w:t>；</w:t>
      </w:r>
    </w:p>
    <w:p w14:paraId="58F8BCCC" w14:textId="77777777" w:rsidR="001258BF" w:rsidRPr="00B170DF" w:rsidRDefault="001258BF" w:rsidP="001258BF">
      <w:pPr>
        <w:spacing w:before="163" w:after="163"/>
        <w:ind w:firstLine="480"/>
        <w:rPr>
          <w:szCs w:val="24"/>
        </w:rPr>
      </w:pPr>
      <w:r w:rsidRPr="00B170DF">
        <w:rPr>
          <w:rFonts w:hint="eastAsia"/>
          <w:szCs w:val="24"/>
        </w:rPr>
        <w:t>2</w:t>
      </w:r>
      <w:r w:rsidRPr="00B170DF">
        <w:rPr>
          <w:rFonts w:hint="eastAsia"/>
          <w:szCs w:val="24"/>
        </w:rPr>
        <w:t>、公司发展阶段属成熟期且有重大资金支出安排的，进行利润分配时，现金分红在本次利润分配中所占比例最低应达到</w:t>
      </w:r>
      <w:r w:rsidRPr="00B170DF">
        <w:rPr>
          <w:rFonts w:hint="eastAsia"/>
          <w:szCs w:val="24"/>
        </w:rPr>
        <w:t>40%</w:t>
      </w:r>
      <w:r w:rsidRPr="00B170DF">
        <w:rPr>
          <w:rFonts w:hint="eastAsia"/>
          <w:szCs w:val="24"/>
        </w:rPr>
        <w:t>；</w:t>
      </w:r>
    </w:p>
    <w:p w14:paraId="596FCEE0" w14:textId="77777777" w:rsidR="001258BF" w:rsidRPr="00B170DF" w:rsidRDefault="001258BF" w:rsidP="001258BF">
      <w:pPr>
        <w:spacing w:before="163" w:after="163"/>
        <w:ind w:firstLine="480"/>
        <w:rPr>
          <w:szCs w:val="24"/>
        </w:rPr>
      </w:pPr>
      <w:r w:rsidRPr="00B170DF">
        <w:rPr>
          <w:rFonts w:hint="eastAsia"/>
          <w:szCs w:val="24"/>
        </w:rPr>
        <w:lastRenderedPageBreak/>
        <w:t>3</w:t>
      </w:r>
      <w:r w:rsidRPr="00B170DF">
        <w:rPr>
          <w:rFonts w:hint="eastAsia"/>
          <w:szCs w:val="24"/>
        </w:rPr>
        <w:t>、公司发展阶段属成长期且有重大资金支出安排的，进行利润分配时，现金分红在本次利润分配中所占比例最低应达到</w:t>
      </w:r>
      <w:r w:rsidRPr="00B170DF">
        <w:rPr>
          <w:rFonts w:hint="eastAsia"/>
          <w:szCs w:val="24"/>
        </w:rPr>
        <w:t>20%</w:t>
      </w:r>
      <w:r w:rsidRPr="00B170DF">
        <w:rPr>
          <w:rFonts w:hint="eastAsia"/>
          <w:szCs w:val="24"/>
        </w:rPr>
        <w:t>；</w:t>
      </w:r>
    </w:p>
    <w:p w14:paraId="31604F60" w14:textId="77777777" w:rsidR="001258BF" w:rsidRPr="00B170DF" w:rsidRDefault="001258BF" w:rsidP="001258BF">
      <w:pPr>
        <w:spacing w:before="163" w:after="163"/>
        <w:ind w:firstLine="480"/>
        <w:rPr>
          <w:szCs w:val="24"/>
        </w:rPr>
      </w:pPr>
      <w:r w:rsidRPr="00B170DF">
        <w:rPr>
          <w:rFonts w:hint="eastAsia"/>
          <w:szCs w:val="24"/>
        </w:rPr>
        <w:t>公司发展阶段不易区分但有重大资金支出安排的，可以按照前项规定处理。</w:t>
      </w:r>
    </w:p>
    <w:p w14:paraId="56D1F435" w14:textId="77777777" w:rsidR="001258BF" w:rsidRPr="00B170DF" w:rsidRDefault="001258BF" w:rsidP="001258BF">
      <w:pPr>
        <w:spacing w:before="163" w:after="163"/>
        <w:ind w:firstLine="480"/>
        <w:rPr>
          <w:szCs w:val="24"/>
        </w:rPr>
      </w:pPr>
      <w:r w:rsidRPr="00B170DF">
        <w:rPr>
          <w:rFonts w:hint="eastAsia"/>
          <w:szCs w:val="24"/>
        </w:rPr>
        <w:t>重大投资计划或重大现金支出是指：公司未来十二个月内</w:t>
      </w:r>
      <w:proofErr w:type="gramStart"/>
      <w:r w:rsidRPr="00B170DF">
        <w:rPr>
          <w:rFonts w:hint="eastAsia"/>
          <w:szCs w:val="24"/>
        </w:rPr>
        <w:t>拟对外</w:t>
      </w:r>
      <w:proofErr w:type="gramEnd"/>
      <w:r w:rsidRPr="00B170DF">
        <w:rPr>
          <w:rFonts w:hint="eastAsia"/>
          <w:szCs w:val="24"/>
        </w:rPr>
        <w:t>投资、收购资产或者购买设备、建筑物的累计支出达到或者超过公司最近一期经审计净资产的</w:t>
      </w:r>
      <w:r w:rsidRPr="00B170DF">
        <w:rPr>
          <w:rFonts w:hint="eastAsia"/>
          <w:szCs w:val="24"/>
        </w:rPr>
        <w:t>20%</w:t>
      </w:r>
      <w:r w:rsidRPr="00B170DF">
        <w:rPr>
          <w:rFonts w:hint="eastAsia"/>
          <w:szCs w:val="24"/>
        </w:rPr>
        <w:t>，且绝对值达到</w:t>
      </w:r>
      <w:r w:rsidRPr="00B170DF">
        <w:rPr>
          <w:rFonts w:hint="eastAsia"/>
          <w:szCs w:val="24"/>
        </w:rPr>
        <w:t>5,000</w:t>
      </w:r>
      <w:r w:rsidRPr="00B170DF">
        <w:rPr>
          <w:rFonts w:hint="eastAsia"/>
          <w:szCs w:val="24"/>
        </w:rPr>
        <w:t>万元。公司原则上在每年年度股东大会审议通过后进行一次现金分红，公司董事会可以根据公司的盈利状况及资金需求状况提议公司进行中期现金分红。</w:t>
      </w:r>
    </w:p>
    <w:p w14:paraId="4F928964" w14:textId="77777777" w:rsidR="001258BF" w:rsidRPr="00B170DF" w:rsidRDefault="001258BF" w:rsidP="001258BF">
      <w:pPr>
        <w:spacing w:before="163" w:after="163"/>
        <w:ind w:firstLine="480"/>
        <w:rPr>
          <w:szCs w:val="24"/>
        </w:rPr>
      </w:pPr>
      <w:r w:rsidRPr="00B170DF">
        <w:rPr>
          <w:rFonts w:hint="eastAsia"/>
          <w:szCs w:val="24"/>
        </w:rPr>
        <w:t>（四）股票股利分配的条件</w:t>
      </w:r>
    </w:p>
    <w:p w14:paraId="43ADAFFF" w14:textId="77777777" w:rsidR="001258BF" w:rsidRPr="00B170DF" w:rsidRDefault="001258BF" w:rsidP="001258BF">
      <w:pPr>
        <w:spacing w:before="163" w:after="163"/>
        <w:ind w:firstLine="480"/>
        <w:rPr>
          <w:szCs w:val="24"/>
        </w:rPr>
      </w:pPr>
      <w:r w:rsidRPr="00B170DF">
        <w:rPr>
          <w:rFonts w:hint="eastAsia"/>
          <w:szCs w:val="24"/>
        </w:rPr>
        <w:t>若公司收入增长快速，并且董事会认为公司股票价格与公司股本规模不匹配时，可以在满足上述现金股利分配之余，提出并实施股票股利分配预案。采用股票股利进行利润分配的，应当具有公司成长性、每股净资产的摊薄等真实合理因素。</w:t>
      </w:r>
    </w:p>
    <w:p w14:paraId="7945AE56" w14:textId="77777777" w:rsidR="001258BF" w:rsidRPr="00B170DF" w:rsidRDefault="001258BF" w:rsidP="001258BF">
      <w:pPr>
        <w:spacing w:before="163" w:after="163"/>
        <w:ind w:firstLine="480"/>
        <w:rPr>
          <w:szCs w:val="24"/>
        </w:rPr>
      </w:pPr>
      <w:r w:rsidRPr="00B170DF">
        <w:rPr>
          <w:rFonts w:hint="eastAsia"/>
          <w:szCs w:val="24"/>
        </w:rPr>
        <w:t>（五）决策程序和机制</w:t>
      </w:r>
    </w:p>
    <w:p w14:paraId="013E1E3E" w14:textId="77777777" w:rsidR="001258BF" w:rsidRPr="00B170DF" w:rsidRDefault="001258BF" w:rsidP="001258BF">
      <w:pPr>
        <w:spacing w:before="163" w:after="163"/>
        <w:ind w:firstLine="480"/>
        <w:rPr>
          <w:szCs w:val="24"/>
        </w:rPr>
      </w:pPr>
      <w:r w:rsidRPr="00B170DF">
        <w:rPr>
          <w:rFonts w:hint="eastAsia"/>
          <w:szCs w:val="24"/>
        </w:rPr>
        <w:t>公司利润分配预案由董事会提出，但需事先征求独立董事和监事会的意见，独立董事应对利润分配预案发表独立意见，监事会应对利润分配预案提出审核意见。利润分配预案经二分之一以上独立董事及监事会审核同意，并经董事会审议通过后提请股东大会审议。公司董事会、监事会和股东大会对利润分配政策的决策和论证过程中应当充分考虑独立董事、外部监事和公众投资者的意见。</w:t>
      </w:r>
    </w:p>
    <w:p w14:paraId="471AF3E2" w14:textId="77777777" w:rsidR="001258BF" w:rsidRPr="00B170DF" w:rsidRDefault="001258BF" w:rsidP="001258BF">
      <w:pPr>
        <w:spacing w:before="163" w:after="163"/>
        <w:ind w:firstLine="480"/>
        <w:rPr>
          <w:szCs w:val="24"/>
        </w:rPr>
      </w:pPr>
      <w:r w:rsidRPr="00B170DF">
        <w:rPr>
          <w:rFonts w:hint="eastAsia"/>
          <w:szCs w:val="24"/>
        </w:rPr>
        <w:t>股东大会审议利润分配方案时，公司应为股东提供网络投票方式，通过多种渠道主动与股东特别是中小股东进行沟通和交流，充分听取中小股东的意见和诉求，并及时答复中小股东关心的问题。公司股东大会对利润分配方案</w:t>
      </w:r>
      <w:proofErr w:type="gramStart"/>
      <w:r w:rsidRPr="00B170DF">
        <w:rPr>
          <w:rFonts w:hint="eastAsia"/>
          <w:szCs w:val="24"/>
        </w:rPr>
        <w:t>作出</w:t>
      </w:r>
      <w:proofErr w:type="gramEnd"/>
      <w:r w:rsidRPr="00B170DF">
        <w:rPr>
          <w:rFonts w:hint="eastAsia"/>
          <w:szCs w:val="24"/>
        </w:rPr>
        <w:t>决议后，公司董事会须在股东大会召开后</w:t>
      </w:r>
      <w:r w:rsidRPr="00B170DF">
        <w:rPr>
          <w:rFonts w:hint="eastAsia"/>
          <w:szCs w:val="24"/>
        </w:rPr>
        <w:t>2</w:t>
      </w:r>
      <w:r w:rsidRPr="00B170DF">
        <w:rPr>
          <w:rFonts w:hint="eastAsia"/>
          <w:szCs w:val="24"/>
        </w:rPr>
        <w:t>个月内完成股利（或股份）的派发事项。</w:t>
      </w:r>
    </w:p>
    <w:p w14:paraId="700B0A41" w14:textId="77777777" w:rsidR="001258BF" w:rsidRPr="00B170DF" w:rsidRDefault="001258BF" w:rsidP="001258BF">
      <w:pPr>
        <w:spacing w:before="163" w:after="163"/>
        <w:ind w:firstLine="480"/>
        <w:rPr>
          <w:szCs w:val="24"/>
        </w:rPr>
      </w:pPr>
      <w:r w:rsidRPr="00B170DF">
        <w:rPr>
          <w:rFonts w:hint="eastAsia"/>
          <w:szCs w:val="24"/>
        </w:rPr>
        <w:t>如公司当年盈利且满足现金分红条件、但董事会未按照既定利润分配政策向股东大会提交利润分配预案的，应当在定期报告中说明原因、未用于分红的资金</w:t>
      </w:r>
      <w:r w:rsidRPr="00B170DF">
        <w:rPr>
          <w:rFonts w:hint="eastAsia"/>
          <w:szCs w:val="24"/>
        </w:rPr>
        <w:lastRenderedPageBreak/>
        <w:t>留存公司的用途和使用计划，并由独立董事发表独立意见。</w:t>
      </w:r>
    </w:p>
    <w:p w14:paraId="72954D28" w14:textId="77777777" w:rsidR="001258BF" w:rsidRPr="00B170DF" w:rsidRDefault="001258BF" w:rsidP="001258BF">
      <w:pPr>
        <w:spacing w:before="163" w:after="163"/>
        <w:ind w:firstLine="480"/>
        <w:rPr>
          <w:szCs w:val="24"/>
        </w:rPr>
      </w:pPr>
      <w:r w:rsidRPr="00B170DF">
        <w:rPr>
          <w:rFonts w:hint="eastAsia"/>
          <w:szCs w:val="24"/>
        </w:rPr>
        <w:t>（六）公司利润分配政策的变更</w:t>
      </w:r>
    </w:p>
    <w:p w14:paraId="64BDE6F3" w14:textId="77777777" w:rsidR="001258BF" w:rsidRPr="00B170DF" w:rsidRDefault="001258BF" w:rsidP="009528E3">
      <w:pPr>
        <w:spacing w:before="163" w:after="163"/>
        <w:ind w:firstLine="480"/>
        <w:rPr>
          <w:szCs w:val="24"/>
        </w:rPr>
      </w:pPr>
      <w:r w:rsidRPr="00B170DF">
        <w:rPr>
          <w:rFonts w:hint="eastAsia"/>
          <w:szCs w:val="24"/>
        </w:rPr>
        <w:t>公司将严格执行公司章程确定的现金分红政策以及股东大会审议批准的现金分红具体方案。如因外部经营环境或者自身经营状况发生较大变化而需要调整利润分配政策尤其现金分红政策的，应以股东权益保护为出发点，在股东大会提案中详细论证和说明原因；调整后的利润分配政策不得违反中国证监会和证券交易所的有关规定；有关调整利润分配政策的议案，须经董事会、监事会审议通过后提交股东大会批准，独立董事应当对该议案发表独立意见，股东大会审议该议案时应当经出席股东大会的股东所持表决权的</w:t>
      </w:r>
      <w:r w:rsidRPr="00B170DF">
        <w:rPr>
          <w:rFonts w:hint="eastAsia"/>
          <w:szCs w:val="24"/>
        </w:rPr>
        <w:t>2/3</w:t>
      </w:r>
      <w:r w:rsidRPr="00B170DF">
        <w:rPr>
          <w:rFonts w:hint="eastAsia"/>
          <w:szCs w:val="24"/>
        </w:rPr>
        <w:t>以上通过。股东大会进行审议时，应当通过多种渠道主动与股东特别是中小股东进行沟通和交流，充分听取中小股东的意见和诉求，并及时答复中小股东关心的问题。</w:t>
      </w:r>
    </w:p>
    <w:p w14:paraId="6451D603" w14:textId="77777777" w:rsidR="001258BF" w:rsidRPr="00B170DF" w:rsidRDefault="001258BF" w:rsidP="001258BF">
      <w:pPr>
        <w:spacing w:before="163" w:after="163"/>
        <w:ind w:firstLine="480"/>
        <w:rPr>
          <w:szCs w:val="24"/>
        </w:rPr>
      </w:pPr>
      <w:r w:rsidRPr="00B170DF">
        <w:rPr>
          <w:rFonts w:hint="eastAsia"/>
          <w:szCs w:val="24"/>
        </w:rPr>
        <w:t>公司外部经营环境或者自身经营状况发生较大变化是指以下情形之一：</w:t>
      </w:r>
    </w:p>
    <w:p w14:paraId="328C13D9" w14:textId="77777777" w:rsidR="001258BF" w:rsidRPr="00B170DF" w:rsidRDefault="001258BF" w:rsidP="009528E3">
      <w:pPr>
        <w:spacing w:before="163" w:after="163"/>
        <w:ind w:firstLine="480"/>
        <w:rPr>
          <w:szCs w:val="24"/>
        </w:rPr>
      </w:pPr>
      <w:r w:rsidRPr="00B170DF">
        <w:rPr>
          <w:rFonts w:hint="eastAsia"/>
          <w:szCs w:val="24"/>
        </w:rPr>
        <w:t>1</w:t>
      </w:r>
      <w:r w:rsidRPr="00B170DF">
        <w:rPr>
          <w:rFonts w:hint="eastAsia"/>
          <w:szCs w:val="24"/>
        </w:rPr>
        <w:t>、因国家法律、法规及行业政策发生重大变化，对公司生产经营造成重大不利影响而导致公司经营亏损；</w:t>
      </w:r>
    </w:p>
    <w:p w14:paraId="42E22EBE" w14:textId="77777777" w:rsidR="001258BF" w:rsidRPr="00B170DF" w:rsidRDefault="001258BF" w:rsidP="009528E3">
      <w:pPr>
        <w:spacing w:before="163" w:after="163"/>
        <w:ind w:firstLine="480"/>
        <w:rPr>
          <w:szCs w:val="24"/>
        </w:rPr>
      </w:pPr>
      <w:r w:rsidRPr="00B170DF">
        <w:rPr>
          <w:rFonts w:hint="eastAsia"/>
          <w:szCs w:val="24"/>
        </w:rPr>
        <w:t>2</w:t>
      </w:r>
      <w:r w:rsidRPr="00B170DF">
        <w:rPr>
          <w:rFonts w:hint="eastAsia"/>
          <w:szCs w:val="24"/>
        </w:rPr>
        <w:t>、因出现战争、自然灾害等不可抗力因素，对公司生产经营造成重大不利影响而导致公司经营亏损；</w:t>
      </w:r>
    </w:p>
    <w:p w14:paraId="7A2810BA" w14:textId="77777777" w:rsidR="001258BF" w:rsidRPr="00B170DF" w:rsidRDefault="001258BF" w:rsidP="009528E3">
      <w:pPr>
        <w:spacing w:before="163" w:after="163"/>
        <w:ind w:firstLine="480"/>
        <w:rPr>
          <w:szCs w:val="24"/>
        </w:rPr>
      </w:pPr>
      <w:r w:rsidRPr="00B170DF">
        <w:rPr>
          <w:rFonts w:hint="eastAsia"/>
          <w:szCs w:val="24"/>
        </w:rPr>
        <w:t>3</w:t>
      </w:r>
      <w:r w:rsidRPr="00B170DF">
        <w:rPr>
          <w:rFonts w:hint="eastAsia"/>
          <w:szCs w:val="24"/>
        </w:rPr>
        <w:t>、因外部经营环境或者自身经营状况发生重大变化，公司连续三个会计年度经营活动产生的现金流量净额与净利润之比均低于</w:t>
      </w:r>
      <w:r w:rsidRPr="00B170DF">
        <w:rPr>
          <w:rFonts w:hint="eastAsia"/>
          <w:szCs w:val="24"/>
        </w:rPr>
        <w:t>20%</w:t>
      </w:r>
      <w:r w:rsidRPr="00B170DF">
        <w:rPr>
          <w:rFonts w:hint="eastAsia"/>
          <w:szCs w:val="24"/>
        </w:rPr>
        <w:t>；</w:t>
      </w:r>
    </w:p>
    <w:p w14:paraId="6E16AA60" w14:textId="77777777" w:rsidR="002A04DA" w:rsidRPr="00B170DF" w:rsidRDefault="001258BF" w:rsidP="001258BF">
      <w:pPr>
        <w:spacing w:before="163" w:after="163"/>
        <w:ind w:firstLine="480"/>
        <w:rPr>
          <w:szCs w:val="24"/>
        </w:rPr>
      </w:pPr>
      <w:r w:rsidRPr="00B170DF">
        <w:rPr>
          <w:rFonts w:hint="eastAsia"/>
          <w:szCs w:val="24"/>
        </w:rPr>
        <w:t>4</w:t>
      </w:r>
      <w:r w:rsidRPr="00B170DF">
        <w:rPr>
          <w:rFonts w:hint="eastAsia"/>
          <w:szCs w:val="24"/>
        </w:rPr>
        <w:t>、中国证监会和证券交易所规定的其他事项。</w:t>
      </w:r>
      <w:r w:rsidR="00DC4352" w:rsidRPr="00B170DF">
        <w:rPr>
          <w:rFonts w:hint="eastAsia"/>
          <w:szCs w:val="24"/>
        </w:rPr>
        <w:t>”</w:t>
      </w:r>
    </w:p>
    <w:p w14:paraId="769319FC" w14:textId="77777777" w:rsidR="00DC4352" w:rsidRPr="00B170DF" w:rsidRDefault="00543D0A" w:rsidP="00543D0A">
      <w:pPr>
        <w:pStyle w:val="001"/>
        <w:spacing w:before="163" w:after="163"/>
        <w:rPr>
          <w:szCs w:val="24"/>
        </w:rPr>
      </w:pPr>
      <w:bookmarkStart w:id="80" w:name="_Toc194169735"/>
      <w:r w:rsidRPr="00B170DF">
        <w:rPr>
          <w:rFonts w:hint="eastAsia"/>
          <w:color w:val="000000"/>
        </w:rPr>
        <w:lastRenderedPageBreak/>
        <w:t>第五节</w:t>
      </w:r>
      <w:r w:rsidRPr="00B170DF">
        <w:rPr>
          <w:rFonts w:hint="eastAsia"/>
          <w:color w:val="000000"/>
        </w:rPr>
        <w:t xml:space="preserve"> </w:t>
      </w:r>
      <w:r w:rsidRPr="00B170DF">
        <w:rPr>
          <w:rFonts w:hint="eastAsia"/>
          <w:color w:val="000000"/>
        </w:rPr>
        <w:t>与本次发行相关的董事会声明及承诺事项</w:t>
      </w:r>
      <w:bookmarkEnd w:id="80"/>
    </w:p>
    <w:p w14:paraId="0458D528" w14:textId="77777777" w:rsidR="00DC4352" w:rsidRPr="00B170DF" w:rsidRDefault="00DA0537" w:rsidP="00DA0537">
      <w:pPr>
        <w:keepNext/>
        <w:keepLines/>
        <w:widowControl/>
        <w:spacing w:before="163" w:after="163"/>
        <w:ind w:firstLineChars="0" w:firstLine="0"/>
        <w:outlineLvl w:val="1"/>
        <w:rPr>
          <w:rFonts w:eastAsia="黑体"/>
          <w:b/>
          <w:bCs/>
          <w:color w:val="000000"/>
          <w:sz w:val="28"/>
          <w:szCs w:val="28"/>
        </w:rPr>
      </w:pPr>
      <w:bookmarkStart w:id="81" w:name="_Toc194169736"/>
      <w:r w:rsidRPr="00B170DF">
        <w:rPr>
          <w:rFonts w:eastAsia="黑体" w:hint="eastAsia"/>
          <w:b/>
          <w:bCs/>
          <w:color w:val="000000"/>
          <w:sz w:val="28"/>
          <w:szCs w:val="28"/>
        </w:rPr>
        <w:t>一、董事会关于除本次发行</w:t>
      </w:r>
      <w:proofErr w:type="gramStart"/>
      <w:r w:rsidRPr="00B170DF">
        <w:rPr>
          <w:rFonts w:eastAsia="黑体" w:hint="eastAsia"/>
          <w:b/>
          <w:bCs/>
          <w:color w:val="000000"/>
          <w:sz w:val="28"/>
          <w:szCs w:val="28"/>
        </w:rPr>
        <w:t>外未来</w:t>
      </w:r>
      <w:proofErr w:type="gramEnd"/>
      <w:r w:rsidRPr="00B170DF">
        <w:rPr>
          <w:rFonts w:eastAsia="黑体" w:hint="eastAsia"/>
          <w:b/>
          <w:bCs/>
          <w:color w:val="000000"/>
          <w:sz w:val="28"/>
          <w:szCs w:val="28"/>
        </w:rPr>
        <w:t>十二个月内是否有其他股权融资计划的声明</w:t>
      </w:r>
      <w:bookmarkEnd w:id="81"/>
    </w:p>
    <w:p w14:paraId="5EF615B4" w14:textId="77777777" w:rsidR="00DC4352" w:rsidRPr="00B170DF" w:rsidRDefault="00DA0537" w:rsidP="00DA0537">
      <w:pPr>
        <w:spacing w:before="163" w:after="163"/>
        <w:ind w:firstLine="480"/>
        <w:rPr>
          <w:szCs w:val="24"/>
        </w:rPr>
      </w:pPr>
      <w:r w:rsidRPr="00B170DF">
        <w:rPr>
          <w:rFonts w:hint="eastAsia"/>
          <w:szCs w:val="24"/>
        </w:rPr>
        <w:t>除本次发行外，公司在未来十二个月内暂无其他股权融资计划。若未来公司根据业务发展需要及资产负债状况安排股权融资，将按照相关法律法规履行审议程序和信息披露义务。</w:t>
      </w:r>
    </w:p>
    <w:p w14:paraId="21AB80BF" w14:textId="77777777" w:rsidR="00DC4352" w:rsidRPr="00B170DF" w:rsidRDefault="00DA0537" w:rsidP="00DA0537">
      <w:pPr>
        <w:keepNext/>
        <w:keepLines/>
        <w:widowControl/>
        <w:spacing w:before="163" w:after="163"/>
        <w:ind w:firstLineChars="0" w:firstLine="0"/>
        <w:outlineLvl w:val="1"/>
        <w:rPr>
          <w:rFonts w:eastAsia="黑体"/>
          <w:b/>
          <w:bCs/>
          <w:color w:val="000000"/>
          <w:sz w:val="28"/>
          <w:szCs w:val="28"/>
        </w:rPr>
      </w:pPr>
      <w:bookmarkStart w:id="82" w:name="_Toc194169737"/>
      <w:r w:rsidRPr="00B170DF">
        <w:rPr>
          <w:rFonts w:eastAsia="黑体" w:hint="eastAsia"/>
          <w:b/>
          <w:bCs/>
          <w:color w:val="000000"/>
          <w:sz w:val="28"/>
          <w:szCs w:val="28"/>
        </w:rPr>
        <w:t>二、本次向特定对象发行摊薄即期回报对公司主要财务指标的影响测算</w:t>
      </w:r>
      <w:bookmarkEnd w:id="82"/>
    </w:p>
    <w:p w14:paraId="4B76D782" w14:textId="77777777" w:rsidR="00DA0537" w:rsidRPr="00B170DF" w:rsidRDefault="00DA0537" w:rsidP="00DA0537">
      <w:pPr>
        <w:keepNext/>
        <w:keepLines/>
        <w:widowControl/>
        <w:spacing w:before="163" w:after="163"/>
        <w:ind w:firstLineChars="0" w:firstLine="482"/>
        <w:jc w:val="left"/>
        <w:outlineLvl w:val="2"/>
        <w:rPr>
          <w:rFonts w:eastAsia="黑体"/>
          <w:b/>
          <w:bCs/>
          <w:szCs w:val="28"/>
        </w:rPr>
      </w:pPr>
      <w:r w:rsidRPr="00B170DF">
        <w:rPr>
          <w:rFonts w:eastAsia="黑体" w:hint="eastAsia"/>
          <w:b/>
          <w:bCs/>
          <w:szCs w:val="28"/>
        </w:rPr>
        <w:t>（一）测算的假设和前提</w:t>
      </w:r>
    </w:p>
    <w:p w14:paraId="293671F1" w14:textId="77777777" w:rsidR="00DA0537" w:rsidRPr="00B170DF" w:rsidRDefault="00DA0537" w:rsidP="00DA0537">
      <w:pPr>
        <w:spacing w:before="163" w:afterLines="0" w:after="0"/>
        <w:ind w:firstLine="480"/>
      </w:pPr>
      <w:r w:rsidRPr="00B170DF">
        <w:rPr>
          <w:rFonts w:hint="eastAsia"/>
        </w:rPr>
        <w:t>1</w:t>
      </w:r>
      <w:r w:rsidRPr="00B170DF">
        <w:rPr>
          <w:rFonts w:hint="eastAsia"/>
        </w:rPr>
        <w:t>、假设本次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于</w:t>
      </w:r>
      <w:r w:rsidRPr="00B170DF">
        <w:rPr>
          <w:rFonts w:hint="eastAsia"/>
        </w:rPr>
        <w:t>2025</w:t>
      </w:r>
      <w:r w:rsidRPr="00B170DF">
        <w:rPr>
          <w:rFonts w:hint="eastAsia"/>
        </w:rPr>
        <w:t>年</w:t>
      </w:r>
      <w:r w:rsidRPr="00B170DF">
        <w:rPr>
          <w:rFonts w:hint="eastAsia"/>
        </w:rPr>
        <w:t>12</w:t>
      </w:r>
      <w:r w:rsidRPr="00B170DF">
        <w:rPr>
          <w:rFonts w:hint="eastAsia"/>
        </w:rPr>
        <w:t>月底完成（该完成时间仅为假设用于测算相关数据，最终以经中国证监会同意注册后实际发行完成时间为准）；</w:t>
      </w:r>
    </w:p>
    <w:p w14:paraId="28BDEA9E" w14:textId="77777777" w:rsidR="00DA0537" w:rsidRPr="00B170DF" w:rsidRDefault="00DA0537" w:rsidP="00DA0537">
      <w:pPr>
        <w:spacing w:before="163" w:afterLines="0" w:after="0"/>
        <w:ind w:firstLine="480"/>
      </w:pPr>
      <w:r w:rsidRPr="00B170DF">
        <w:rPr>
          <w:rFonts w:hint="eastAsia"/>
        </w:rPr>
        <w:t>2</w:t>
      </w:r>
      <w:r w:rsidRPr="00B170DF">
        <w:rPr>
          <w:rFonts w:hint="eastAsia"/>
        </w:rPr>
        <w:t>、假设宏观经济环境、证券市场情况没有发生重大不利变化，公司经营环境、行业政策、主要成本价格等未发生重大不利变化；</w:t>
      </w:r>
    </w:p>
    <w:p w14:paraId="18DE6E7E" w14:textId="77777777" w:rsidR="00DA0537" w:rsidRPr="00B170DF" w:rsidRDefault="00DA0537" w:rsidP="00DA0537">
      <w:pPr>
        <w:spacing w:before="163" w:afterLines="0" w:after="0"/>
        <w:ind w:firstLine="480"/>
      </w:pPr>
      <w:r w:rsidRPr="00B170DF">
        <w:rPr>
          <w:rFonts w:hint="eastAsia"/>
        </w:rPr>
        <w:t>3</w:t>
      </w:r>
      <w:r w:rsidRPr="00B170DF">
        <w:rPr>
          <w:rFonts w:hint="eastAsia"/>
        </w:rPr>
        <w:t>、假设本次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数量为</w:t>
      </w:r>
      <w:r w:rsidRPr="00B170DF">
        <w:rPr>
          <w:rFonts w:hint="eastAsia"/>
        </w:rPr>
        <w:t>47,780,100</w:t>
      </w:r>
      <w:r w:rsidRPr="00B170DF">
        <w:rPr>
          <w:rFonts w:hint="eastAsia"/>
        </w:rPr>
        <w:t>股（最终发行的股份数量以经中国证监会同意注册后发行的股份数量为准）。此假设仅用于测算本次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对公司主要财务指标的影响，不代表公司对本次实际发行股份数的判断，最终应以实际发行股份数为准；</w:t>
      </w:r>
    </w:p>
    <w:p w14:paraId="28418901" w14:textId="77777777" w:rsidR="00DA0537" w:rsidRPr="00B170DF" w:rsidRDefault="00DA0537" w:rsidP="00DA0537">
      <w:pPr>
        <w:spacing w:before="163" w:afterLines="0" w:after="0"/>
        <w:ind w:firstLine="480"/>
      </w:pPr>
      <w:r w:rsidRPr="00B170DF">
        <w:rPr>
          <w:rFonts w:hint="eastAsia"/>
        </w:rPr>
        <w:t>4</w:t>
      </w:r>
      <w:r w:rsidRPr="00B170DF">
        <w:rPr>
          <w:rFonts w:hint="eastAsia"/>
        </w:rPr>
        <w:t>、不考虑发行费用，假设本次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募集资金总额为人民币</w:t>
      </w:r>
      <w:r w:rsidR="007A65BC" w:rsidRPr="00B170DF">
        <w:rPr>
          <w:rFonts w:hint="eastAsia"/>
        </w:rPr>
        <w:t>97,686.65</w:t>
      </w:r>
      <w:r w:rsidRPr="00B170DF">
        <w:rPr>
          <w:rFonts w:hint="eastAsia"/>
        </w:rPr>
        <w:t>万元；在预测公司总股本时，以本次发行股数为基础，仅考虑本次发行股份的影响，不考虑转增、回购、股份支付及其他因素导致股本发生的变化；</w:t>
      </w:r>
    </w:p>
    <w:p w14:paraId="7531ABCC" w14:textId="77777777" w:rsidR="00DA0537" w:rsidRPr="00B170DF" w:rsidRDefault="00DA0537" w:rsidP="00DA0537">
      <w:pPr>
        <w:spacing w:before="163" w:afterLines="0" w:after="0"/>
        <w:ind w:firstLine="480"/>
      </w:pPr>
      <w:r w:rsidRPr="00B170DF">
        <w:rPr>
          <w:rFonts w:hint="eastAsia"/>
        </w:rPr>
        <w:t>5</w:t>
      </w:r>
      <w:r w:rsidRPr="00B170DF">
        <w:rPr>
          <w:rFonts w:hint="eastAsia"/>
        </w:rPr>
        <w:t>、根据公司已披露的《福建广生堂药业股份有限公司</w:t>
      </w:r>
      <w:r w:rsidRPr="00B170DF">
        <w:rPr>
          <w:rFonts w:hint="eastAsia"/>
        </w:rPr>
        <w:t>2024</w:t>
      </w:r>
      <w:r w:rsidRPr="00B170DF">
        <w:rPr>
          <w:rFonts w:hint="eastAsia"/>
        </w:rPr>
        <w:t>年度业绩预告》，</w:t>
      </w:r>
      <w:r w:rsidRPr="00B170DF">
        <w:rPr>
          <w:rFonts w:hint="eastAsia"/>
        </w:rPr>
        <w:lastRenderedPageBreak/>
        <w:t>公司</w:t>
      </w:r>
      <w:r w:rsidRPr="00B170DF">
        <w:rPr>
          <w:rFonts w:hint="eastAsia"/>
        </w:rPr>
        <w:t>2024</w:t>
      </w:r>
      <w:r w:rsidRPr="00B170DF">
        <w:rPr>
          <w:rFonts w:hint="eastAsia"/>
        </w:rPr>
        <w:t>年预计归属于上市公司股东的净利润为</w:t>
      </w:r>
      <w:r w:rsidRPr="00B170DF">
        <w:rPr>
          <w:rFonts w:hint="eastAsia"/>
        </w:rPr>
        <w:t>-16,300</w:t>
      </w:r>
      <w:r w:rsidRPr="00B170DF">
        <w:rPr>
          <w:rFonts w:hint="eastAsia"/>
        </w:rPr>
        <w:t>万元至</w:t>
      </w:r>
      <w:r w:rsidRPr="00B170DF">
        <w:rPr>
          <w:rFonts w:hint="eastAsia"/>
        </w:rPr>
        <w:t>-12,500</w:t>
      </w:r>
      <w:r w:rsidRPr="00B170DF">
        <w:rPr>
          <w:rFonts w:hint="eastAsia"/>
        </w:rPr>
        <w:t>万元，扣除非经常性损益后的净利润为</w:t>
      </w:r>
      <w:r w:rsidRPr="00B170DF">
        <w:rPr>
          <w:rFonts w:hint="eastAsia"/>
        </w:rPr>
        <w:t>-19,500</w:t>
      </w:r>
      <w:r w:rsidRPr="00B170DF">
        <w:rPr>
          <w:rFonts w:hint="eastAsia"/>
        </w:rPr>
        <w:t>万元至</w:t>
      </w:r>
      <w:r w:rsidRPr="00B170DF">
        <w:rPr>
          <w:rFonts w:hint="eastAsia"/>
        </w:rPr>
        <w:t>-15,700</w:t>
      </w:r>
      <w:r w:rsidRPr="00B170DF">
        <w:rPr>
          <w:rFonts w:hint="eastAsia"/>
        </w:rPr>
        <w:t>万元，按平均值计算，假设公司</w:t>
      </w:r>
      <w:r w:rsidRPr="00B170DF">
        <w:rPr>
          <w:rFonts w:hint="eastAsia"/>
        </w:rPr>
        <w:t>2024</w:t>
      </w:r>
      <w:r w:rsidRPr="00B170DF">
        <w:rPr>
          <w:rFonts w:hint="eastAsia"/>
        </w:rPr>
        <w:t>年归属于母公司股东的净利润、扣除非经常性损益后归属于母公司的净利润分别为</w:t>
      </w:r>
      <w:r w:rsidRPr="00B170DF">
        <w:rPr>
          <w:rFonts w:hint="eastAsia"/>
        </w:rPr>
        <w:t>-14,400.00</w:t>
      </w:r>
      <w:r w:rsidRPr="00B170DF">
        <w:rPr>
          <w:rFonts w:hint="eastAsia"/>
        </w:rPr>
        <w:t>万元、</w:t>
      </w:r>
      <w:r w:rsidRPr="00B170DF">
        <w:t>-17,600.00</w:t>
      </w:r>
      <w:r w:rsidRPr="00B170DF">
        <w:rPr>
          <w:rFonts w:hint="eastAsia"/>
        </w:rPr>
        <w:t>万元；</w:t>
      </w:r>
    </w:p>
    <w:p w14:paraId="0D98B968" w14:textId="77777777" w:rsidR="00DA0537" w:rsidRPr="00B170DF" w:rsidRDefault="00DA0537" w:rsidP="00DA0537">
      <w:pPr>
        <w:spacing w:before="163" w:afterLines="0" w:after="0"/>
        <w:ind w:firstLine="480"/>
      </w:pPr>
      <w:r w:rsidRPr="00B170DF">
        <w:rPr>
          <w:rFonts w:hint="eastAsia"/>
        </w:rPr>
        <w:t>6</w:t>
      </w:r>
      <w:r w:rsidRPr="00B170DF">
        <w:rPr>
          <w:rFonts w:hint="eastAsia"/>
        </w:rPr>
        <w:t>、假设公司</w:t>
      </w:r>
      <w:r w:rsidRPr="00B170DF">
        <w:rPr>
          <w:rFonts w:hint="eastAsia"/>
        </w:rPr>
        <w:t>2025</w:t>
      </w:r>
      <w:r w:rsidRPr="00B170DF">
        <w:rPr>
          <w:rFonts w:hint="eastAsia"/>
        </w:rPr>
        <w:t>年归属于母公司股东的净利润及扣除非经常性损益后归属于母公司股东的净利润分别按以下三种情况进行测算：（</w:t>
      </w:r>
      <w:r w:rsidRPr="00B170DF">
        <w:rPr>
          <w:rFonts w:hint="eastAsia"/>
        </w:rPr>
        <w:t>1</w:t>
      </w:r>
      <w:r w:rsidRPr="00B170DF">
        <w:rPr>
          <w:rFonts w:hint="eastAsia"/>
        </w:rPr>
        <w:t>）与</w:t>
      </w:r>
      <w:r w:rsidRPr="00B170DF">
        <w:rPr>
          <w:rFonts w:hint="eastAsia"/>
        </w:rPr>
        <w:t>2024</w:t>
      </w:r>
      <w:r w:rsidRPr="00B170DF">
        <w:rPr>
          <w:rFonts w:hint="eastAsia"/>
        </w:rPr>
        <w:t>年财务数据相比增亏</w:t>
      </w:r>
      <w:r w:rsidRPr="00B170DF">
        <w:rPr>
          <w:rFonts w:hint="eastAsia"/>
        </w:rPr>
        <w:t>50%</w:t>
      </w:r>
      <w:r w:rsidRPr="00B170DF">
        <w:rPr>
          <w:rFonts w:hint="eastAsia"/>
        </w:rPr>
        <w:t>；（</w:t>
      </w:r>
      <w:r w:rsidRPr="00B170DF">
        <w:rPr>
          <w:rFonts w:hint="eastAsia"/>
        </w:rPr>
        <w:t>2</w:t>
      </w:r>
      <w:r w:rsidRPr="00B170DF">
        <w:rPr>
          <w:rFonts w:hint="eastAsia"/>
        </w:rPr>
        <w:t>）与</w:t>
      </w:r>
      <w:r w:rsidRPr="00B170DF">
        <w:rPr>
          <w:rFonts w:hint="eastAsia"/>
        </w:rPr>
        <w:t>2024</w:t>
      </w:r>
      <w:r w:rsidRPr="00B170DF">
        <w:rPr>
          <w:rFonts w:hint="eastAsia"/>
        </w:rPr>
        <w:t>年财务数据持平；（</w:t>
      </w:r>
      <w:r w:rsidRPr="00B170DF">
        <w:rPr>
          <w:rFonts w:hint="eastAsia"/>
        </w:rPr>
        <w:t>3</w:t>
      </w:r>
      <w:r w:rsidRPr="00B170DF">
        <w:rPr>
          <w:rFonts w:hint="eastAsia"/>
        </w:rPr>
        <w:t>）与</w:t>
      </w:r>
      <w:r w:rsidRPr="00B170DF">
        <w:rPr>
          <w:rFonts w:hint="eastAsia"/>
        </w:rPr>
        <w:t>2024</w:t>
      </w:r>
      <w:r w:rsidRPr="00B170DF">
        <w:rPr>
          <w:rFonts w:hint="eastAsia"/>
        </w:rPr>
        <w:t>年财务数据相比减亏</w:t>
      </w:r>
      <w:r w:rsidRPr="00B170DF">
        <w:rPr>
          <w:rFonts w:hint="eastAsia"/>
        </w:rPr>
        <w:t>50%</w:t>
      </w:r>
      <w:r w:rsidRPr="00B170DF">
        <w:rPr>
          <w:rFonts w:hint="eastAsia"/>
        </w:rPr>
        <w:t>；</w:t>
      </w:r>
    </w:p>
    <w:p w14:paraId="370D8DD8" w14:textId="77777777" w:rsidR="00DA0537" w:rsidRPr="00B170DF" w:rsidRDefault="00DA0537" w:rsidP="00DA0537">
      <w:pPr>
        <w:spacing w:before="163" w:afterLines="0" w:after="0"/>
        <w:ind w:firstLine="480"/>
      </w:pPr>
      <w:r w:rsidRPr="00B170DF">
        <w:rPr>
          <w:rFonts w:hint="eastAsia"/>
        </w:rPr>
        <w:t>7</w:t>
      </w:r>
      <w:r w:rsidRPr="00B170DF">
        <w:rPr>
          <w:rFonts w:hint="eastAsia"/>
        </w:rPr>
        <w:t>、测算时未考虑募集资金到账后，对公司生产经营、财务状况（如财务费用、投资收益）等的影响；</w:t>
      </w:r>
    </w:p>
    <w:p w14:paraId="1E0760C0" w14:textId="77777777" w:rsidR="00DA0537" w:rsidRPr="00B170DF" w:rsidRDefault="00DA0537" w:rsidP="00DA0537">
      <w:pPr>
        <w:spacing w:before="163" w:afterLines="0" w:after="0"/>
        <w:ind w:firstLine="480"/>
      </w:pPr>
      <w:r w:rsidRPr="00B170DF">
        <w:rPr>
          <w:rFonts w:hint="eastAsia"/>
        </w:rPr>
        <w:t>8</w:t>
      </w:r>
      <w:r w:rsidRPr="00B170DF">
        <w:rPr>
          <w:rFonts w:hint="eastAsia"/>
        </w:rPr>
        <w:t>、上述假设仅为测试本次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摊薄即期回报对公司主要财务指标的影响，不代表公司对</w:t>
      </w:r>
      <w:r w:rsidRPr="00B170DF">
        <w:rPr>
          <w:rFonts w:hint="eastAsia"/>
        </w:rPr>
        <w:t>2025</w:t>
      </w:r>
      <w:r w:rsidRPr="00B170DF">
        <w:rPr>
          <w:rFonts w:hint="eastAsia"/>
        </w:rPr>
        <w:t>年度的经营情况及趋势的判断，亦不构成盈利预测，投资者不应据此进行投资决策。</w:t>
      </w:r>
    </w:p>
    <w:p w14:paraId="1C1771F4" w14:textId="77777777" w:rsidR="00DA0537" w:rsidRPr="00B170DF" w:rsidRDefault="00DA0537" w:rsidP="00DA0537">
      <w:pPr>
        <w:keepNext/>
        <w:keepLines/>
        <w:widowControl/>
        <w:spacing w:before="163" w:after="163"/>
        <w:ind w:firstLineChars="0" w:firstLine="482"/>
        <w:jc w:val="left"/>
        <w:outlineLvl w:val="2"/>
        <w:rPr>
          <w:rFonts w:eastAsia="黑体"/>
          <w:b/>
          <w:bCs/>
          <w:szCs w:val="28"/>
        </w:rPr>
      </w:pPr>
      <w:r w:rsidRPr="00B170DF">
        <w:rPr>
          <w:rFonts w:eastAsia="黑体" w:hint="eastAsia"/>
          <w:b/>
          <w:bCs/>
          <w:szCs w:val="28"/>
        </w:rPr>
        <w:t>（二）对公司主要指标的影响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46"/>
        <w:gridCol w:w="1870"/>
        <w:gridCol w:w="1531"/>
        <w:gridCol w:w="1529"/>
      </w:tblGrid>
      <w:tr w:rsidR="00DA0537" w:rsidRPr="00B170DF" w14:paraId="37C42691" w14:textId="77777777" w:rsidTr="002D3E9E">
        <w:trPr>
          <w:trHeight w:val="468"/>
          <w:tblHeader/>
          <w:jc w:val="center"/>
        </w:trPr>
        <w:tc>
          <w:tcPr>
            <w:tcW w:w="2021" w:type="pct"/>
            <w:vMerge w:val="restart"/>
            <w:noWrap/>
            <w:vAlign w:val="center"/>
          </w:tcPr>
          <w:p w14:paraId="4A7B6D1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2"/>
              </w:rPr>
            </w:pPr>
            <w:r w:rsidRPr="00B170DF">
              <w:rPr>
                <w:b/>
                <w:bCs/>
                <w:color w:val="000000"/>
                <w:kern w:val="0"/>
                <w:sz w:val="22"/>
              </w:rPr>
              <w:t>项目</w:t>
            </w:r>
          </w:p>
        </w:tc>
        <w:tc>
          <w:tcPr>
            <w:tcW w:w="1130" w:type="pct"/>
            <w:vMerge w:val="restart"/>
            <w:vAlign w:val="center"/>
          </w:tcPr>
          <w:p w14:paraId="7C13ED5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r w:rsidRPr="00B170DF">
              <w:rPr>
                <w:b/>
                <w:bCs/>
                <w:color w:val="000000"/>
                <w:kern w:val="0"/>
                <w:sz w:val="21"/>
                <w:szCs w:val="21"/>
              </w:rPr>
              <w:t>202</w:t>
            </w:r>
            <w:r w:rsidRPr="00B170DF">
              <w:rPr>
                <w:rFonts w:hint="eastAsia"/>
                <w:b/>
                <w:bCs/>
                <w:color w:val="000000"/>
                <w:kern w:val="0"/>
                <w:sz w:val="21"/>
                <w:szCs w:val="21"/>
              </w:rPr>
              <w:t>4</w:t>
            </w:r>
            <w:r w:rsidRPr="00B170DF">
              <w:rPr>
                <w:b/>
                <w:bCs/>
                <w:color w:val="000000"/>
                <w:kern w:val="0"/>
                <w:sz w:val="21"/>
                <w:szCs w:val="21"/>
              </w:rPr>
              <w:t>年度</w:t>
            </w:r>
            <w:r w:rsidRPr="00B170DF">
              <w:rPr>
                <w:b/>
                <w:bCs/>
                <w:color w:val="000000"/>
                <w:kern w:val="0"/>
                <w:sz w:val="21"/>
                <w:szCs w:val="21"/>
              </w:rPr>
              <w:t>/</w:t>
            </w:r>
          </w:p>
          <w:p w14:paraId="2384ACA6"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r w:rsidRPr="00B170DF">
              <w:rPr>
                <w:b/>
                <w:bCs/>
                <w:color w:val="000000"/>
                <w:kern w:val="0"/>
                <w:sz w:val="21"/>
                <w:szCs w:val="21"/>
              </w:rPr>
              <w:t>202</w:t>
            </w:r>
            <w:r w:rsidRPr="00B170DF">
              <w:rPr>
                <w:rFonts w:hint="eastAsia"/>
                <w:b/>
                <w:bCs/>
                <w:color w:val="000000"/>
                <w:kern w:val="0"/>
                <w:sz w:val="21"/>
                <w:szCs w:val="21"/>
              </w:rPr>
              <w:t>4</w:t>
            </w:r>
            <w:r w:rsidRPr="00B170DF">
              <w:rPr>
                <w:b/>
                <w:bCs/>
                <w:color w:val="000000"/>
                <w:kern w:val="0"/>
                <w:sz w:val="21"/>
                <w:szCs w:val="21"/>
              </w:rPr>
              <w:t>年</w:t>
            </w:r>
            <w:r w:rsidRPr="00B170DF">
              <w:rPr>
                <w:b/>
                <w:bCs/>
                <w:color w:val="000000"/>
                <w:kern w:val="0"/>
                <w:sz w:val="21"/>
                <w:szCs w:val="21"/>
              </w:rPr>
              <w:t>12</w:t>
            </w:r>
            <w:r w:rsidRPr="00B170DF">
              <w:rPr>
                <w:b/>
                <w:bCs/>
                <w:color w:val="000000"/>
                <w:kern w:val="0"/>
                <w:sz w:val="21"/>
                <w:szCs w:val="21"/>
              </w:rPr>
              <w:t>月</w:t>
            </w:r>
            <w:r w:rsidRPr="00B170DF">
              <w:rPr>
                <w:b/>
                <w:bCs/>
                <w:color w:val="000000"/>
                <w:kern w:val="0"/>
                <w:sz w:val="21"/>
                <w:szCs w:val="21"/>
              </w:rPr>
              <w:t>31</w:t>
            </w:r>
            <w:r w:rsidRPr="00B170DF">
              <w:rPr>
                <w:b/>
                <w:bCs/>
                <w:color w:val="000000"/>
                <w:kern w:val="0"/>
                <w:sz w:val="21"/>
                <w:szCs w:val="21"/>
              </w:rPr>
              <w:t>日</w:t>
            </w:r>
          </w:p>
        </w:tc>
        <w:tc>
          <w:tcPr>
            <w:tcW w:w="1849" w:type="pct"/>
            <w:gridSpan w:val="2"/>
            <w:vAlign w:val="center"/>
          </w:tcPr>
          <w:p w14:paraId="33E01CF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r w:rsidRPr="00B170DF">
              <w:rPr>
                <w:b/>
                <w:bCs/>
                <w:color w:val="000000"/>
                <w:kern w:val="0"/>
                <w:sz w:val="21"/>
                <w:szCs w:val="21"/>
              </w:rPr>
              <w:t>202</w:t>
            </w:r>
            <w:r w:rsidRPr="00B170DF">
              <w:rPr>
                <w:rFonts w:hint="eastAsia"/>
                <w:b/>
                <w:bCs/>
                <w:color w:val="000000"/>
                <w:kern w:val="0"/>
                <w:sz w:val="21"/>
                <w:szCs w:val="21"/>
              </w:rPr>
              <w:t>5</w:t>
            </w:r>
            <w:r w:rsidRPr="00B170DF">
              <w:rPr>
                <w:b/>
                <w:bCs/>
                <w:color w:val="000000"/>
                <w:kern w:val="0"/>
                <w:sz w:val="21"/>
                <w:szCs w:val="21"/>
              </w:rPr>
              <w:t>年度</w:t>
            </w:r>
            <w:r w:rsidRPr="00B170DF">
              <w:rPr>
                <w:b/>
                <w:bCs/>
                <w:color w:val="000000"/>
                <w:kern w:val="0"/>
                <w:sz w:val="21"/>
                <w:szCs w:val="21"/>
              </w:rPr>
              <w:t>/202</w:t>
            </w:r>
            <w:r w:rsidRPr="00B170DF">
              <w:rPr>
                <w:rFonts w:hint="eastAsia"/>
                <w:b/>
                <w:bCs/>
                <w:color w:val="000000"/>
                <w:kern w:val="0"/>
                <w:sz w:val="21"/>
                <w:szCs w:val="21"/>
              </w:rPr>
              <w:t>5</w:t>
            </w:r>
            <w:r w:rsidRPr="00B170DF">
              <w:rPr>
                <w:b/>
                <w:bCs/>
                <w:color w:val="000000"/>
                <w:kern w:val="0"/>
                <w:sz w:val="21"/>
                <w:szCs w:val="21"/>
              </w:rPr>
              <w:t>年</w:t>
            </w:r>
            <w:r w:rsidRPr="00B170DF">
              <w:rPr>
                <w:b/>
                <w:bCs/>
                <w:color w:val="000000"/>
                <w:kern w:val="0"/>
                <w:sz w:val="21"/>
                <w:szCs w:val="21"/>
              </w:rPr>
              <w:t>12</w:t>
            </w:r>
            <w:r w:rsidRPr="00B170DF">
              <w:rPr>
                <w:b/>
                <w:bCs/>
                <w:color w:val="000000"/>
                <w:kern w:val="0"/>
                <w:sz w:val="21"/>
                <w:szCs w:val="21"/>
              </w:rPr>
              <w:t>月</w:t>
            </w:r>
            <w:r w:rsidRPr="00B170DF">
              <w:rPr>
                <w:b/>
                <w:bCs/>
                <w:color w:val="000000"/>
                <w:kern w:val="0"/>
                <w:sz w:val="21"/>
                <w:szCs w:val="21"/>
              </w:rPr>
              <w:t>31</w:t>
            </w:r>
            <w:r w:rsidRPr="00B170DF">
              <w:rPr>
                <w:b/>
                <w:bCs/>
                <w:color w:val="000000"/>
                <w:kern w:val="0"/>
                <w:sz w:val="21"/>
                <w:szCs w:val="21"/>
              </w:rPr>
              <w:t>日</w:t>
            </w:r>
          </w:p>
        </w:tc>
      </w:tr>
      <w:tr w:rsidR="00DA0537" w:rsidRPr="00B170DF" w14:paraId="7AB32DF5" w14:textId="77777777" w:rsidTr="002D3E9E">
        <w:trPr>
          <w:trHeight w:val="576"/>
          <w:tblHeader/>
          <w:jc w:val="center"/>
        </w:trPr>
        <w:tc>
          <w:tcPr>
            <w:tcW w:w="2021" w:type="pct"/>
            <w:vMerge/>
            <w:vAlign w:val="center"/>
          </w:tcPr>
          <w:p w14:paraId="7B0865A9"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b/>
                <w:bCs/>
                <w:color w:val="000000"/>
                <w:kern w:val="0"/>
                <w:sz w:val="22"/>
              </w:rPr>
            </w:pPr>
          </w:p>
        </w:tc>
        <w:tc>
          <w:tcPr>
            <w:tcW w:w="1130" w:type="pct"/>
            <w:vMerge/>
            <w:vAlign w:val="center"/>
          </w:tcPr>
          <w:p w14:paraId="0C30EE3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p>
        </w:tc>
        <w:tc>
          <w:tcPr>
            <w:tcW w:w="925" w:type="pct"/>
            <w:vAlign w:val="center"/>
          </w:tcPr>
          <w:p w14:paraId="4C2EB9E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r w:rsidRPr="00B170DF">
              <w:rPr>
                <w:rFonts w:hint="eastAsia"/>
                <w:b/>
                <w:bCs/>
                <w:color w:val="000000"/>
                <w:kern w:val="0"/>
                <w:sz w:val="21"/>
                <w:szCs w:val="21"/>
              </w:rPr>
              <w:t>本次发行前</w:t>
            </w:r>
          </w:p>
        </w:tc>
        <w:tc>
          <w:tcPr>
            <w:tcW w:w="924" w:type="pct"/>
            <w:vAlign w:val="center"/>
          </w:tcPr>
          <w:p w14:paraId="379F70B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center"/>
              <w:rPr>
                <w:b/>
                <w:bCs/>
                <w:color w:val="000000"/>
                <w:kern w:val="0"/>
                <w:sz w:val="21"/>
                <w:szCs w:val="21"/>
              </w:rPr>
            </w:pPr>
            <w:r w:rsidRPr="00B170DF">
              <w:rPr>
                <w:rFonts w:hint="eastAsia"/>
                <w:b/>
                <w:bCs/>
                <w:color w:val="000000"/>
                <w:kern w:val="0"/>
                <w:sz w:val="21"/>
                <w:szCs w:val="21"/>
              </w:rPr>
              <w:t>本次发行后</w:t>
            </w:r>
          </w:p>
        </w:tc>
      </w:tr>
      <w:tr w:rsidR="00DA0537" w:rsidRPr="00B170DF" w14:paraId="20705B19" w14:textId="77777777" w:rsidTr="002D3E9E">
        <w:trPr>
          <w:trHeight w:val="480"/>
          <w:jc w:val="center"/>
        </w:trPr>
        <w:tc>
          <w:tcPr>
            <w:tcW w:w="2021" w:type="pct"/>
            <w:vAlign w:val="center"/>
          </w:tcPr>
          <w:p w14:paraId="46F7134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rFonts w:hint="eastAsia"/>
                <w:color w:val="000000"/>
                <w:kern w:val="0"/>
                <w:sz w:val="22"/>
              </w:rPr>
              <w:t>期末</w:t>
            </w:r>
            <w:r w:rsidRPr="00B170DF">
              <w:rPr>
                <w:color w:val="000000"/>
                <w:kern w:val="0"/>
                <w:sz w:val="22"/>
              </w:rPr>
              <w:t>总股本（万股）</w:t>
            </w:r>
          </w:p>
        </w:tc>
        <w:tc>
          <w:tcPr>
            <w:tcW w:w="1130" w:type="pct"/>
            <w:noWrap/>
            <w:vAlign w:val="center"/>
          </w:tcPr>
          <w:p w14:paraId="0FAB6DA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hint="eastAsia"/>
                <w:color w:val="000000"/>
                <w:kern w:val="0"/>
                <w:sz w:val="21"/>
                <w:szCs w:val="21"/>
              </w:rPr>
              <w:t>15,926.70</w:t>
            </w:r>
          </w:p>
        </w:tc>
        <w:tc>
          <w:tcPr>
            <w:tcW w:w="925" w:type="pct"/>
            <w:noWrap/>
            <w:vAlign w:val="center"/>
          </w:tcPr>
          <w:p w14:paraId="3E995D0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hint="eastAsia"/>
                <w:color w:val="000000"/>
                <w:kern w:val="0"/>
                <w:sz w:val="21"/>
                <w:szCs w:val="21"/>
              </w:rPr>
              <w:t>15,926.70</w:t>
            </w:r>
          </w:p>
        </w:tc>
        <w:tc>
          <w:tcPr>
            <w:tcW w:w="924" w:type="pct"/>
            <w:noWrap/>
            <w:vAlign w:val="center"/>
          </w:tcPr>
          <w:p w14:paraId="1C91CCF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color w:val="000000"/>
                <w:kern w:val="0"/>
                <w:sz w:val="21"/>
                <w:szCs w:val="21"/>
              </w:rPr>
              <w:t>20,704.71</w:t>
            </w:r>
          </w:p>
        </w:tc>
      </w:tr>
      <w:tr w:rsidR="00DA0537" w:rsidRPr="00B170DF" w14:paraId="34FA73C1" w14:textId="77777777" w:rsidTr="002D3E9E">
        <w:trPr>
          <w:trHeight w:val="576"/>
          <w:jc w:val="center"/>
        </w:trPr>
        <w:tc>
          <w:tcPr>
            <w:tcW w:w="5000" w:type="pct"/>
            <w:gridSpan w:val="4"/>
            <w:vAlign w:val="center"/>
          </w:tcPr>
          <w:p w14:paraId="1163993D" w14:textId="77777777" w:rsidR="00DA0537" w:rsidRPr="00B170DF" w:rsidRDefault="00DA0537" w:rsidP="00DA0537">
            <w:pPr>
              <w:widowControl/>
              <w:adjustRightInd w:val="0"/>
              <w:snapToGrid w:val="0"/>
              <w:spacing w:beforeLines="0" w:before="0" w:afterLines="0" w:after="0" w:line="240" w:lineRule="auto"/>
              <w:ind w:firstLineChars="0" w:firstLine="0"/>
              <w:contextualSpacing/>
              <w:rPr>
                <w:b/>
                <w:bCs/>
                <w:color w:val="000000"/>
                <w:kern w:val="0"/>
                <w:sz w:val="22"/>
              </w:rPr>
            </w:pPr>
            <w:r w:rsidRPr="00B170DF">
              <w:rPr>
                <w:rFonts w:hint="eastAsia"/>
                <w:b/>
                <w:bCs/>
                <w:color w:val="000000"/>
                <w:kern w:val="0"/>
                <w:sz w:val="22"/>
              </w:rPr>
              <w:t>情形</w:t>
            </w:r>
            <w:r w:rsidRPr="00B170DF">
              <w:rPr>
                <w:rFonts w:hint="eastAsia"/>
                <w:b/>
                <w:bCs/>
                <w:color w:val="000000"/>
                <w:kern w:val="0"/>
                <w:sz w:val="22"/>
              </w:rPr>
              <w:t>1</w:t>
            </w:r>
            <w:r w:rsidRPr="00B170DF">
              <w:rPr>
                <w:rFonts w:hint="eastAsia"/>
                <w:b/>
                <w:bCs/>
                <w:color w:val="000000"/>
                <w:kern w:val="0"/>
                <w:sz w:val="22"/>
              </w:rPr>
              <w:t>：</w:t>
            </w:r>
            <w:r w:rsidRPr="00B170DF">
              <w:rPr>
                <w:rFonts w:hint="eastAsia"/>
                <w:b/>
                <w:bCs/>
                <w:color w:val="000000"/>
                <w:kern w:val="0"/>
                <w:sz w:val="22"/>
              </w:rPr>
              <w:t>2025</w:t>
            </w:r>
            <w:r w:rsidRPr="00B170DF">
              <w:rPr>
                <w:rFonts w:hint="eastAsia"/>
                <w:b/>
                <w:bCs/>
                <w:color w:val="000000"/>
                <w:kern w:val="0"/>
                <w:sz w:val="22"/>
              </w:rPr>
              <w:t>年实现的归属于母公司股东的净利润和扣除非经常性损益后归属于母公司股东的净利润较</w:t>
            </w:r>
            <w:r w:rsidRPr="00B170DF">
              <w:rPr>
                <w:rFonts w:hint="eastAsia"/>
                <w:b/>
                <w:bCs/>
                <w:color w:val="000000"/>
                <w:kern w:val="0"/>
                <w:sz w:val="22"/>
              </w:rPr>
              <w:t>2024</w:t>
            </w:r>
            <w:r w:rsidRPr="00B170DF">
              <w:rPr>
                <w:rFonts w:hint="eastAsia"/>
                <w:b/>
                <w:bCs/>
                <w:color w:val="000000"/>
                <w:kern w:val="0"/>
                <w:sz w:val="22"/>
              </w:rPr>
              <w:t>年度增亏</w:t>
            </w:r>
            <w:r w:rsidRPr="00B170DF">
              <w:rPr>
                <w:rFonts w:hint="eastAsia"/>
                <w:b/>
                <w:bCs/>
                <w:color w:val="000000"/>
                <w:kern w:val="0"/>
                <w:sz w:val="22"/>
              </w:rPr>
              <w:t>50%</w:t>
            </w:r>
          </w:p>
        </w:tc>
      </w:tr>
      <w:tr w:rsidR="00DA0537" w:rsidRPr="00B170DF" w14:paraId="68B9EFF6" w14:textId="77777777" w:rsidTr="00DA0537">
        <w:trPr>
          <w:trHeight w:val="576"/>
          <w:jc w:val="center"/>
        </w:trPr>
        <w:tc>
          <w:tcPr>
            <w:tcW w:w="2021" w:type="pct"/>
            <w:vAlign w:val="center"/>
          </w:tcPr>
          <w:p w14:paraId="07378E9B"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归属于母公司股东的净利润（万元）</w:t>
            </w:r>
          </w:p>
        </w:tc>
        <w:tc>
          <w:tcPr>
            <w:tcW w:w="1130" w:type="pct"/>
            <w:vAlign w:val="center"/>
          </w:tcPr>
          <w:p w14:paraId="79667B7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-14,400.00 </w:t>
            </w:r>
          </w:p>
        </w:tc>
        <w:tc>
          <w:tcPr>
            <w:tcW w:w="925" w:type="pct"/>
            <w:noWrap/>
            <w:vAlign w:val="center"/>
          </w:tcPr>
          <w:p w14:paraId="6B9B760B"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-21,600.00 </w:t>
            </w:r>
          </w:p>
        </w:tc>
        <w:tc>
          <w:tcPr>
            <w:tcW w:w="924" w:type="pct"/>
            <w:noWrap/>
            <w:vAlign w:val="center"/>
          </w:tcPr>
          <w:p w14:paraId="460C80E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-21,600.00 </w:t>
            </w:r>
          </w:p>
        </w:tc>
      </w:tr>
      <w:tr w:rsidR="00DA0537" w:rsidRPr="00B170DF" w14:paraId="21C99D57" w14:textId="77777777" w:rsidTr="00DA0537">
        <w:trPr>
          <w:trHeight w:val="480"/>
          <w:jc w:val="center"/>
        </w:trPr>
        <w:tc>
          <w:tcPr>
            <w:tcW w:w="2021" w:type="pct"/>
            <w:vAlign w:val="center"/>
          </w:tcPr>
          <w:p w14:paraId="4037AC99"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基本每股收益（元</w:t>
            </w:r>
            <w:r w:rsidRPr="00B170DF">
              <w:rPr>
                <w:color w:val="000000"/>
                <w:kern w:val="0"/>
                <w:sz w:val="22"/>
              </w:rPr>
              <w:t>/</w:t>
            </w:r>
            <w:r w:rsidRPr="00B170DF">
              <w:rPr>
                <w:color w:val="000000"/>
                <w:kern w:val="0"/>
                <w:sz w:val="22"/>
              </w:rPr>
              <w:t>股）</w:t>
            </w:r>
          </w:p>
        </w:tc>
        <w:tc>
          <w:tcPr>
            <w:tcW w:w="1130" w:type="pct"/>
            <w:vAlign w:val="center"/>
          </w:tcPr>
          <w:p w14:paraId="32E5499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vAlign w:val="center"/>
          </w:tcPr>
          <w:p w14:paraId="21440D4E"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-1.36 </w:t>
            </w:r>
          </w:p>
        </w:tc>
        <w:tc>
          <w:tcPr>
            <w:tcW w:w="924" w:type="pct"/>
            <w:vAlign w:val="center"/>
          </w:tcPr>
          <w:p w14:paraId="4ABF23B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-1.18 </w:t>
            </w:r>
          </w:p>
        </w:tc>
      </w:tr>
      <w:tr w:rsidR="00DA0537" w:rsidRPr="00B170DF" w14:paraId="336AE6EB" w14:textId="77777777" w:rsidTr="00DA0537">
        <w:trPr>
          <w:trHeight w:val="576"/>
          <w:jc w:val="center"/>
        </w:trPr>
        <w:tc>
          <w:tcPr>
            <w:tcW w:w="2021" w:type="pct"/>
            <w:vAlign w:val="center"/>
          </w:tcPr>
          <w:p w14:paraId="4EA5CA2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稀释每股收益（元</w:t>
            </w:r>
            <w:r w:rsidRPr="00B170DF">
              <w:rPr>
                <w:color w:val="000000"/>
                <w:kern w:val="0"/>
                <w:sz w:val="22"/>
              </w:rPr>
              <w:t>/</w:t>
            </w:r>
            <w:r w:rsidRPr="00B170DF">
              <w:rPr>
                <w:color w:val="000000"/>
                <w:kern w:val="0"/>
                <w:sz w:val="22"/>
              </w:rPr>
              <w:t>股）</w:t>
            </w:r>
          </w:p>
        </w:tc>
        <w:tc>
          <w:tcPr>
            <w:tcW w:w="1130" w:type="pct"/>
            <w:vAlign w:val="center"/>
          </w:tcPr>
          <w:p w14:paraId="49481E5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vAlign w:val="center"/>
          </w:tcPr>
          <w:p w14:paraId="6EBFEA7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-1.36 </w:t>
            </w:r>
          </w:p>
        </w:tc>
        <w:tc>
          <w:tcPr>
            <w:tcW w:w="924" w:type="pct"/>
            <w:vAlign w:val="center"/>
          </w:tcPr>
          <w:p w14:paraId="53926CF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-1.18 </w:t>
            </w:r>
          </w:p>
        </w:tc>
      </w:tr>
      <w:tr w:rsidR="00DA0537" w:rsidRPr="00B170DF" w14:paraId="637D436A" w14:textId="77777777" w:rsidTr="00DA0537">
        <w:trPr>
          <w:trHeight w:val="576"/>
          <w:jc w:val="center"/>
        </w:trPr>
        <w:tc>
          <w:tcPr>
            <w:tcW w:w="2021" w:type="pct"/>
            <w:vAlign w:val="center"/>
          </w:tcPr>
          <w:p w14:paraId="27299F23"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扣除非经常性损益后归属于母公司股东的净利润（万元）</w:t>
            </w:r>
          </w:p>
        </w:tc>
        <w:tc>
          <w:tcPr>
            <w:tcW w:w="1130" w:type="pct"/>
            <w:vAlign w:val="center"/>
          </w:tcPr>
          <w:p w14:paraId="02CACC6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-17,600.00 </w:t>
            </w:r>
          </w:p>
        </w:tc>
        <w:tc>
          <w:tcPr>
            <w:tcW w:w="925" w:type="pct"/>
            <w:vAlign w:val="center"/>
          </w:tcPr>
          <w:p w14:paraId="3911026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Cs/>
                <w:color w:val="000000"/>
                <w:kern w:val="0"/>
                <w:sz w:val="21"/>
                <w:szCs w:val="21"/>
              </w:rPr>
            </w:pPr>
            <w:r w:rsidRPr="00B170DF">
              <w:rPr>
                <w:rFonts w:cs="Arial"/>
                <w:bCs/>
                <w:sz w:val="21"/>
                <w:szCs w:val="21"/>
              </w:rPr>
              <w:t xml:space="preserve">-26,400.00 </w:t>
            </w:r>
          </w:p>
        </w:tc>
        <w:tc>
          <w:tcPr>
            <w:tcW w:w="924" w:type="pct"/>
            <w:vAlign w:val="center"/>
          </w:tcPr>
          <w:p w14:paraId="5C95377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Cs/>
                <w:color w:val="000000"/>
                <w:kern w:val="0"/>
                <w:sz w:val="21"/>
                <w:szCs w:val="21"/>
              </w:rPr>
            </w:pPr>
            <w:r w:rsidRPr="00B170DF">
              <w:rPr>
                <w:rFonts w:cs="Arial"/>
                <w:bCs/>
                <w:sz w:val="21"/>
                <w:szCs w:val="21"/>
              </w:rPr>
              <w:t xml:space="preserve">-26,400.00 </w:t>
            </w:r>
          </w:p>
        </w:tc>
      </w:tr>
      <w:tr w:rsidR="00DA0537" w:rsidRPr="00B170DF" w14:paraId="789191D7" w14:textId="77777777" w:rsidTr="00DA0537">
        <w:trPr>
          <w:trHeight w:val="480"/>
          <w:jc w:val="center"/>
        </w:trPr>
        <w:tc>
          <w:tcPr>
            <w:tcW w:w="2021" w:type="pct"/>
            <w:vAlign w:val="center"/>
          </w:tcPr>
          <w:p w14:paraId="57903763"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扣除非经常性损益后基本每股收益（元</w:t>
            </w:r>
            <w:r w:rsidRPr="00B170DF">
              <w:rPr>
                <w:color w:val="000000"/>
                <w:kern w:val="0"/>
                <w:sz w:val="22"/>
              </w:rPr>
              <w:t>/</w:t>
            </w:r>
            <w:r w:rsidRPr="00B170DF">
              <w:rPr>
                <w:color w:val="000000"/>
                <w:kern w:val="0"/>
                <w:sz w:val="22"/>
              </w:rPr>
              <w:t>股）</w:t>
            </w:r>
          </w:p>
        </w:tc>
        <w:tc>
          <w:tcPr>
            <w:tcW w:w="1130" w:type="pct"/>
            <w:noWrap/>
            <w:vAlign w:val="center"/>
          </w:tcPr>
          <w:p w14:paraId="52A9B0C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noWrap/>
            <w:vAlign w:val="center"/>
          </w:tcPr>
          <w:p w14:paraId="52F06829"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-1.66 </w:t>
            </w:r>
          </w:p>
        </w:tc>
        <w:tc>
          <w:tcPr>
            <w:tcW w:w="924" w:type="pct"/>
            <w:noWrap/>
            <w:vAlign w:val="center"/>
          </w:tcPr>
          <w:p w14:paraId="6BD8D5DE"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-1.44 </w:t>
            </w:r>
          </w:p>
        </w:tc>
      </w:tr>
      <w:tr w:rsidR="00DA0537" w:rsidRPr="00B170DF" w14:paraId="06CF2016" w14:textId="77777777" w:rsidTr="00DA0537">
        <w:trPr>
          <w:trHeight w:val="576"/>
          <w:jc w:val="center"/>
        </w:trPr>
        <w:tc>
          <w:tcPr>
            <w:tcW w:w="2021" w:type="pct"/>
            <w:vAlign w:val="center"/>
          </w:tcPr>
          <w:p w14:paraId="0394F06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扣除非经常性损益后稀释每股收益（元</w:t>
            </w:r>
            <w:r w:rsidRPr="00B170DF">
              <w:rPr>
                <w:color w:val="000000"/>
                <w:kern w:val="0"/>
                <w:sz w:val="22"/>
              </w:rPr>
              <w:t>/</w:t>
            </w:r>
            <w:r w:rsidRPr="00B170DF">
              <w:rPr>
                <w:color w:val="000000"/>
                <w:kern w:val="0"/>
                <w:sz w:val="22"/>
              </w:rPr>
              <w:t>股</w:t>
            </w:r>
            <w:r w:rsidRPr="00B170DF">
              <w:rPr>
                <w:color w:val="000000"/>
                <w:kern w:val="0"/>
                <w:sz w:val="22"/>
              </w:rPr>
              <w:t>)</w:t>
            </w:r>
          </w:p>
        </w:tc>
        <w:tc>
          <w:tcPr>
            <w:tcW w:w="1130" w:type="pct"/>
            <w:noWrap/>
            <w:vAlign w:val="center"/>
          </w:tcPr>
          <w:p w14:paraId="03D7464F"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noWrap/>
            <w:vAlign w:val="center"/>
          </w:tcPr>
          <w:p w14:paraId="74B10296"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-1.66 </w:t>
            </w:r>
          </w:p>
        </w:tc>
        <w:tc>
          <w:tcPr>
            <w:tcW w:w="924" w:type="pct"/>
            <w:noWrap/>
            <w:vAlign w:val="center"/>
          </w:tcPr>
          <w:p w14:paraId="45BD360B"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-1.44 </w:t>
            </w:r>
          </w:p>
        </w:tc>
      </w:tr>
      <w:tr w:rsidR="00DA0537" w:rsidRPr="00B170DF" w14:paraId="7464609D" w14:textId="77777777" w:rsidTr="002D3E9E">
        <w:trPr>
          <w:trHeight w:val="480"/>
          <w:jc w:val="center"/>
        </w:trPr>
        <w:tc>
          <w:tcPr>
            <w:tcW w:w="5000" w:type="pct"/>
            <w:gridSpan w:val="4"/>
            <w:vAlign w:val="center"/>
          </w:tcPr>
          <w:p w14:paraId="530EA889" w14:textId="77777777" w:rsidR="00DA0537" w:rsidRPr="00B170DF" w:rsidRDefault="00DA0537" w:rsidP="00DA0537">
            <w:pPr>
              <w:widowControl/>
              <w:adjustRightInd w:val="0"/>
              <w:snapToGrid w:val="0"/>
              <w:spacing w:beforeLines="0" w:before="0" w:afterLines="0" w:after="0" w:line="240" w:lineRule="auto"/>
              <w:ind w:firstLineChars="0" w:firstLine="0"/>
              <w:contextualSpacing/>
              <w:rPr>
                <w:b/>
                <w:bCs/>
                <w:color w:val="000000"/>
                <w:kern w:val="0"/>
                <w:sz w:val="21"/>
                <w:szCs w:val="21"/>
              </w:rPr>
            </w:pPr>
            <w:r w:rsidRPr="00B170DF">
              <w:rPr>
                <w:rFonts w:hint="eastAsia"/>
                <w:b/>
                <w:bCs/>
                <w:color w:val="000000"/>
                <w:kern w:val="0"/>
                <w:sz w:val="22"/>
              </w:rPr>
              <w:t>情形</w:t>
            </w:r>
            <w:r w:rsidRPr="00B170DF">
              <w:rPr>
                <w:rFonts w:hint="eastAsia"/>
                <w:b/>
                <w:bCs/>
                <w:color w:val="000000"/>
                <w:kern w:val="0"/>
                <w:sz w:val="22"/>
              </w:rPr>
              <w:t>2</w:t>
            </w:r>
            <w:r w:rsidRPr="00B170DF">
              <w:rPr>
                <w:rFonts w:hint="eastAsia"/>
                <w:b/>
                <w:bCs/>
                <w:color w:val="000000"/>
                <w:kern w:val="0"/>
                <w:sz w:val="22"/>
              </w:rPr>
              <w:t>：</w:t>
            </w:r>
            <w:r w:rsidRPr="00B170DF">
              <w:rPr>
                <w:rFonts w:hint="eastAsia"/>
                <w:b/>
                <w:bCs/>
                <w:color w:val="000000"/>
                <w:kern w:val="0"/>
                <w:sz w:val="22"/>
              </w:rPr>
              <w:t>2025</w:t>
            </w:r>
            <w:r w:rsidRPr="00B170DF">
              <w:rPr>
                <w:rFonts w:hint="eastAsia"/>
                <w:b/>
                <w:bCs/>
                <w:color w:val="000000"/>
                <w:kern w:val="0"/>
                <w:sz w:val="22"/>
              </w:rPr>
              <w:t>年实现的归属于母公司股东的净利润和扣除非经常性损益后归属于母公司股东的净利润较</w:t>
            </w:r>
            <w:r w:rsidRPr="00B170DF">
              <w:rPr>
                <w:rFonts w:hint="eastAsia"/>
                <w:b/>
                <w:bCs/>
                <w:color w:val="000000"/>
                <w:kern w:val="0"/>
                <w:sz w:val="22"/>
              </w:rPr>
              <w:t>2024</w:t>
            </w:r>
            <w:r w:rsidRPr="00B170DF">
              <w:rPr>
                <w:rFonts w:hint="eastAsia"/>
                <w:b/>
                <w:bCs/>
                <w:color w:val="000000"/>
                <w:kern w:val="0"/>
                <w:sz w:val="22"/>
              </w:rPr>
              <w:t>年度持平</w:t>
            </w:r>
          </w:p>
        </w:tc>
      </w:tr>
      <w:tr w:rsidR="00DA0537" w:rsidRPr="00B170DF" w14:paraId="56919986" w14:textId="77777777" w:rsidTr="00DA0537">
        <w:trPr>
          <w:trHeight w:val="480"/>
          <w:jc w:val="center"/>
        </w:trPr>
        <w:tc>
          <w:tcPr>
            <w:tcW w:w="2021" w:type="pct"/>
            <w:vAlign w:val="center"/>
          </w:tcPr>
          <w:p w14:paraId="49DB66DD"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lastRenderedPageBreak/>
              <w:t>归属于母公司股东的净利润（万元）</w:t>
            </w:r>
          </w:p>
        </w:tc>
        <w:tc>
          <w:tcPr>
            <w:tcW w:w="1130" w:type="pct"/>
            <w:noWrap/>
            <w:vAlign w:val="center"/>
          </w:tcPr>
          <w:p w14:paraId="010601A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-14,400.00 </w:t>
            </w:r>
          </w:p>
        </w:tc>
        <w:tc>
          <w:tcPr>
            <w:tcW w:w="925" w:type="pct"/>
            <w:noWrap/>
            <w:vAlign w:val="center"/>
          </w:tcPr>
          <w:p w14:paraId="5E79530E"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-14,400.00 </w:t>
            </w:r>
          </w:p>
        </w:tc>
        <w:tc>
          <w:tcPr>
            <w:tcW w:w="924" w:type="pct"/>
            <w:noWrap/>
            <w:vAlign w:val="center"/>
          </w:tcPr>
          <w:p w14:paraId="6F742A8F"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-14,400.00 </w:t>
            </w:r>
          </w:p>
        </w:tc>
      </w:tr>
      <w:tr w:rsidR="00DA0537" w:rsidRPr="00B170DF" w14:paraId="3F1B769B" w14:textId="77777777" w:rsidTr="00DA0537">
        <w:trPr>
          <w:trHeight w:val="576"/>
          <w:jc w:val="center"/>
        </w:trPr>
        <w:tc>
          <w:tcPr>
            <w:tcW w:w="2021" w:type="pct"/>
            <w:vAlign w:val="center"/>
          </w:tcPr>
          <w:p w14:paraId="2ABB80F9"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基本每股收益（元</w:t>
            </w:r>
            <w:r w:rsidRPr="00B170DF">
              <w:rPr>
                <w:color w:val="000000"/>
                <w:kern w:val="0"/>
                <w:sz w:val="22"/>
              </w:rPr>
              <w:t>/</w:t>
            </w:r>
            <w:r w:rsidRPr="00B170DF">
              <w:rPr>
                <w:color w:val="000000"/>
                <w:kern w:val="0"/>
                <w:sz w:val="22"/>
              </w:rPr>
              <w:t>股）</w:t>
            </w:r>
          </w:p>
        </w:tc>
        <w:tc>
          <w:tcPr>
            <w:tcW w:w="1130" w:type="pct"/>
            <w:noWrap/>
            <w:vAlign w:val="center"/>
          </w:tcPr>
          <w:p w14:paraId="764F9B6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noWrap/>
            <w:vAlign w:val="center"/>
          </w:tcPr>
          <w:p w14:paraId="6708F10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4" w:type="pct"/>
            <w:noWrap/>
            <w:vAlign w:val="center"/>
          </w:tcPr>
          <w:p w14:paraId="5D130E6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-0.79 </w:t>
            </w:r>
          </w:p>
        </w:tc>
      </w:tr>
      <w:tr w:rsidR="00DA0537" w:rsidRPr="00B170DF" w14:paraId="011F1C9D" w14:textId="77777777" w:rsidTr="00DA0537">
        <w:trPr>
          <w:trHeight w:val="576"/>
          <w:jc w:val="center"/>
        </w:trPr>
        <w:tc>
          <w:tcPr>
            <w:tcW w:w="2021" w:type="pct"/>
            <w:vAlign w:val="center"/>
          </w:tcPr>
          <w:p w14:paraId="1BA1EA3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稀释每股收益（元</w:t>
            </w:r>
            <w:r w:rsidRPr="00B170DF">
              <w:rPr>
                <w:color w:val="000000"/>
                <w:kern w:val="0"/>
                <w:sz w:val="22"/>
              </w:rPr>
              <w:t>/</w:t>
            </w:r>
            <w:r w:rsidRPr="00B170DF">
              <w:rPr>
                <w:color w:val="000000"/>
                <w:kern w:val="0"/>
                <w:sz w:val="22"/>
              </w:rPr>
              <w:t>股）</w:t>
            </w:r>
          </w:p>
        </w:tc>
        <w:tc>
          <w:tcPr>
            <w:tcW w:w="1130" w:type="pct"/>
            <w:vAlign w:val="center"/>
          </w:tcPr>
          <w:p w14:paraId="2DA2BB3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noWrap/>
            <w:vAlign w:val="center"/>
          </w:tcPr>
          <w:p w14:paraId="56F3E24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4" w:type="pct"/>
            <w:noWrap/>
            <w:vAlign w:val="center"/>
          </w:tcPr>
          <w:p w14:paraId="653D70D9"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-0.79 </w:t>
            </w:r>
          </w:p>
        </w:tc>
      </w:tr>
      <w:tr w:rsidR="00DA0537" w:rsidRPr="00B170DF" w14:paraId="144FF50F" w14:textId="77777777" w:rsidTr="00DA0537">
        <w:trPr>
          <w:trHeight w:val="576"/>
          <w:jc w:val="center"/>
        </w:trPr>
        <w:tc>
          <w:tcPr>
            <w:tcW w:w="2021" w:type="pct"/>
            <w:vAlign w:val="center"/>
          </w:tcPr>
          <w:p w14:paraId="2199561B"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扣除非经常性损益后归属于母公司股东的净利润（万元）</w:t>
            </w:r>
          </w:p>
        </w:tc>
        <w:tc>
          <w:tcPr>
            <w:tcW w:w="1130" w:type="pct"/>
            <w:vAlign w:val="center"/>
          </w:tcPr>
          <w:p w14:paraId="1288FD9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-17,600.00 </w:t>
            </w:r>
          </w:p>
        </w:tc>
        <w:tc>
          <w:tcPr>
            <w:tcW w:w="925" w:type="pct"/>
            <w:vAlign w:val="center"/>
          </w:tcPr>
          <w:p w14:paraId="2C75362D"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-17,600.00 </w:t>
            </w:r>
          </w:p>
        </w:tc>
        <w:tc>
          <w:tcPr>
            <w:tcW w:w="924" w:type="pct"/>
            <w:vAlign w:val="center"/>
          </w:tcPr>
          <w:p w14:paraId="27AC33E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-17,600.00 </w:t>
            </w:r>
          </w:p>
        </w:tc>
      </w:tr>
      <w:tr w:rsidR="00DA0537" w:rsidRPr="00B170DF" w14:paraId="7D7F3946" w14:textId="77777777" w:rsidTr="00DA0537">
        <w:trPr>
          <w:trHeight w:val="480"/>
          <w:jc w:val="center"/>
        </w:trPr>
        <w:tc>
          <w:tcPr>
            <w:tcW w:w="2021" w:type="pct"/>
            <w:vAlign w:val="center"/>
          </w:tcPr>
          <w:p w14:paraId="5A78EAE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扣除非经常性损益后基本每股收益（元</w:t>
            </w:r>
            <w:r w:rsidRPr="00B170DF">
              <w:rPr>
                <w:color w:val="000000"/>
                <w:kern w:val="0"/>
                <w:sz w:val="22"/>
              </w:rPr>
              <w:t>/</w:t>
            </w:r>
            <w:r w:rsidRPr="00B170DF">
              <w:rPr>
                <w:color w:val="000000"/>
                <w:kern w:val="0"/>
                <w:sz w:val="22"/>
              </w:rPr>
              <w:t>股）</w:t>
            </w:r>
          </w:p>
        </w:tc>
        <w:tc>
          <w:tcPr>
            <w:tcW w:w="1130" w:type="pct"/>
            <w:vAlign w:val="center"/>
          </w:tcPr>
          <w:p w14:paraId="6BD83C5A"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vAlign w:val="center"/>
          </w:tcPr>
          <w:p w14:paraId="61903317"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4" w:type="pct"/>
            <w:vAlign w:val="center"/>
          </w:tcPr>
          <w:p w14:paraId="7404F6D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-0.96 </w:t>
            </w:r>
          </w:p>
        </w:tc>
      </w:tr>
      <w:tr w:rsidR="00DA0537" w:rsidRPr="00B170DF" w14:paraId="68075054" w14:textId="77777777" w:rsidTr="00DA0537">
        <w:trPr>
          <w:trHeight w:val="576"/>
          <w:jc w:val="center"/>
        </w:trPr>
        <w:tc>
          <w:tcPr>
            <w:tcW w:w="2021" w:type="pct"/>
            <w:vAlign w:val="center"/>
          </w:tcPr>
          <w:p w14:paraId="14C52D3D"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扣除非经常性损益后稀释每股收益（元</w:t>
            </w:r>
            <w:r w:rsidRPr="00B170DF">
              <w:rPr>
                <w:color w:val="000000"/>
                <w:kern w:val="0"/>
                <w:sz w:val="22"/>
              </w:rPr>
              <w:t>/</w:t>
            </w:r>
            <w:r w:rsidRPr="00B170DF">
              <w:rPr>
                <w:color w:val="000000"/>
                <w:kern w:val="0"/>
                <w:sz w:val="22"/>
              </w:rPr>
              <w:t>股</w:t>
            </w:r>
            <w:r w:rsidRPr="00B170DF">
              <w:rPr>
                <w:color w:val="000000"/>
                <w:kern w:val="0"/>
                <w:sz w:val="22"/>
              </w:rPr>
              <w:t>)</w:t>
            </w:r>
          </w:p>
        </w:tc>
        <w:tc>
          <w:tcPr>
            <w:tcW w:w="1130" w:type="pct"/>
            <w:vAlign w:val="center"/>
          </w:tcPr>
          <w:p w14:paraId="6B654BE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vAlign w:val="center"/>
          </w:tcPr>
          <w:p w14:paraId="281DFFD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-1.11 </w:t>
            </w:r>
          </w:p>
        </w:tc>
        <w:tc>
          <w:tcPr>
            <w:tcW w:w="924" w:type="pct"/>
            <w:vAlign w:val="center"/>
          </w:tcPr>
          <w:p w14:paraId="21EBA43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-0.96 </w:t>
            </w:r>
          </w:p>
        </w:tc>
      </w:tr>
      <w:tr w:rsidR="00DA0537" w:rsidRPr="00B170DF" w14:paraId="038B7243" w14:textId="77777777" w:rsidTr="002D3E9E">
        <w:trPr>
          <w:trHeight w:val="480"/>
          <w:jc w:val="center"/>
        </w:trPr>
        <w:tc>
          <w:tcPr>
            <w:tcW w:w="5000" w:type="pct"/>
            <w:gridSpan w:val="4"/>
            <w:vAlign w:val="center"/>
          </w:tcPr>
          <w:p w14:paraId="7BA1A6DD" w14:textId="77777777" w:rsidR="00DA0537" w:rsidRPr="00B170DF" w:rsidRDefault="00DA0537" w:rsidP="00DA0537">
            <w:pPr>
              <w:widowControl/>
              <w:adjustRightInd w:val="0"/>
              <w:snapToGrid w:val="0"/>
              <w:spacing w:beforeLines="0" w:before="0" w:afterLines="0" w:after="0" w:line="240" w:lineRule="auto"/>
              <w:ind w:firstLineChars="0" w:firstLine="0"/>
              <w:contextualSpacing/>
              <w:rPr>
                <w:b/>
                <w:bCs/>
                <w:color w:val="000000"/>
                <w:kern w:val="0"/>
                <w:sz w:val="21"/>
                <w:szCs w:val="21"/>
              </w:rPr>
            </w:pPr>
            <w:r w:rsidRPr="00B170DF">
              <w:rPr>
                <w:rFonts w:hint="eastAsia"/>
                <w:b/>
                <w:bCs/>
                <w:color w:val="000000"/>
                <w:kern w:val="0"/>
                <w:sz w:val="22"/>
              </w:rPr>
              <w:t>情形</w:t>
            </w:r>
            <w:r w:rsidRPr="00B170DF">
              <w:rPr>
                <w:rFonts w:hint="eastAsia"/>
                <w:b/>
                <w:bCs/>
                <w:color w:val="000000"/>
                <w:kern w:val="0"/>
                <w:sz w:val="22"/>
              </w:rPr>
              <w:t>3</w:t>
            </w:r>
            <w:r w:rsidRPr="00B170DF">
              <w:rPr>
                <w:rFonts w:hint="eastAsia"/>
                <w:b/>
                <w:bCs/>
                <w:color w:val="000000"/>
                <w:kern w:val="0"/>
                <w:sz w:val="22"/>
              </w:rPr>
              <w:t>：</w:t>
            </w:r>
            <w:r w:rsidRPr="00B170DF">
              <w:rPr>
                <w:rFonts w:hint="eastAsia"/>
                <w:b/>
                <w:bCs/>
                <w:color w:val="000000"/>
                <w:kern w:val="0"/>
                <w:sz w:val="22"/>
              </w:rPr>
              <w:t>2025</w:t>
            </w:r>
            <w:r w:rsidRPr="00B170DF">
              <w:rPr>
                <w:rFonts w:hint="eastAsia"/>
                <w:b/>
                <w:bCs/>
                <w:color w:val="000000"/>
                <w:kern w:val="0"/>
                <w:sz w:val="22"/>
              </w:rPr>
              <w:t>年实现的归属于母公司股东的净利润和扣除非经常性损益后归属于母公司股东的净利润较</w:t>
            </w:r>
            <w:r w:rsidRPr="00B170DF">
              <w:rPr>
                <w:rFonts w:hint="eastAsia"/>
                <w:b/>
                <w:bCs/>
                <w:color w:val="000000"/>
                <w:kern w:val="0"/>
                <w:sz w:val="22"/>
              </w:rPr>
              <w:t>2024</w:t>
            </w:r>
            <w:r w:rsidRPr="00B170DF">
              <w:rPr>
                <w:rFonts w:hint="eastAsia"/>
                <w:b/>
                <w:bCs/>
                <w:color w:val="000000"/>
                <w:kern w:val="0"/>
                <w:sz w:val="22"/>
              </w:rPr>
              <w:t>年度减亏</w:t>
            </w:r>
            <w:r w:rsidRPr="00B170DF">
              <w:rPr>
                <w:rFonts w:hint="eastAsia"/>
                <w:b/>
                <w:bCs/>
                <w:color w:val="000000"/>
                <w:kern w:val="0"/>
                <w:sz w:val="22"/>
              </w:rPr>
              <w:t>50%</w:t>
            </w:r>
          </w:p>
        </w:tc>
      </w:tr>
      <w:tr w:rsidR="00DA0537" w:rsidRPr="00B170DF" w14:paraId="49D35086" w14:textId="77777777" w:rsidTr="00DA0537">
        <w:trPr>
          <w:trHeight w:val="480"/>
          <w:jc w:val="center"/>
        </w:trPr>
        <w:tc>
          <w:tcPr>
            <w:tcW w:w="2021" w:type="pct"/>
            <w:vAlign w:val="center"/>
          </w:tcPr>
          <w:p w14:paraId="17AB1F2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归属于母公司股东的净利润（万元）</w:t>
            </w:r>
          </w:p>
        </w:tc>
        <w:tc>
          <w:tcPr>
            <w:tcW w:w="1130" w:type="pct"/>
            <w:noWrap/>
            <w:vAlign w:val="center"/>
          </w:tcPr>
          <w:p w14:paraId="1AD5DD9A"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-14,400.00 </w:t>
            </w:r>
          </w:p>
        </w:tc>
        <w:tc>
          <w:tcPr>
            <w:tcW w:w="925" w:type="pct"/>
            <w:noWrap/>
            <w:vAlign w:val="center"/>
          </w:tcPr>
          <w:p w14:paraId="19A321A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-7,200.00 </w:t>
            </w:r>
          </w:p>
        </w:tc>
        <w:tc>
          <w:tcPr>
            <w:tcW w:w="924" w:type="pct"/>
            <w:noWrap/>
            <w:vAlign w:val="center"/>
          </w:tcPr>
          <w:p w14:paraId="224EF32A"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Cs/>
                <w:color w:val="000000"/>
                <w:kern w:val="0"/>
                <w:sz w:val="21"/>
                <w:szCs w:val="21"/>
              </w:rPr>
            </w:pPr>
            <w:r w:rsidRPr="00B170DF">
              <w:rPr>
                <w:rFonts w:cs="Arial"/>
                <w:bCs/>
                <w:sz w:val="21"/>
                <w:szCs w:val="21"/>
              </w:rPr>
              <w:t xml:space="preserve">-7,200.00 </w:t>
            </w:r>
          </w:p>
        </w:tc>
      </w:tr>
      <w:tr w:rsidR="00DA0537" w:rsidRPr="00B170DF" w14:paraId="38774D95" w14:textId="77777777" w:rsidTr="00DA0537">
        <w:trPr>
          <w:trHeight w:val="576"/>
          <w:jc w:val="center"/>
        </w:trPr>
        <w:tc>
          <w:tcPr>
            <w:tcW w:w="2021" w:type="pct"/>
            <w:vAlign w:val="center"/>
          </w:tcPr>
          <w:p w14:paraId="4AC4FC5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基本每股收益（元</w:t>
            </w:r>
            <w:r w:rsidRPr="00B170DF">
              <w:rPr>
                <w:color w:val="000000"/>
                <w:kern w:val="0"/>
                <w:sz w:val="22"/>
              </w:rPr>
              <w:t>/</w:t>
            </w:r>
            <w:r w:rsidRPr="00B170DF">
              <w:rPr>
                <w:color w:val="000000"/>
                <w:kern w:val="0"/>
                <w:sz w:val="22"/>
              </w:rPr>
              <w:t>股）</w:t>
            </w:r>
          </w:p>
        </w:tc>
        <w:tc>
          <w:tcPr>
            <w:tcW w:w="1130" w:type="pct"/>
            <w:noWrap/>
            <w:vAlign w:val="center"/>
          </w:tcPr>
          <w:p w14:paraId="0211A9BE"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noWrap/>
            <w:vAlign w:val="center"/>
          </w:tcPr>
          <w:p w14:paraId="7AA9957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-0.45 </w:t>
            </w:r>
          </w:p>
        </w:tc>
        <w:tc>
          <w:tcPr>
            <w:tcW w:w="924" w:type="pct"/>
            <w:noWrap/>
            <w:vAlign w:val="center"/>
          </w:tcPr>
          <w:p w14:paraId="56D80652"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-0.39 </w:t>
            </w:r>
          </w:p>
        </w:tc>
      </w:tr>
      <w:tr w:rsidR="00DA0537" w:rsidRPr="00B170DF" w14:paraId="5AA0A61B" w14:textId="77777777" w:rsidTr="00DA0537">
        <w:trPr>
          <w:trHeight w:val="576"/>
          <w:jc w:val="center"/>
        </w:trPr>
        <w:tc>
          <w:tcPr>
            <w:tcW w:w="2021" w:type="pct"/>
            <w:vAlign w:val="center"/>
          </w:tcPr>
          <w:p w14:paraId="53E8262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稀释每股收益（元</w:t>
            </w:r>
            <w:r w:rsidRPr="00B170DF">
              <w:rPr>
                <w:color w:val="000000"/>
                <w:kern w:val="0"/>
                <w:sz w:val="22"/>
              </w:rPr>
              <w:t>/</w:t>
            </w:r>
            <w:r w:rsidRPr="00B170DF">
              <w:rPr>
                <w:color w:val="000000"/>
                <w:kern w:val="0"/>
                <w:sz w:val="22"/>
              </w:rPr>
              <w:t>股）</w:t>
            </w:r>
          </w:p>
        </w:tc>
        <w:tc>
          <w:tcPr>
            <w:tcW w:w="1130" w:type="pct"/>
            <w:vAlign w:val="center"/>
          </w:tcPr>
          <w:p w14:paraId="0C0C2B3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-0.90 </w:t>
            </w:r>
          </w:p>
        </w:tc>
        <w:tc>
          <w:tcPr>
            <w:tcW w:w="925" w:type="pct"/>
            <w:shd w:val="clear" w:color="auto" w:fill="auto"/>
            <w:noWrap/>
            <w:vAlign w:val="center"/>
          </w:tcPr>
          <w:p w14:paraId="49E1B0C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-0.45 </w:t>
            </w:r>
          </w:p>
        </w:tc>
        <w:tc>
          <w:tcPr>
            <w:tcW w:w="924" w:type="pct"/>
            <w:shd w:val="clear" w:color="auto" w:fill="auto"/>
            <w:noWrap/>
            <w:vAlign w:val="center"/>
          </w:tcPr>
          <w:p w14:paraId="72484C36"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-0.39 </w:t>
            </w:r>
          </w:p>
        </w:tc>
      </w:tr>
      <w:tr w:rsidR="00DA0537" w:rsidRPr="00B170DF" w14:paraId="11D2D28B" w14:textId="77777777" w:rsidTr="00DA0537">
        <w:trPr>
          <w:trHeight w:val="576"/>
          <w:jc w:val="center"/>
        </w:trPr>
        <w:tc>
          <w:tcPr>
            <w:tcW w:w="2021" w:type="pct"/>
            <w:vAlign w:val="center"/>
          </w:tcPr>
          <w:p w14:paraId="601148A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扣除非经常性损益后归属于母公司股东的净利润（万元）</w:t>
            </w:r>
          </w:p>
        </w:tc>
        <w:tc>
          <w:tcPr>
            <w:tcW w:w="1130" w:type="pct"/>
            <w:vAlign w:val="center"/>
          </w:tcPr>
          <w:p w14:paraId="121C14C5"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-17,600.00 </w:t>
            </w:r>
          </w:p>
        </w:tc>
        <w:tc>
          <w:tcPr>
            <w:tcW w:w="925" w:type="pct"/>
            <w:shd w:val="clear" w:color="auto" w:fill="auto"/>
            <w:vAlign w:val="center"/>
          </w:tcPr>
          <w:p w14:paraId="5A55799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-8,800.00 </w:t>
            </w:r>
          </w:p>
        </w:tc>
        <w:tc>
          <w:tcPr>
            <w:tcW w:w="924" w:type="pct"/>
            <w:shd w:val="clear" w:color="auto" w:fill="auto"/>
            <w:vAlign w:val="center"/>
          </w:tcPr>
          <w:p w14:paraId="1C26A69F"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-8,800.00 </w:t>
            </w:r>
          </w:p>
        </w:tc>
      </w:tr>
      <w:tr w:rsidR="00DA0537" w:rsidRPr="00B170DF" w14:paraId="7038C1D8" w14:textId="77777777" w:rsidTr="00DA0537">
        <w:trPr>
          <w:trHeight w:val="480"/>
          <w:jc w:val="center"/>
        </w:trPr>
        <w:tc>
          <w:tcPr>
            <w:tcW w:w="2021" w:type="pct"/>
            <w:vAlign w:val="center"/>
          </w:tcPr>
          <w:p w14:paraId="5FE3DB7C"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扣除非经常性损益后基本每股收益（元</w:t>
            </w:r>
            <w:r w:rsidRPr="00B170DF">
              <w:rPr>
                <w:color w:val="000000"/>
                <w:kern w:val="0"/>
                <w:sz w:val="22"/>
              </w:rPr>
              <w:t>/</w:t>
            </w:r>
            <w:r w:rsidRPr="00B170DF">
              <w:rPr>
                <w:color w:val="000000"/>
                <w:kern w:val="0"/>
                <w:sz w:val="22"/>
              </w:rPr>
              <w:t>股）</w:t>
            </w:r>
          </w:p>
        </w:tc>
        <w:tc>
          <w:tcPr>
            <w:tcW w:w="1130" w:type="pct"/>
            <w:vAlign w:val="center"/>
          </w:tcPr>
          <w:p w14:paraId="43681EB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vAlign w:val="center"/>
          </w:tcPr>
          <w:p w14:paraId="0C6EC67F"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-0.55 </w:t>
            </w:r>
          </w:p>
        </w:tc>
        <w:tc>
          <w:tcPr>
            <w:tcW w:w="924" w:type="pct"/>
            <w:vAlign w:val="center"/>
          </w:tcPr>
          <w:p w14:paraId="10C1A738"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-0.48 </w:t>
            </w:r>
          </w:p>
        </w:tc>
      </w:tr>
      <w:tr w:rsidR="00DA0537" w:rsidRPr="00B170DF" w14:paraId="03D173D7" w14:textId="77777777" w:rsidTr="00DA0537">
        <w:trPr>
          <w:trHeight w:val="576"/>
          <w:jc w:val="center"/>
        </w:trPr>
        <w:tc>
          <w:tcPr>
            <w:tcW w:w="2021" w:type="pct"/>
            <w:vAlign w:val="center"/>
          </w:tcPr>
          <w:p w14:paraId="4C7165A4"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left"/>
              <w:rPr>
                <w:color w:val="000000"/>
                <w:kern w:val="0"/>
                <w:sz w:val="22"/>
              </w:rPr>
            </w:pPr>
            <w:r w:rsidRPr="00B170DF">
              <w:rPr>
                <w:color w:val="000000"/>
                <w:kern w:val="0"/>
                <w:sz w:val="22"/>
              </w:rPr>
              <w:t>扣除非经常性损益后稀释每股收益（元</w:t>
            </w:r>
            <w:r w:rsidRPr="00B170DF">
              <w:rPr>
                <w:color w:val="000000"/>
                <w:kern w:val="0"/>
                <w:sz w:val="22"/>
              </w:rPr>
              <w:t>/</w:t>
            </w:r>
            <w:r w:rsidRPr="00B170DF">
              <w:rPr>
                <w:color w:val="000000"/>
                <w:kern w:val="0"/>
                <w:sz w:val="22"/>
              </w:rPr>
              <w:t>股</w:t>
            </w:r>
            <w:r w:rsidRPr="00B170DF">
              <w:rPr>
                <w:color w:val="000000"/>
                <w:kern w:val="0"/>
                <w:sz w:val="22"/>
              </w:rPr>
              <w:t>)</w:t>
            </w:r>
          </w:p>
        </w:tc>
        <w:tc>
          <w:tcPr>
            <w:tcW w:w="1130" w:type="pct"/>
            <w:vAlign w:val="center"/>
          </w:tcPr>
          <w:p w14:paraId="35552D41"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color w:val="000000"/>
                <w:kern w:val="0"/>
                <w:sz w:val="21"/>
                <w:szCs w:val="21"/>
              </w:rPr>
            </w:pPr>
            <w:r w:rsidRPr="00B170DF">
              <w:rPr>
                <w:rFonts w:cs="Arial"/>
                <w:bCs/>
                <w:sz w:val="21"/>
                <w:szCs w:val="21"/>
              </w:rPr>
              <w:t xml:space="preserve">-1.11 </w:t>
            </w:r>
          </w:p>
        </w:tc>
        <w:tc>
          <w:tcPr>
            <w:tcW w:w="925" w:type="pct"/>
            <w:vAlign w:val="center"/>
          </w:tcPr>
          <w:p w14:paraId="1FB5E6F0"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-0.55 </w:t>
            </w:r>
          </w:p>
        </w:tc>
        <w:tc>
          <w:tcPr>
            <w:tcW w:w="924" w:type="pct"/>
            <w:vAlign w:val="center"/>
          </w:tcPr>
          <w:p w14:paraId="2069543D" w14:textId="77777777" w:rsidR="00DA0537" w:rsidRPr="00B170DF" w:rsidRDefault="00DA0537" w:rsidP="00DA0537">
            <w:pPr>
              <w:widowControl/>
              <w:adjustRightInd w:val="0"/>
              <w:snapToGrid w:val="0"/>
              <w:spacing w:beforeLines="0" w:before="0" w:afterLines="0" w:after="0" w:line="240" w:lineRule="auto"/>
              <w:ind w:firstLineChars="0" w:firstLine="0"/>
              <w:contextualSpacing/>
              <w:jc w:val="right"/>
              <w:rPr>
                <w:b/>
                <w:color w:val="000000"/>
                <w:kern w:val="0"/>
                <w:sz w:val="21"/>
                <w:szCs w:val="21"/>
              </w:rPr>
            </w:pPr>
            <w:r w:rsidRPr="00B170DF">
              <w:rPr>
                <w:rFonts w:cs="Arial"/>
                <w:bCs/>
                <w:sz w:val="21"/>
                <w:szCs w:val="21"/>
              </w:rPr>
              <w:t xml:space="preserve">-0.48 </w:t>
            </w:r>
          </w:p>
        </w:tc>
      </w:tr>
    </w:tbl>
    <w:p w14:paraId="1555C41E" w14:textId="77777777" w:rsidR="00DA0537" w:rsidRPr="00B170DF" w:rsidRDefault="00DA0537" w:rsidP="00DA0537">
      <w:pPr>
        <w:keepNext/>
        <w:keepLines/>
        <w:widowControl/>
        <w:spacing w:before="163" w:after="163"/>
        <w:ind w:firstLineChars="0" w:firstLine="0"/>
        <w:outlineLvl w:val="1"/>
        <w:rPr>
          <w:rFonts w:eastAsia="黑体"/>
          <w:b/>
          <w:bCs/>
          <w:color w:val="000000"/>
          <w:sz w:val="28"/>
          <w:szCs w:val="28"/>
        </w:rPr>
      </w:pPr>
      <w:bookmarkStart w:id="83" w:name="_Toc194169738"/>
      <w:r w:rsidRPr="00B170DF">
        <w:rPr>
          <w:rFonts w:eastAsia="黑体" w:hint="eastAsia"/>
          <w:b/>
          <w:bCs/>
          <w:color w:val="000000"/>
          <w:sz w:val="28"/>
          <w:szCs w:val="28"/>
        </w:rPr>
        <w:t>三、本次</w:t>
      </w:r>
      <w:r w:rsidR="005B7FDD" w:rsidRPr="00B170DF">
        <w:rPr>
          <w:rFonts w:eastAsia="黑体" w:hint="eastAsia"/>
          <w:b/>
          <w:bCs/>
          <w:color w:val="000000"/>
          <w:sz w:val="28"/>
          <w:szCs w:val="28"/>
        </w:rPr>
        <w:t>向特定对象发行</w:t>
      </w:r>
      <w:r w:rsidR="005B7FDD" w:rsidRPr="00B170DF">
        <w:rPr>
          <w:rFonts w:eastAsia="黑体" w:hint="eastAsia"/>
          <w:b/>
          <w:bCs/>
          <w:color w:val="000000"/>
          <w:sz w:val="28"/>
          <w:szCs w:val="28"/>
        </w:rPr>
        <w:t>A</w:t>
      </w:r>
      <w:r w:rsidR="005B7FDD" w:rsidRPr="00B170DF">
        <w:rPr>
          <w:rFonts w:eastAsia="黑体" w:hint="eastAsia"/>
          <w:b/>
          <w:bCs/>
          <w:color w:val="000000"/>
          <w:sz w:val="28"/>
          <w:szCs w:val="28"/>
        </w:rPr>
        <w:t>股股票</w:t>
      </w:r>
      <w:r w:rsidRPr="00B170DF">
        <w:rPr>
          <w:rFonts w:eastAsia="黑体" w:hint="eastAsia"/>
          <w:b/>
          <w:bCs/>
          <w:color w:val="000000"/>
          <w:sz w:val="28"/>
          <w:szCs w:val="28"/>
        </w:rPr>
        <w:t>摊薄即期回报的风险提示</w:t>
      </w:r>
      <w:bookmarkEnd w:id="83"/>
    </w:p>
    <w:p w14:paraId="1651718B" w14:textId="77777777" w:rsidR="00DA0537" w:rsidRPr="00B170DF" w:rsidRDefault="00DA0537" w:rsidP="00DA0537">
      <w:pPr>
        <w:spacing w:before="163" w:afterLines="0" w:after="0"/>
        <w:ind w:firstLine="480"/>
      </w:pPr>
      <w:r w:rsidRPr="00B170DF">
        <w:rPr>
          <w:rFonts w:hint="eastAsia"/>
        </w:rPr>
        <w:t>本次向特定对象发行募集资金到位后，公司的总股本和净资产将会相应增加，有利于提高公司的流动性，增强公司的抗风险能力和更好地实现战略发展目标。本次募集资金到位后的短期内，公司净利润增长幅度可能会低于净资产和总股本的增长幅度，基本每股收益可能出现一定幅度的下降，股东即期回报存在被摊薄的风险。</w:t>
      </w:r>
    </w:p>
    <w:p w14:paraId="4D7D8F47" w14:textId="77777777" w:rsidR="00DA0537" w:rsidRPr="00B170DF" w:rsidRDefault="00DA0537" w:rsidP="00DA0537">
      <w:pPr>
        <w:spacing w:before="163" w:afterLines="0" w:after="0"/>
        <w:ind w:firstLine="480"/>
      </w:pPr>
      <w:r w:rsidRPr="00B170DF">
        <w:rPr>
          <w:rFonts w:hint="eastAsia"/>
        </w:rPr>
        <w:t>在测算本次发行对即期回报的摊</w:t>
      </w:r>
      <w:proofErr w:type="gramStart"/>
      <w:r w:rsidRPr="00B170DF">
        <w:rPr>
          <w:rFonts w:hint="eastAsia"/>
        </w:rPr>
        <w:t>薄影响</w:t>
      </w:r>
      <w:proofErr w:type="gramEnd"/>
      <w:r w:rsidRPr="00B170DF">
        <w:rPr>
          <w:rFonts w:hint="eastAsia"/>
        </w:rPr>
        <w:t>过程中，公司对</w:t>
      </w:r>
      <w:r w:rsidRPr="00B170DF">
        <w:rPr>
          <w:rFonts w:hint="eastAsia"/>
        </w:rPr>
        <w:t>2025</w:t>
      </w:r>
      <w:r w:rsidRPr="00B170DF">
        <w:rPr>
          <w:rFonts w:hint="eastAsia"/>
        </w:rPr>
        <w:t>年度实现的扣除非经常性损益前、后归属于母公司股东的净利润的假设分析并非公司的盈利预测，为应对即期回报被摊</w:t>
      </w:r>
      <w:proofErr w:type="gramStart"/>
      <w:r w:rsidRPr="00B170DF">
        <w:rPr>
          <w:rFonts w:hint="eastAsia"/>
        </w:rPr>
        <w:t>薄风险</w:t>
      </w:r>
      <w:proofErr w:type="gramEnd"/>
      <w:r w:rsidRPr="00B170DF">
        <w:rPr>
          <w:rFonts w:hint="eastAsia"/>
        </w:rPr>
        <w:t>而制定的填补回报具体措施不等于对公司未来利</w:t>
      </w:r>
      <w:r w:rsidRPr="00B170DF">
        <w:rPr>
          <w:rFonts w:hint="eastAsia"/>
        </w:rPr>
        <w:lastRenderedPageBreak/>
        <w:t>润做出保证，投资者不应据此进行投资决策，投资者据此进行投资决策造成损失的，公司不承担赔偿责任。提请广大投资者注意。</w:t>
      </w:r>
    </w:p>
    <w:p w14:paraId="64EE6FF5" w14:textId="77777777" w:rsidR="00DA0537" w:rsidRPr="00B170DF" w:rsidRDefault="00DA0537" w:rsidP="00DA0537">
      <w:pPr>
        <w:keepNext/>
        <w:keepLines/>
        <w:widowControl/>
        <w:spacing w:before="163" w:after="163"/>
        <w:ind w:firstLineChars="0" w:firstLine="0"/>
        <w:outlineLvl w:val="1"/>
        <w:rPr>
          <w:rFonts w:eastAsia="黑体"/>
          <w:b/>
          <w:bCs/>
          <w:color w:val="000000"/>
          <w:sz w:val="28"/>
          <w:szCs w:val="28"/>
        </w:rPr>
      </w:pPr>
      <w:bookmarkStart w:id="84" w:name="_Toc194169739"/>
      <w:r w:rsidRPr="00B170DF">
        <w:rPr>
          <w:rFonts w:eastAsia="黑体" w:hint="eastAsia"/>
          <w:b/>
          <w:bCs/>
          <w:color w:val="000000"/>
          <w:sz w:val="28"/>
          <w:szCs w:val="28"/>
        </w:rPr>
        <w:t>四、关于本次向特定对象发行的必要性、合理性及与公司现有业务相关性的分析</w:t>
      </w:r>
      <w:bookmarkEnd w:id="84"/>
    </w:p>
    <w:p w14:paraId="2A49E9B0" w14:textId="77777777" w:rsidR="00B4039B" w:rsidRPr="00B170DF" w:rsidRDefault="00B4039B" w:rsidP="00DA0537">
      <w:pPr>
        <w:spacing w:before="163" w:afterLines="0" w:after="0"/>
        <w:ind w:firstLine="480"/>
      </w:pPr>
      <w:r w:rsidRPr="00B170DF">
        <w:t>本次向特定对象发行的募集资金投向符合国家产业政策以及公司的战略发展规划。本次募集资金投资项目的实施，有利于加强公司主营业务优势，提升公司的综合竞争实力和可持续发展能力，巩固和加强公司的行业地位，符合公司及公司全体股东的利益。因此，本次募集资金投资项目具有必要性和合理性。</w:t>
      </w:r>
    </w:p>
    <w:p w14:paraId="7096DD0D" w14:textId="77777777" w:rsidR="00DA0537" w:rsidRPr="00B170DF" w:rsidRDefault="00DA0537" w:rsidP="00DA0537">
      <w:pPr>
        <w:spacing w:before="163" w:afterLines="0" w:after="0"/>
        <w:ind w:firstLine="480"/>
      </w:pPr>
      <w:r w:rsidRPr="00B170DF">
        <w:rPr>
          <w:rFonts w:hint="eastAsia"/>
        </w:rPr>
        <w:t>本次发行的必要性和合理性的具体分析详见《</w:t>
      </w:r>
      <w:r w:rsidRPr="00B170DF">
        <w:rPr>
          <w:rFonts w:hint="eastAsia"/>
        </w:rPr>
        <w:t>2025</w:t>
      </w:r>
      <w:r w:rsidRPr="00B170DF">
        <w:rPr>
          <w:rFonts w:hint="eastAsia"/>
        </w:rPr>
        <w:t>年度向特定对象发行</w:t>
      </w:r>
      <w:r w:rsidRPr="00B170DF">
        <w:rPr>
          <w:rFonts w:hint="eastAsia"/>
        </w:rPr>
        <w:t>A</w:t>
      </w:r>
      <w:r w:rsidRPr="00B170DF">
        <w:rPr>
          <w:rFonts w:hint="eastAsia"/>
        </w:rPr>
        <w:t>股股票募集资金使用可行性分析报告》。</w:t>
      </w:r>
    </w:p>
    <w:p w14:paraId="66AB2CF0" w14:textId="77777777" w:rsidR="00DA0537" w:rsidRPr="00B170DF" w:rsidRDefault="00B4039B" w:rsidP="00B4039B">
      <w:pPr>
        <w:keepNext/>
        <w:keepLines/>
        <w:widowControl/>
        <w:spacing w:before="163" w:after="163"/>
        <w:ind w:firstLineChars="0" w:firstLine="0"/>
        <w:outlineLvl w:val="1"/>
        <w:rPr>
          <w:rFonts w:eastAsia="黑体"/>
          <w:b/>
          <w:bCs/>
          <w:color w:val="000000"/>
          <w:sz w:val="28"/>
          <w:szCs w:val="28"/>
        </w:rPr>
      </w:pPr>
      <w:bookmarkStart w:id="85" w:name="_Toc194169740"/>
      <w:r w:rsidRPr="00B170DF">
        <w:rPr>
          <w:rFonts w:eastAsia="黑体" w:hint="eastAsia"/>
          <w:b/>
          <w:bCs/>
          <w:color w:val="000000"/>
          <w:sz w:val="28"/>
          <w:szCs w:val="28"/>
        </w:rPr>
        <w:t>五、本次募集资金投资项目与公司现有业务的关系、公司从事</w:t>
      </w:r>
      <w:proofErr w:type="gramStart"/>
      <w:r w:rsidRPr="00B170DF">
        <w:rPr>
          <w:rFonts w:eastAsia="黑体" w:hint="eastAsia"/>
          <w:b/>
          <w:bCs/>
          <w:color w:val="000000"/>
          <w:sz w:val="28"/>
          <w:szCs w:val="28"/>
        </w:rPr>
        <w:t>募投项目</w:t>
      </w:r>
      <w:proofErr w:type="gramEnd"/>
      <w:r w:rsidRPr="00B170DF">
        <w:rPr>
          <w:rFonts w:eastAsia="黑体" w:hint="eastAsia"/>
          <w:b/>
          <w:bCs/>
          <w:color w:val="000000"/>
          <w:sz w:val="28"/>
          <w:szCs w:val="28"/>
        </w:rPr>
        <w:t>在人员、市场等方面的储备情况</w:t>
      </w:r>
      <w:bookmarkEnd w:id="85"/>
    </w:p>
    <w:p w14:paraId="4FE7DEB5"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（一）募集资金投资项目与公司现有业务的关系</w:t>
      </w:r>
    </w:p>
    <w:p w14:paraId="0D57B8B3" w14:textId="77777777" w:rsidR="003C05F3" w:rsidRPr="00B170DF" w:rsidRDefault="003C05F3" w:rsidP="003C05F3">
      <w:pPr>
        <w:spacing w:before="163" w:after="163"/>
        <w:ind w:firstLine="480"/>
      </w:pPr>
      <w:bookmarkStart w:id="86" w:name="_Hlk128148544"/>
      <w:r w:rsidRPr="00B170DF">
        <w:rPr>
          <w:rFonts w:hint="eastAsia"/>
        </w:rPr>
        <w:t>本次募集资金投向“创新药研发项目”、“中药传统名方产业化项目”和“补充流动资金项目”，均系围绕公司由仿制药向创新药和大健康大消费产业的战略转型开展。</w:t>
      </w:r>
    </w:p>
    <w:p w14:paraId="79555090" w14:textId="77777777" w:rsidR="003C05F3" w:rsidRPr="00B170DF" w:rsidRDefault="003C05F3" w:rsidP="003C05F3">
      <w:pPr>
        <w:spacing w:before="163" w:after="163"/>
        <w:ind w:firstLine="480"/>
      </w:pPr>
      <w:r w:rsidRPr="00B170DF">
        <w:rPr>
          <w:rFonts w:hint="eastAsia"/>
        </w:rPr>
        <w:t>创新药研发项目，包括乙肝创新药</w:t>
      </w:r>
      <w:r w:rsidRPr="00B170DF">
        <w:rPr>
          <w:rFonts w:hint="eastAsia"/>
        </w:rPr>
        <w:t>GST-HG141</w:t>
      </w:r>
      <w:r w:rsidRPr="00B170DF">
        <w:rPr>
          <w:rFonts w:hint="eastAsia"/>
        </w:rPr>
        <w:t>、</w:t>
      </w:r>
      <w:r w:rsidRPr="00B170DF">
        <w:rPr>
          <w:rFonts w:hint="eastAsia"/>
        </w:rPr>
        <w:t>GST-HG131</w:t>
      </w:r>
      <w:r w:rsidRPr="00B170DF">
        <w:rPr>
          <w:rFonts w:hint="eastAsia"/>
        </w:rPr>
        <w:t>联合</w:t>
      </w:r>
      <w:r w:rsidRPr="00B170DF">
        <w:rPr>
          <w:rFonts w:hint="eastAsia"/>
        </w:rPr>
        <w:t>GST-HG141</w:t>
      </w:r>
      <w:r w:rsidRPr="00B170DF">
        <w:rPr>
          <w:rFonts w:hint="eastAsia"/>
        </w:rPr>
        <w:t>项目。截至本预案</w:t>
      </w:r>
      <w:r w:rsidR="00951CFA" w:rsidRPr="00B170DF">
        <w:rPr>
          <w:rFonts w:hint="eastAsia"/>
        </w:rPr>
        <w:t>公告之日</w:t>
      </w:r>
      <w:r w:rsidRPr="00B170DF">
        <w:rPr>
          <w:rFonts w:hint="eastAsia"/>
        </w:rPr>
        <w:t>，</w:t>
      </w:r>
      <w:r w:rsidRPr="00B170DF">
        <w:rPr>
          <w:rFonts w:hint="eastAsia"/>
        </w:rPr>
        <w:t>GST-HG141</w:t>
      </w:r>
      <w:r w:rsidRPr="00B170DF">
        <w:rPr>
          <w:rFonts w:hint="eastAsia"/>
        </w:rPr>
        <w:t>创新</w:t>
      </w:r>
      <w:proofErr w:type="gramStart"/>
      <w:r w:rsidRPr="00B170DF">
        <w:rPr>
          <w:rFonts w:hint="eastAsia"/>
        </w:rPr>
        <w:t>药项目</w:t>
      </w:r>
      <w:proofErr w:type="gramEnd"/>
      <w:r w:rsidRPr="00B170DF">
        <w:rPr>
          <w:rFonts w:hint="eastAsia"/>
        </w:rPr>
        <w:t>已完成</w:t>
      </w:r>
      <w:r w:rsidRPr="00B170DF">
        <w:rPr>
          <w:rFonts w:hint="eastAsia"/>
        </w:rPr>
        <w:t>II</w:t>
      </w:r>
      <w:r w:rsidRPr="00B170DF">
        <w:rPr>
          <w:rFonts w:hint="eastAsia"/>
        </w:rPr>
        <w:t>期临床总结报告，</w:t>
      </w:r>
      <w:r w:rsidRPr="00B170DF">
        <w:rPr>
          <w:rFonts w:hint="eastAsia"/>
        </w:rPr>
        <w:t>III</w:t>
      </w:r>
      <w:r w:rsidRPr="00B170DF">
        <w:rPr>
          <w:rFonts w:hint="eastAsia"/>
        </w:rPr>
        <w:t>期临床方案已取得</w:t>
      </w:r>
      <w:r w:rsidRPr="00B170DF">
        <w:rPr>
          <w:rFonts w:hint="eastAsia"/>
        </w:rPr>
        <w:t>CDE</w:t>
      </w:r>
      <w:r w:rsidRPr="00B170DF">
        <w:rPr>
          <w:rFonts w:hint="eastAsia"/>
        </w:rPr>
        <w:t>沟通会议纪要；</w:t>
      </w:r>
      <w:r w:rsidRPr="00B170DF">
        <w:rPr>
          <w:rFonts w:hint="eastAsia"/>
        </w:rPr>
        <w:t>GST-HG131</w:t>
      </w:r>
      <w:r w:rsidRPr="00B170DF">
        <w:rPr>
          <w:rFonts w:hint="eastAsia"/>
        </w:rPr>
        <w:t>联合</w:t>
      </w:r>
      <w:r w:rsidRPr="00B170DF">
        <w:rPr>
          <w:rFonts w:hint="eastAsia"/>
        </w:rPr>
        <w:t>GST-HG141</w:t>
      </w:r>
      <w:r w:rsidRPr="00B170DF">
        <w:rPr>
          <w:rFonts w:hint="eastAsia"/>
        </w:rPr>
        <w:t>创新</w:t>
      </w:r>
      <w:proofErr w:type="gramStart"/>
      <w:r w:rsidRPr="00B170DF">
        <w:rPr>
          <w:rFonts w:hint="eastAsia"/>
        </w:rPr>
        <w:t>药项目</w:t>
      </w:r>
      <w:proofErr w:type="gramEnd"/>
      <w:r w:rsidRPr="00B170DF">
        <w:rPr>
          <w:rFonts w:hint="eastAsia"/>
        </w:rPr>
        <w:t>已向</w:t>
      </w:r>
      <w:r w:rsidRPr="00B170DF">
        <w:rPr>
          <w:rFonts w:hint="eastAsia"/>
        </w:rPr>
        <w:t>CDE</w:t>
      </w:r>
      <w:r w:rsidRPr="00B170DF">
        <w:rPr>
          <w:rFonts w:hint="eastAsia"/>
        </w:rPr>
        <w:t>递交</w:t>
      </w:r>
      <w:r w:rsidRPr="00B170DF">
        <w:rPr>
          <w:rFonts w:hint="eastAsia"/>
        </w:rPr>
        <w:t>II</w:t>
      </w:r>
      <w:r w:rsidRPr="00B170DF">
        <w:rPr>
          <w:rFonts w:hint="eastAsia"/>
        </w:rPr>
        <w:t>期</w:t>
      </w:r>
      <w:r w:rsidR="00956E95" w:rsidRPr="00B170DF">
        <w:rPr>
          <w:rFonts w:hint="eastAsia"/>
        </w:rPr>
        <w:t>临床试验</w:t>
      </w:r>
      <w:r w:rsidRPr="00B170DF">
        <w:rPr>
          <w:rFonts w:hint="eastAsia"/>
        </w:rPr>
        <w:t>申请。上述研发项目系基于公司在乙肝治疗及抗病毒领域多年的技术及经验积累，是公司主营业务的延伸，符合公司的业务发展方向和战略布局。</w:t>
      </w:r>
    </w:p>
    <w:p w14:paraId="5900A497" w14:textId="77777777" w:rsidR="0058304E" w:rsidRPr="00B170DF" w:rsidRDefault="0058304E" w:rsidP="0058304E">
      <w:pPr>
        <w:spacing w:before="163" w:afterLines="0" w:after="160"/>
        <w:ind w:firstLine="480"/>
        <w:rPr>
          <w:rFonts w:ascii="宋体" w:hAnsi="宋体" w:hint="eastAsia"/>
          <w:szCs w:val="20"/>
        </w:rPr>
      </w:pPr>
      <w:r w:rsidRPr="00B170DF">
        <w:rPr>
          <w:rFonts w:ascii="宋体" w:hAnsi="宋体" w:hint="eastAsia"/>
          <w:szCs w:val="20"/>
        </w:rPr>
        <w:t>中药传统名方产业化项目，通过引进中药传统名方产品，将进一步丰富公司产品管线。公司全资子公司江苏中兴部分产品也为中药产品，如</w:t>
      </w:r>
      <w:proofErr w:type="gramStart"/>
      <w:r w:rsidRPr="00B170DF">
        <w:rPr>
          <w:rFonts w:ascii="宋体" w:hAnsi="宋体" w:hint="eastAsia"/>
          <w:szCs w:val="20"/>
        </w:rPr>
        <w:t>复方益</w:t>
      </w:r>
      <w:proofErr w:type="gramEnd"/>
      <w:r w:rsidRPr="00B170DF">
        <w:rPr>
          <w:rFonts w:ascii="宋体" w:hAnsi="宋体" w:hint="eastAsia"/>
          <w:szCs w:val="20"/>
        </w:rPr>
        <w:t>肝灵片、</w:t>
      </w:r>
      <w:r w:rsidRPr="00B170DF">
        <w:rPr>
          <w:rFonts w:ascii="宋体" w:hAnsi="宋体" w:hint="eastAsia"/>
          <w:szCs w:val="20"/>
        </w:rPr>
        <w:lastRenderedPageBreak/>
        <w:t>参</w:t>
      </w:r>
      <w:proofErr w:type="gramStart"/>
      <w:r w:rsidRPr="00B170DF">
        <w:rPr>
          <w:rFonts w:ascii="宋体" w:hAnsi="宋体" w:hint="eastAsia"/>
          <w:szCs w:val="20"/>
        </w:rPr>
        <w:t>芪</w:t>
      </w:r>
      <w:proofErr w:type="gramEnd"/>
      <w:r w:rsidRPr="00B170DF">
        <w:rPr>
          <w:rFonts w:ascii="宋体" w:hAnsi="宋体" w:hint="eastAsia"/>
          <w:szCs w:val="20"/>
        </w:rPr>
        <w:t>健胃颗粒</w:t>
      </w:r>
      <w:r w:rsidR="00956E95" w:rsidRPr="00B170DF">
        <w:rPr>
          <w:rFonts w:ascii="宋体" w:hAnsi="宋体" w:hint="eastAsia"/>
          <w:szCs w:val="20"/>
        </w:rPr>
        <w:t>等</w:t>
      </w:r>
      <w:r w:rsidRPr="00B170DF">
        <w:rPr>
          <w:rFonts w:hint="eastAsia"/>
        </w:rPr>
        <w:t>。同时，水飞</w:t>
      </w:r>
      <w:proofErr w:type="gramStart"/>
      <w:r w:rsidRPr="00B170DF">
        <w:rPr>
          <w:rFonts w:hint="eastAsia"/>
        </w:rPr>
        <w:t>蓟宾葡</w:t>
      </w:r>
      <w:proofErr w:type="gramEnd"/>
      <w:r w:rsidRPr="00B170DF">
        <w:rPr>
          <w:rFonts w:hint="eastAsia"/>
        </w:rPr>
        <w:t>甲胺片主要成分通过菊</w:t>
      </w:r>
      <w:r w:rsidR="00956E95" w:rsidRPr="00B170DF">
        <w:rPr>
          <w:rFonts w:hint="eastAsia"/>
        </w:rPr>
        <w:t>科</w:t>
      </w:r>
      <w:r w:rsidRPr="00B170DF">
        <w:rPr>
          <w:rFonts w:hint="eastAsia"/>
        </w:rPr>
        <w:t>植物水飞</w:t>
      </w:r>
      <w:proofErr w:type="gramStart"/>
      <w:r w:rsidRPr="00B170DF">
        <w:rPr>
          <w:rFonts w:hint="eastAsia"/>
        </w:rPr>
        <w:t>蓟</w:t>
      </w:r>
      <w:proofErr w:type="gramEnd"/>
      <w:r w:rsidRPr="00B170DF">
        <w:rPr>
          <w:rFonts w:hint="eastAsia"/>
        </w:rPr>
        <w:t>果实提取分离取得，生产工艺及市场定位均与中药产品类似，同时结合了现代制药技术的优势，</w:t>
      </w:r>
      <w:r w:rsidRPr="00B170DF">
        <w:rPr>
          <w:rFonts w:hint="eastAsia"/>
        </w:rPr>
        <w:t>2021</w:t>
      </w:r>
      <w:r w:rsidRPr="00B170DF">
        <w:rPr>
          <w:rFonts w:hint="eastAsia"/>
        </w:rPr>
        <w:t>年、</w:t>
      </w:r>
      <w:r w:rsidRPr="00B170DF">
        <w:rPr>
          <w:rFonts w:hint="eastAsia"/>
        </w:rPr>
        <w:t>2022</w:t>
      </w:r>
      <w:r w:rsidRPr="00B170DF">
        <w:rPr>
          <w:rFonts w:hint="eastAsia"/>
        </w:rPr>
        <w:t>年、</w:t>
      </w:r>
      <w:r w:rsidRPr="00B170DF">
        <w:rPr>
          <w:rFonts w:hint="eastAsia"/>
        </w:rPr>
        <w:t>2023</w:t>
      </w:r>
      <w:r w:rsidRPr="00B170DF">
        <w:rPr>
          <w:rFonts w:hint="eastAsia"/>
        </w:rPr>
        <w:t>年和</w:t>
      </w:r>
      <w:r w:rsidRPr="00B170DF">
        <w:rPr>
          <w:rFonts w:hint="eastAsia"/>
        </w:rPr>
        <w:t>2024</w:t>
      </w:r>
      <w:r w:rsidRPr="00B170DF">
        <w:rPr>
          <w:rFonts w:hint="eastAsia"/>
        </w:rPr>
        <w:t>年</w:t>
      </w:r>
      <w:r w:rsidRPr="00B170DF">
        <w:rPr>
          <w:rFonts w:hint="eastAsia"/>
        </w:rPr>
        <w:t>1-9</w:t>
      </w:r>
      <w:r w:rsidRPr="00B170DF">
        <w:rPr>
          <w:rFonts w:hint="eastAsia"/>
        </w:rPr>
        <w:t>月，</w:t>
      </w:r>
      <w:r w:rsidR="004E3517" w:rsidRPr="00B170DF">
        <w:rPr>
          <w:rFonts w:hint="eastAsia"/>
        </w:rPr>
        <w:t>公司水飞</w:t>
      </w:r>
      <w:proofErr w:type="gramStart"/>
      <w:r w:rsidR="004E3517" w:rsidRPr="00B170DF">
        <w:rPr>
          <w:rFonts w:hint="eastAsia"/>
        </w:rPr>
        <w:t>蓟宾葡</w:t>
      </w:r>
      <w:proofErr w:type="gramEnd"/>
      <w:r w:rsidR="004E3517" w:rsidRPr="00B170DF">
        <w:rPr>
          <w:rFonts w:hint="eastAsia"/>
        </w:rPr>
        <w:t>甲胺片、</w:t>
      </w:r>
      <w:proofErr w:type="gramStart"/>
      <w:r w:rsidR="004E3517" w:rsidRPr="00B170DF">
        <w:rPr>
          <w:rFonts w:hint="eastAsia"/>
        </w:rPr>
        <w:t>复方益</w:t>
      </w:r>
      <w:proofErr w:type="gramEnd"/>
      <w:r w:rsidR="004E3517" w:rsidRPr="00B170DF">
        <w:rPr>
          <w:rFonts w:hint="eastAsia"/>
        </w:rPr>
        <w:t>肝灵片及参</w:t>
      </w:r>
      <w:proofErr w:type="gramStart"/>
      <w:r w:rsidR="004E3517" w:rsidRPr="00B170DF">
        <w:rPr>
          <w:rFonts w:hint="eastAsia"/>
        </w:rPr>
        <w:t>芪</w:t>
      </w:r>
      <w:proofErr w:type="gramEnd"/>
      <w:r w:rsidR="004E3517" w:rsidRPr="00B170DF">
        <w:rPr>
          <w:rFonts w:hint="eastAsia"/>
        </w:rPr>
        <w:t>健胃颗粒等实现的销售额分别为</w:t>
      </w:r>
      <w:r w:rsidR="004E3517" w:rsidRPr="00B170DF">
        <w:rPr>
          <w:rFonts w:hint="eastAsia"/>
        </w:rPr>
        <w:t>18,737.76</w:t>
      </w:r>
      <w:r w:rsidR="004E3517" w:rsidRPr="00B170DF">
        <w:rPr>
          <w:rFonts w:hint="eastAsia"/>
        </w:rPr>
        <w:t>万元、</w:t>
      </w:r>
      <w:r w:rsidR="004E3517" w:rsidRPr="00B170DF">
        <w:rPr>
          <w:rFonts w:hint="eastAsia"/>
        </w:rPr>
        <w:t>19,966.49</w:t>
      </w:r>
      <w:r w:rsidR="004E3517" w:rsidRPr="00B170DF">
        <w:rPr>
          <w:rFonts w:hint="eastAsia"/>
        </w:rPr>
        <w:t>万元、</w:t>
      </w:r>
      <w:r w:rsidR="004E3517" w:rsidRPr="00B170DF">
        <w:rPr>
          <w:rFonts w:hint="eastAsia"/>
        </w:rPr>
        <w:t>22,487.48</w:t>
      </w:r>
      <w:r w:rsidR="004E3517" w:rsidRPr="00B170DF">
        <w:rPr>
          <w:rFonts w:hint="eastAsia"/>
        </w:rPr>
        <w:t>万元和</w:t>
      </w:r>
      <w:r w:rsidR="004E3517" w:rsidRPr="00B170DF">
        <w:rPr>
          <w:rFonts w:hint="eastAsia"/>
        </w:rPr>
        <w:t>15,977.59</w:t>
      </w:r>
      <w:r w:rsidR="004E3517" w:rsidRPr="00B170DF">
        <w:rPr>
          <w:rFonts w:hint="eastAsia"/>
        </w:rPr>
        <w:t>万元。</w:t>
      </w:r>
      <w:r w:rsidRPr="00B170DF">
        <w:rPr>
          <w:rFonts w:ascii="宋体" w:hAnsi="宋体" w:hint="eastAsia"/>
          <w:szCs w:val="20"/>
        </w:rPr>
        <w:t>公司从事药品生产多年，在药品的生产工艺及药品质量管控上管理经验丰富，顺利通过多次药监部门的飞行检查。公司收购中药传统名方药品批号并建设配套生产线，通过优质工艺、高品质道地药材提升产品品质，以实现更高的附加值，适应国内快速增长的大健康消费升级需求，并通过引进圆</w:t>
      </w:r>
      <w:proofErr w:type="gramStart"/>
      <w:r w:rsidRPr="00B170DF">
        <w:rPr>
          <w:rFonts w:ascii="宋体" w:hAnsi="宋体" w:hint="eastAsia"/>
          <w:szCs w:val="20"/>
        </w:rPr>
        <w:t>山基金</w:t>
      </w:r>
      <w:proofErr w:type="gramEnd"/>
      <w:r w:rsidRPr="00B170DF">
        <w:rPr>
          <w:rFonts w:ascii="宋体" w:hAnsi="宋体" w:hint="eastAsia"/>
          <w:szCs w:val="20"/>
        </w:rPr>
        <w:t>为战投，借助与漳州大健康产业的战略合作推进公司在中药大健康领域的战略布局。</w:t>
      </w:r>
    </w:p>
    <w:p w14:paraId="08B70D80" w14:textId="77777777" w:rsidR="003C05F3" w:rsidRPr="00B170DF" w:rsidRDefault="003C05F3" w:rsidP="003C05F3">
      <w:pPr>
        <w:spacing w:before="163" w:after="163"/>
        <w:ind w:firstLine="480"/>
      </w:pPr>
      <w:r w:rsidRPr="00B170DF">
        <w:rPr>
          <w:rFonts w:hint="eastAsia"/>
        </w:rPr>
        <w:t>补充流动资金项目，有助于提升公司抗风险能力，满足公司的持续发展的营运资金需求。</w:t>
      </w:r>
    </w:p>
    <w:bookmarkEnd w:id="86"/>
    <w:p w14:paraId="718D9667"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b/>
          <w:bCs/>
          <w:szCs w:val="28"/>
        </w:rPr>
        <w:t>（</w:t>
      </w:r>
      <w:r w:rsidRPr="00B170DF">
        <w:rPr>
          <w:rFonts w:eastAsia="黑体" w:hint="eastAsia"/>
          <w:b/>
          <w:bCs/>
          <w:szCs w:val="28"/>
        </w:rPr>
        <w:t>二</w:t>
      </w:r>
      <w:r w:rsidRPr="00B170DF">
        <w:rPr>
          <w:rFonts w:eastAsia="黑体"/>
          <w:b/>
          <w:bCs/>
          <w:szCs w:val="28"/>
        </w:rPr>
        <w:t>）</w:t>
      </w:r>
      <w:r w:rsidRPr="00B170DF">
        <w:rPr>
          <w:rFonts w:eastAsia="黑体" w:hint="eastAsia"/>
          <w:b/>
          <w:bCs/>
          <w:szCs w:val="28"/>
        </w:rPr>
        <w:t>公司从事</w:t>
      </w:r>
      <w:proofErr w:type="gramStart"/>
      <w:r w:rsidRPr="00B170DF">
        <w:rPr>
          <w:rFonts w:eastAsia="黑体" w:hint="eastAsia"/>
          <w:b/>
          <w:bCs/>
          <w:szCs w:val="28"/>
        </w:rPr>
        <w:t>募投项目</w:t>
      </w:r>
      <w:proofErr w:type="gramEnd"/>
      <w:r w:rsidRPr="00B170DF">
        <w:rPr>
          <w:rFonts w:eastAsia="黑体" w:hint="eastAsia"/>
          <w:b/>
          <w:bCs/>
          <w:szCs w:val="28"/>
        </w:rPr>
        <w:t>在人员、技术、专利等方面的储备情况</w:t>
      </w:r>
    </w:p>
    <w:p w14:paraId="5FCFE261" w14:textId="77777777" w:rsidR="00D30300" w:rsidRPr="00B170DF" w:rsidRDefault="00D30300" w:rsidP="00D30300">
      <w:pPr>
        <w:spacing w:before="163" w:afterLines="0" w:after="160"/>
        <w:ind w:firstLine="480"/>
        <w:rPr>
          <w:szCs w:val="20"/>
        </w:rPr>
      </w:pPr>
      <w:r w:rsidRPr="00B170DF">
        <w:rPr>
          <w:rFonts w:hint="eastAsia"/>
          <w:szCs w:val="20"/>
        </w:rPr>
        <w:t>公司近年来持续深耕肝脏健康领域与抗病毒领域，在医药研发、生产与销售等方面积累了丰富的行业经验，并逐渐积累起自身的技术壁垒。同时，公司高度重视人才队伍建设，通过搭建科学合理的薪酬管理体系和人才培养机制，培养了大批优秀的技术人员及研发人员，组织工作效率得到持续提升。目前，公司在技术研发、生产管理、市场营销等关键管理岗位上拥有一批行业专家与优秀人才。针对创新药研发方向，公司已聘任多位业界专家全面负责药物临床开发、运营管理及商业化运营工作，为高层次的药物研发与运营工作提供了充足的人才保障。</w:t>
      </w:r>
      <w:r w:rsidRPr="00B170DF">
        <w:rPr>
          <w:szCs w:val="20"/>
        </w:rPr>
        <w:t>针对本次</w:t>
      </w:r>
      <w:proofErr w:type="gramStart"/>
      <w:r w:rsidRPr="00B170DF">
        <w:rPr>
          <w:szCs w:val="20"/>
        </w:rPr>
        <w:t>募投项目</w:t>
      </w:r>
      <w:proofErr w:type="gramEnd"/>
      <w:r w:rsidRPr="00B170DF">
        <w:rPr>
          <w:szCs w:val="20"/>
        </w:rPr>
        <w:t>具体投向的药物，公司在前期研发过程中已通过</w:t>
      </w:r>
      <w:r w:rsidRPr="00B170DF">
        <w:rPr>
          <w:szCs w:val="20"/>
        </w:rPr>
        <w:t>PCT</w:t>
      </w:r>
      <w:r w:rsidRPr="00B170DF">
        <w:rPr>
          <w:szCs w:val="20"/>
        </w:rPr>
        <w:t>途径申请国际专利，</w:t>
      </w:r>
      <w:r w:rsidRPr="00B170DF">
        <w:rPr>
          <w:rFonts w:hint="eastAsia"/>
          <w:szCs w:val="20"/>
        </w:rPr>
        <w:t>目前部分药物已取得多个国家或地区的化合物发明专利授权</w:t>
      </w:r>
      <w:proofErr w:type="gramStart"/>
      <w:r w:rsidRPr="00B170DF">
        <w:rPr>
          <w:rFonts w:hint="eastAsia"/>
          <w:szCs w:val="20"/>
        </w:rPr>
        <w:t>以及晶</w:t>
      </w:r>
      <w:proofErr w:type="gramEnd"/>
      <w:r w:rsidRPr="00B170DF">
        <w:rPr>
          <w:rFonts w:hint="eastAsia"/>
          <w:szCs w:val="20"/>
        </w:rPr>
        <w:t>型发明专利授权，另有多个专利处于审查状态。公司相关专利储备完善，有助于公司充分发挥自主知识产权优势，持续提升自身核心竞争力。</w:t>
      </w:r>
    </w:p>
    <w:p w14:paraId="452C91E8" w14:textId="77777777" w:rsidR="00B4039B" w:rsidRPr="00B170DF" w:rsidRDefault="00D30300" w:rsidP="00D30300">
      <w:pPr>
        <w:keepNext/>
        <w:keepLines/>
        <w:widowControl/>
        <w:spacing w:before="163" w:after="163"/>
        <w:ind w:firstLineChars="0" w:firstLine="0"/>
        <w:outlineLvl w:val="1"/>
        <w:rPr>
          <w:rFonts w:eastAsia="黑体"/>
          <w:b/>
          <w:bCs/>
          <w:color w:val="000000"/>
          <w:sz w:val="28"/>
          <w:szCs w:val="28"/>
        </w:rPr>
      </w:pPr>
      <w:bookmarkStart w:id="87" w:name="_Toc194169741"/>
      <w:r w:rsidRPr="00B170DF">
        <w:rPr>
          <w:rFonts w:eastAsia="黑体" w:hint="eastAsia"/>
          <w:b/>
          <w:bCs/>
          <w:color w:val="000000"/>
          <w:sz w:val="28"/>
          <w:szCs w:val="28"/>
        </w:rPr>
        <w:t>六、公司应对本次发行摊薄即期回报采取的措施</w:t>
      </w:r>
      <w:bookmarkEnd w:id="87"/>
    </w:p>
    <w:p w14:paraId="59E655FC" w14:textId="77777777" w:rsidR="00D30300" w:rsidRPr="00B170DF" w:rsidRDefault="00D30300" w:rsidP="00D30300">
      <w:pPr>
        <w:spacing w:before="163" w:afterLines="0" w:after="0"/>
        <w:ind w:firstLine="480"/>
      </w:pPr>
      <w:r w:rsidRPr="00B170DF">
        <w:rPr>
          <w:rFonts w:hint="eastAsia"/>
        </w:rPr>
        <w:t>考虑本次向特定对象发行可能摊薄普通股股东即期回报，为保护公司普通股</w:t>
      </w:r>
      <w:r w:rsidRPr="00B170DF">
        <w:rPr>
          <w:rFonts w:hint="eastAsia"/>
        </w:rPr>
        <w:lastRenderedPageBreak/>
        <w:t>股东特别是中小股东利益，上市公司将采取以下具体填补回报措施，增强公司盈利能力和股东回报水平：</w:t>
      </w:r>
    </w:p>
    <w:p w14:paraId="747D832E"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（一）持续强化竞争优势，有效提升公司盈利能力</w:t>
      </w:r>
      <w:r w:rsidRPr="00B170DF">
        <w:rPr>
          <w:rFonts w:eastAsia="黑体" w:hint="eastAsia"/>
          <w:b/>
          <w:bCs/>
          <w:szCs w:val="28"/>
        </w:rPr>
        <w:t xml:space="preserve"> </w:t>
      </w:r>
    </w:p>
    <w:p w14:paraId="0E1E655D" w14:textId="77777777" w:rsidR="00D30300" w:rsidRPr="00B170DF" w:rsidRDefault="00D30300" w:rsidP="00D30300">
      <w:pPr>
        <w:spacing w:before="163" w:afterLines="0" w:after="0"/>
        <w:ind w:firstLine="480"/>
      </w:pPr>
      <w:r w:rsidRPr="00B170DF">
        <w:rPr>
          <w:rFonts w:hint="eastAsia"/>
        </w:rPr>
        <w:t>公司是国内深耕抗病毒及肝脏健康领域领先的创新药研发生产企业，在发展过程中逐步形成了产品、技术、人才、营销、品牌及渠道等竞争优势。公司将在巩固现有业务优势的基础上进一步加强研发与市场开拓，不断完善产品管线，从产品结构、市场布局和技术实力等方面全面提升公司的市场竞争力，持续提升公司的盈利能力。</w:t>
      </w:r>
    </w:p>
    <w:p w14:paraId="3F2358C2"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（二）积极落实募集资金投资项目，助力公司业务发展</w:t>
      </w:r>
    </w:p>
    <w:p w14:paraId="4A10D840" w14:textId="77777777" w:rsidR="00D30300" w:rsidRPr="00B170DF" w:rsidRDefault="00D30300" w:rsidP="00D30300">
      <w:pPr>
        <w:spacing w:before="163" w:afterLines="0" w:after="0"/>
        <w:ind w:firstLine="480"/>
      </w:pPr>
      <w:r w:rsidRPr="00B170DF">
        <w:rPr>
          <w:rFonts w:hint="eastAsia"/>
        </w:rPr>
        <w:t>本次募集资金投资项目的实施，将推动公司业务发展，进一步加强公司创新药的研发能力和研发进度，进一步提高公司市场竞争力，为公司的战略发展带来积极影响。本次发行募集资金到位后，公司将积极推进募集资金投资项目，从而降低本次发行对股东即期回报摊薄的风险。</w:t>
      </w:r>
    </w:p>
    <w:p w14:paraId="0344FDEC"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（三）加强对募集资金的管理，防范募集资金使用风险</w:t>
      </w:r>
    </w:p>
    <w:p w14:paraId="08CE0514" w14:textId="77777777" w:rsidR="00D30300" w:rsidRPr="00B170DF" w:rsidRDefault="00D30300" w:rsidP="00D30300">
      <w:pPr>
        <w:spacing w:before="163" w:afterLines="0" w:after="0"/>
        <w:ind w:firstLine="480"/>
      </w:pPr>
      <w:r w:rsidRPr="00B170DF">
        <w:rPr>
          <w:rFonts w:hint="eastAsia"/>
        </w:rPr>
        <w:t>公司已根据《中华人民共和国证券法》（以下简称“《证券法》”）《中华人民共和国公司法》（以下简称“《公司法》”）《上市公司证券发行注册管理办法》（以下简称“《注册管理办法》”）《上市公司监管指引第</w:t>
      </w:r>
      <w:r w:rsidRPr="00B170DF">
        <w:rPr>
          <w:rFonts w:hint="eastAsia"/>
        </w:rPr>
        <w:t>2</w:t>
      </w:r>
      <w:r w:rsidRPr="00B170DF">
        <w:rPr>
          <w:rFonts w:hint="eastAsia"/>
        </w:rPr>
        <w:t>号——上市公司募集资金管理和使用的监管要求》等法律、法规和规范性文件的要求，结合公司实际情况，制定了《福建广生堂药业股份有限公司募集资金管理办法募集资金管理办法》，严格管理募集资金，保证募集资金按照约定用途合理规范的使用，防范募集资金使用风险。公司将定期对募集资金进行内部审计、配合存管银行和保荐机构对募集资金使用的检查和监督。</w:t>
      </w:r>
    </w:p>
    <w:p w14:paraId="62A5888A"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（四）不断完善公司治理，为公司发展提供制度保障</w:t>
      </w:r>
    </w:p>
    <w:p w14:paraId="0373F06B" w14:textId="77777777" w:rsidR="00D30300" w:rsidRPr="00B170DF" w:rsidRDefault="00D30300" w:rsidP="00D30300">
      <w:pPr>
        <w:spacing w:before="163" w:afterLines="0" w:after="0"/>
        <w:ind w:firstLine="480"/>
      </w:pPr>
      <w:r w:rsidRPr="00B170DF">
        <w:rPr>
          <w:rFonts w:hint="eastAsia"/>
        </w:rPr>
        <w:t>公司将严格遵循《公司法》《证券法》《上市公司治理准则》等法律法规和规范性文件的要求，完善现代企业管理制度，优化公司治理结构，确保公司股东特</w:t>
      </w:r>
      <w:r w:rsidRPr="00B170DF">
        <w:rPr>
          <w:rFonts w:hint="eastAsia"/>
        </w:rPr>
        <w:lastRenderedPageBreak/>
        <w:t>别是中小股东能够充分行使股东权利，确保董事会能够按照法律、法规和《公司章程》的规定行使职权，</w:t>
      </w:r>
      <w:proofErr w:type="gramStart"/>
      <w:r w:rsidRPr="00B170DF">
        <w:rPr>
          <w:rFonts w:hint="eastAsia"/>
        </w:rPr>
        <w:t>作出</w:t>
      </w:r>
      <w:proofErr w:type="gramEnd"/>
      <w:r w:rsidRPr="00B170DF">
        <w:rPr>
          <w:rFonts w:hint="eastAsia"/>
        </w:rPr>
        <w:t>科学、迅速和谨慎地决策，确保独立董事能够认真履行职责，维护公司整体利益，尤其是中小股东的合法权益，确保监事会能够独立有效地行使对董事、经理和其他高级管理人员及公司财务的监督权和检查权，为公司的长远健康发展提供制度保障。</w:t>
      </w:r>
    </w:p>
    <w:p w14:paraId="11DAD858"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（五）严格执行现金分红政策，强化投资者回报机制</w:t>
      </w:r>
      <w:r w:rsidRPr="00B170DF">
        <w:rPr>
          <w:rFonts w:eastAsia="黑体" w:hint="eastAsia"/>
          <w:b/>
          <w:bCs/>
          <w:szCs w:val="28"/>
        </w:rPr>
        <w:t xml:space="preserve"> </w:t>
      </w:r>
    </w:p>
    <w:p w14:paraId="13AA6689" w14:textId="77777777" w:rsidR="00D30300" w:rsidRPr="00B170DF" w:rsidRDefault="00D30300" w:rsidP="00D30300">
      <w:pPr>
        <w:spacing w:before="163" w:afterLines="0" w:after="0"/>
        <w:ind w:firstLine="480"/>
      </w:pPr>
      <w:r w:rsidRPr="00B170DF">
        <w:rPr>
          <w:rFonts w:hint="eastAsia"/>
        </w:rPr>
        <w:t>公司已经按照《关于进一步落实上市公司现金分红有关事项的通知》和《上市公司监管指引第</w:t>
      </w:r>
      <w:r w:rsidRPr="00B170DF">
        <w:rPr>
          <w:rFonts w:hint="eastAsia"/>
        </w:rPr>
        <w:t>3</w:t>
      </w:r>
      <w:r w:rsidRPr="00B170DF">
        <w:rPr>
          <w:rFonts w:hint="eastAsia"/>
        </w:rPr>
        <w:t>号——上市公司现金分红》及其他相关法律、法规和规范性文件的要求，进一步明确了公司利润分配方案、分配原则、分配形式及决策机制，强化了中小投资者权益保障机制。</w:t>
      </w:r>
    </w:p>
    <w:p w14:paraId="0B2C62F3" w14:textId="77777777" w:rsidR="00D30300" w:rsidRPr="00B170DF" w:rsidRDefault="00D30300" w:rsidP="00D30300">
      <w:pPr>
        <w:spacing w:before="163" w:afterLines="0" w:after="0"/>
        <w:ind w:firstLine="480"/>
      </w:pPr>
      <w:r w:rsidRPr="00B170DF">
        <w:rPr>
          <w:rFonts w:hint="eastAsia"/>
        </w:rPr>
        <w:t>未来，公司将继续严格执行公司分红政策，强化投资者回报机制，确保公司股东特别是中小股东的利益得到保护。但公司制定上述填补回报措施不等于对公司未来利润</w:t>
      </w:r>
      <w:proofErr w:type="gramStart"/>
      <w:r w:rsidRPr="00B170DF">
        <w:rPr>
          <w:rFonts w:hint="eastAsia"/>
        </w:rPr>
        <w:t>作出</w:t>
      </w:r>
      <w:proofErr w:type="gramEnd"/>
      <w:r w:rsidRPr="00B170DF">
        <w:rPr>
          <w:rFonts w:hint="eastAsia"/>
        </w:rPr>
        <w:t>任何保证，敬请投资者注意投资风险。</w:t>
      </w:r>
    </w:p>
    <w:p w14:paraId="40DCBB33" w14:textId="77777777" w:rsidR="00D30300" w:rsidRPr="00B170DF" w:rsidRDefault="00D30300" w:rsidP="00D30300">
      <w:pPr>
        <w:spacing w:before="163" w:afterLines="0" w:after="0"/>
        <w:ind w:firstLine="480"/>
      </w:pPr>
      <w:r w:rsidRPr="00B170DF">
        <w:rPr>
          <w:rFonts w:hint="eastAsia"/>
        </w:rPr>
        <w:t>综上，本次发行完成后，公司将提升管理水平，强化主营业务，积极推进募集资金投资项目实施，加强募集资金管理，并通过不断完善公司治理等措施，进一步提升公司的盈利能力、市场竞争力及运营效率。在满足利润分配条件的前提下，公司将积极推动对股东的利润分配，提升公司对股东的回报能力。</w:t>
      </w:r>
    </w:p>
    <w:p w14:paraId="6F0672D5" w14:textId="77777777" w:rsidR="00D30300" w:rsidRPr="00B170DF" w:rsidRDefault="00D30300" w:rsidP="00D30300">
      <w:pPr>
        <w:keepNext/>
        <w:keepLines/>
        <w:widowControl/>
        <w:spacing w:before="163" w:after="163"/>
        <w:ind w:firstLineChars="0" w:firstLine="0"/>
        <w:outlineLvl w:val="1"/>
        <w:rPr>
          <w:rFonts w:eastAsia="黑体"/>
          <w:b/>
          <w:bCs/>
          <w:color w:val="000000"/>
          <w:sz w:val="28"/>
          <w:szCs w:val="28"/>
        </w:rPr>
      </w:pPr>
      <w:bookmarkStart w:id="88" w:name="_Toc194169742"/>
      <w:r w:rsidRPr="00B170DF">
        <w:rPr>
          <w:rFonts w:eastAsia="黑体" w:hint="eastAsia"/>
          <w:b/>
          <w:bCs/>
          <w:color w:val="000000"/>
          <w:sz w:val="28"/>
          <w:szCs w:val="28"/>
        </w:rPr>
        <w:t>七、相关主体对本次发行摊薄即期回报的相关承诺</w:t>
      </w:r>
      <w:bookmarkEnd w:id="88"/>
    </w:p>
    <w:p w14:paraId="65705761" w14:textId="77777777" w:rsidR="00D30300" w:rsidRPr="00B170DF" w:rsidRDefault="00D30300" w:rsidP="00D30300">
      <w:pPr>
        <w:spacing w:before="163" w:afterLines="0" w:after="0"/>
        <w:ind w:firstLine="480"/>
      </w:pPr>
      <w:r w:rsidRPr="00B170DF">
        <w:rPr>
          <w:rFonts w:hint="eastAsia"/>
        </w:rPr>
        <w:t>公司就本次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摊薄即期回报对主要财务指标的影响进行了分析并提出了具体的填补回报措施，相关主体对填补回报措施能够切实履行</w:t>
      </w:r>
      <w:proofErr w:type="gramStart"/>
      <w:r w:rsidRPr="00B170DF">
        <w:rPr>
          <w:rFonts w:hint="eastAsia"/>
        </w:rPr>
        <w:t>作出</w:t>
      </w:r>
      <w:proofErr w:type="gramEnd"/>
      <w:r w:rsidRPr="00B170DF">
        <w:rPr>
          <w:rFonts w:hint="eastAsia"/>
        </w:rPr>
        <w:t>了承诺，具体情况如下：</w:t>
      </w:r>
    </w:p>
    <w:p w14:paraId="21D503C6"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（一）公司董事和高级管理人员对公司本次</w:t>
      </w:r>
      <w:r w:rsidR="005B7FDD" w:rsidRPr="00B170DF">
        <w:rPr>
          <w:rFonts w:eastAsia="黑体" w:hint="eastAsia"/>
          <w:b/>
          <w:bCs/>
          <w:szCs w:val="28"/>
        </w:rPr>
        <w:t>向特定对象发行</w:t>
      </w:r>
      <w:r w:rsidR="005B7FDD" w:rsidRPr="00B170DF">
        <w:rPr>
          <w:rFonts w:eastAsia="黑体" w:hint="eastAsia"/>
          <w:b/>
          <w:bCs/>
          <w:szCs w:val="28"/>
        </w:rPr>
        <w:t>A</w:t>
      </w:r>
      <w:r w:rsidR="005B7FDD" w:rsidRPr="00B170DF">
        <w:rPr>
          <w:rFonts w:eastAsia="黑体" w:hint="eastAsia"/>
          <w:b/>
          <w:bCs/>
          <w:szCs w:val="28"/>
        </w:rPr>
        <w:t>股股票</w:t>
      </w:r>
      <w:r w:rsidRPr="00B170DF">
        <w:rPr>
          <w:rFonts w:eastAsia="黑体" w:hint="eastAsia"/>
          <w:b/>
          <w:bCs/>
          <w:szCs w:val="28"/>
        </w:rPr>
        <w:t>摊薄即期回报采取填补措施的承诺</w:t>
      </w:r>
    </w:p>
    <w:p w14:paraId="03FE8D1D" w14:textId="77777777" w:rsidR="00D30300" w:rsidRPr="00B170DF" w:rsidRDefault="00D30300" w:rsidP="00D30300">
      <w:pPr>
        <w:spacing w:before="163" w:afterLines="0" w:after="0"/>
        <w:ind w:firstLine="480"/>
      </w:pPr>
      <w:r w:rsidRPr="00B170DF">
        <w:rPr>
          <w:rFonts w:hint="eastAsia"/>
        </w:rPr>
        <w:t>为维护公司和全体股东合法权益，并根据中国证监会相关规定对公司填补回报措施能够得到切实履行，公司全体董事及高级管理人员将忠实、</w:t>
      </w:r>
      <w:proofErr w:type="gramStart"/>
      <w:r w:rsidRPr="00B170DF">
        <w:rPr>
          <w:rFonts w:hint="eastAsia"/>
        </w:rPr>
        <w:t>勤勉履行</w:t>
      </w:r>
      <w:proofErr w:type="gramEnd"/>
      <w:r w:rsidRPr="00B170DF">
        <w:rPr>
          <w:rFonts w:hint="eastAsia"/>
        </w:rPr>
        <w:t>职责，</w:t>
      </w:r>
      <w:r w:rsidRPr="00B170DF">
        <w:rPr>
          <w:rFonts w:hint="eastAsia"/>
        </w:rPr>
        <w:lastRenderedPageBreak/>
        <w:t>并承诺：</w:t>
      </w:r>
    </w:p>
    <w:p w14:paraId="57783E44" w14:textId="77777777" w:rsidR="00D30300" w:rsidRPr="00B170DF" w:rsidRDefault="00D30300" w:rsidP="00D30300">
      <w:pPr>
        <w:spacing w:before="163" w:afterLines="0" w:after="0"/>
        <w:ind w:firstLine="480"/>
      </w:pPr>
      <w:r w:rsidRPr="00B170DF">
        <w:rPr>
          <w:rFonts w:hint="eastAsia"/>
        </w:rPr>
        <w:t>“</w:t>
      </w:r>
      <w:r w:rsidRPr="00B170DF">
        <w:rPr>
          <w:rFonts w:hint="eastAsia"/>
        </w:rPr>
        <w:t>1</w:t>
      </w:r>
      <w:r w:rsidRPr="00B170DF">
        <w:rPr>
          <w:rFonts w:hint="eastAsia"/>
        </w:rPr>
        <w:t>、本人承诺</w:t>
      </w:r>
      <w:proofErr w:type="gramStart"/>
      <w:r w:rsidRPr="00B170DF">
        <w:rPr>
          <w:rFonts w:hint="eastAsia"/>
        </w:rPr>
        <w:t>不</w:t>
      </w:r>
      <w:proofErr w:type="gramEnd"/>
      <w:r w:rsidRPr="00B170DF">
        <w:rPr>
          <w:rFonts w:hint="eastAsia"/>
        </w:rPr>
        <w:t>无偿或以不公平条件向其他单位或者个人输送利益，也不采用其他方式损害公司利益；</w:t>
      </w:r>
    </w:p>
    <w:p w14:paraId="3AF9A167" w14:textId="77777777" w:rsidR="00D30300" w:rsidRPr="00B170DF" w:rsidRDefault="00D30300" w:rsidP="00D30300">
      <w:pPr>
        <w:spacing w:before="163" w:afterLines="0" w:after="0"/>
        <w:ind w:firstLine="480"/>
      </w:pPr>
      <w:r w:rsidRPr="00B170DF">
        <w:rPr>
          <w:rFonts w:hint="eastAsia"/>
        </w:rPr>
        <w:t>2</w:t>
      </w:r>
      <w:r w:rsidRPr="00B170DF">
        <w:rPr>
          <w:rFonts w:hint="eastAsia"/>
        </w:rPr>
        <w:t>、本人承诺对本人的职务消费行为进行约束；</w:t>
      </w:r>
    </w:p>
    <w:p w14:paraId="15B1B913" w14:textId="77777777" w:rsidR="00D30300" w:rsidRPr="00B170DF" w:rsidRDefault="00D30300" w:rsidP="00D30300">
      <w:pPr>
        <w:spacing w:before="163" w:afterLines="0" w:after="0"/>
        <w:ind w:firstLine="480"/>
      </w:pPr>
      <w:r w:rsidRPr="00B170DF">
        <w:rPr>
          <w:rFonts w:hint="eastAsia"/>
        </w:rPr>
        <w:t>3</w:t>
      </w:r>
      <w:r w:rsidRPr="00B170DF">
        <w:rPr>
          <w:rFonts w:hint="eastAsia"/>
        </w:rPr>
        <w:t>、本人承诺不动用公司资产从事与本人履行职责无关的投资、消费活动；</w:t>
      </w:r>
    </w:p>
    <w:p w14:paraId="5E15BA69" w14:textId="77777777" w:rsidR="00D30300" w:rsidRPr="00B170DF" w:rsidRDefault="00D30300" w:rsidP="00D30300">
      <w:pPr>
        <w:spacing w:before="163" w:afterLines="0" w:after="0"/>
        <w:ind w:firstLine="480"/>
      </w:pPr>
      <w:r w:rsidRPr="00B170DF">
        <w:rPr>
          <w:rFonts w:hint="eastAsia"/>
        </w:rPr>
        <w:t>4</w:t>
      </w:r>
      <w:r w:rsidRPr="00B170DF">
        <w:rPr>
          <w:rFonts w:hint="eastAsia"/>
        </w:rPr>
        <w:t>、本人承诺由董事会或薪酬委员会制定的薪酬制度与公司填补回报措施的执行情况相挂钩；</w:t>
      </w:r>
    </w:p>
    <w:p w14:paraId="029D23F1" w14:textId="77777777" w:rsidR="00D30300" w:rsidRPr="00B170DF" w:rsidRDefault="00D30300" w:rsidP="00D30300">
      <w:pPr>
        <w:spacing w:before="163" w:afterLines="0" w:after="0"/>
        <w:ind w:firstLine="480"/>
      </w:pPr>
      <w:r w:rsidRPr="00B170DF">
        <w:rPr>
          <w:rFonts w:hint="eastAsia"/>
        </w:rPr>
        <w:t>5</w:t>
      </w:r>
      <w:r w:rsidRPr="00B170DF">
        <w:rPr>
          <w:rFonts w:hint="eastAsia"/>
        </w:rPr>
        <w:t>、未来公司如实施股权激励，本人承诺</w:t>
      </w:r>
      <w:proofErr w:type="gramStart"/>
      <w:r w:rsidRPr="00B170DF">
        <w:rPr>
          <w:rFonts w:hint="eastAsia"/>
        </w:rPr>
        <w:t>拟公布</w:t>
      </w:r>
      <w:proofErr w:type="gramEnd"/>
      <w:r w:rsidRPr="00B170DF">
        <w:rPr>
          <w:rFonts w:hint="eastAsia"/>
        </w:rPr>
        <w:t>的公司股权激励的行权条件与公司填补回报措施的执行情况相挂钩；</w:t>
      </w:r>
    </w:p>
    <w:p w14:paraId="61788733" w14:textId="77777777" w:rsidR="00D30300" w:rsidRPr="00B170DF" w:rsidRDefault="00D30300" w:rsidP="00D30300">
      <w:pPr>
        <w:spacing w:before="163" w:afterLines="0" w:after="0"/>
        <w:ind w:firstLine="480"/>
      </w:pPr>
      <w:r w:rsidRPr="00B170DF">
        <w:rPr>
          <w:rFonts w:hint="eastAsia"/>
        </w:rPr>
        <w:t>6</w:t>
      </w:r>
      <w:r w:rsidRPr="00B170DF">
        <w:rPr>
          <w:rFonts w:hint="eastAsia"/>
        </w:rPr>
        <w:t>、自</w:t>
      </w:r>
      <w:proofErr w:type="gramStart"/>
      <w:r w:rsidRPr="00B170DF">
        <w:rPr>
          <w:rFonts w:hint="eastAsia"/>
        </w:rPr>
        <w:t>本承诺</w:t>
      </w:r>
      <w:proofErr w:type="gramEnd"/>
      <w:r w:rsidRPr="00B170DF">
        <w:rPr>
          <w:rFonts w:hint="eastAsia"/>
        </w:rPr>
        <w:t>出具日至公司本次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实施完毕前，若中国证券监督管理委员会和深圳证券交易所等证券监管机构</w:t>
      </w:r>
      <w:proofErr w:type="gramStart"/>
      <w:r w:rsidRPr="00B170DF">
        <w:rPr>
          <w:rFonts w:hint="eastAsia"/>
        </w:rPr>
        <w:t>作出</w:t>
      </w:r>
      <w:proofErr w:type="gramEnd"/>
      <w:r w:rsidRPr="00B170DF">
        <w:rPr>
          <w:rFonts w:hint="eastAsia"/>
        </w:rPr>
        <w:t>关于填补回报措施及其承诺的其他新的监管规定的，且上述承诺不能满足该等规定时，本人承诺届时将按照中国证券监督管理委员会和深圳证券交易所等证券监管机构的最新规定出具补充承诺。</w:t>
      </w:r>
      <w:r w:rsidRPr="00B170DF">
        <w:rPr>
          <w:rFonts w:hint="eastAsia"/>
        </w:rPr>
        <w:t xml:space="preserve"> </w:t>
      </w:r>
    </w:p>
    <w:p w14:paraId="67E7A7A3" w14:textId="77777777" w:rsidR="00D30300" w:rsidRPr="00B170DF" w:rsidRDefault="00D30300" w:rsidP="00D30300">
      <w:pPr>
        <w:spacing w:before="163" w:afterLines="0" w:after="0"/>
        <w:ind w:firstLine="480"/>
      </w:pPr>
      <w:r w:rsidRPr="00B170DF">
        <w:rPr>
          <w:rFonts w:hint="eastAsia"/>
        </w:rPr>
        <w:t>作为填补回报措施相关责任主体之一，若违反上述承诺或拒不履行上述承诺，本人同意接受中国证券监督管理委员会和深圳证券交易所等证券监管机构按照其制定或发布的有关规定、规则，对本人</w:t>
      </w:r>
      <w:proofErr w:type="gramStart"/>
      <w:r w:rsidRPr="00B170DF">
        <w:rPr>
          <w:rFonts w:hint="eastAsia"/>
        </w:rPr>
        <w:t>作出</w:t>
      </w:r>
      <w:proofErr w:type="gramEnd"/>
      <w:r w:rsidRPr="00B170DF">
        <w:rPr>
          <w:rFonts w:hint="eastAsia"/>
        </w:rPr>
        <w:t>相关处罚或采取相关管理措施。”</w:t>
      </w:r>
    </w:p>
    <w:p w14:paraId="3D170F93" w14:textId="77777777" w:rsidR="00D30300" w:rsidRPr="00B170DF" w:rsidRDefault="00D30300" w:rsidP="00D30300">
      <w:pPr>
        <w:keepNext/>
        <w:keepLines/>
        <w:widowControl/>
        <w:spacing w:before="163" w:after="163"/>
        <w:ind w:firstLine="482"/>
        <w:outlineLvl w:val="2"/>
        <w:rPr>
          <w:rFonts w:eastAsia="黑体"/>
          <w:b/>
          <w:bCs/>
          <w:szCs w:val="28"/>
        </w:rPr>
      </w:pPr>
      <w:r w:rsidRPr="00B170DF">
        <w:rPr>
          <w:rFonts w:eastAsia="黑体" w:hint="eastAsia"/>
          <w:b/>
          <w:bCs/>
          <w:szCs w:val="28"/>
        </w:rPr>
        <w:t>（二）公司的控股股东、实际控制人对公司本次</w:t>
      </w:r>
      <w:r w:rsidR="005B7FDD" w:rsidRPr="00B170DF">
        <w:rPr>
          <w:rFonts w:eastAsia="黑体" w:hint="eastAsia"/>
          <w:b/>
          <w:bCs/>
          <w:szCs w:val="28"/>
        </w:rPr>
        <w:t>向特定对象发行</w:t>
      </w:r>
      <w:r w:rsidR="005B7FDD" w:rsidRPr="00B170DF">
        <w:rPr>
          <w:rFonts w:eastAsia="黑体" w:hint="eastAsia"/>
          <w:b/>
          <w:bCs/>
          <w:szCs w:val="28"/>
        </w:rPr>
        <w:t>A</w:t>
      </w:r>
      <w:r w:rsidR="005B7FDD" w:rsidRPr="00B170DF">
        <w:rPr>
          <w:rFonts w:eastAsia="黑体" w:hint="eastAsia"/>
          <w:b/>
          <w:bCs/>
          <w:szCs w:val="28"/>
        </w:rPr>
        <w:t>股股票</w:t>
      </w:r>
      <w:r w:rsidRPr="00B170DF">
        <w:rPr>
          <w:rFonts w:eastAsia="黑体" w:hint="eastAsia"/>
          <w:b/>
          <w:bCs/>
          <w:szCs w:val="28"/>
        </w:rPr>
        <w:t>摊薄即期回报采取填补措施的承诺</w:t>
      </w:r>
    </w:p>
    <w:p w14:paraId="38BD61CE" w14:textId="77777777" w:rsidR="00D30300" w:rsidRPr="00B170DF" w:rsidRDefault="00D30300" w:rsidP="00D30300">
      <w:pPr>
        <w:spacing w:before="163" w:afterLines="0" w:after="0"/>
        <w:ind w:firstLine="480"/>
      </w:pPr>
      <w:r w:rsidRPr="00B170DF">
        <w:rPr>
          <w:rFonts w:hint="eastAsia"/>
        </w:rPr>
        <w:t>为确保公司填补回报措施能够得到切实履行，公司控股股东福建奥华集团有限公司，实际控制人李国平先生、叶理青女士、李国栋先生承诺：</w:t>
      </w:r>
    </w:p>
    <w:p w14:paraId="545DE8C9" w14:textId="77777777" w:rsidR="00D30300" w:rsidRPr="00B170DF" w:rsidRDefault="00D30300" w:rsidP="00D30300">
      <w:pPr>
        <w:spacing w:before="163" w:afterLines="0" w:after="0"/>
        <w:ind w:firstLine="480"/>
      </w:pPr>
      <w:r w:rsidRPr="00B170DF">
        <w:rPr>
          <w:rFonts w:hint="eastAsia"/>
        </w:rPr>
        <w:t>“</w:t>
      </w:r>
      <w:r w:rsidRPr="00B170DF">
        <w:rPr>
          <w:rFonts w:hint="eastAsia"/>
        </w:rPr>
        <w:t>1</w:t>
      </w:r>
      <w:r w:rsidRPr="00B170DF">
        <w:rPr>
          <w:rFonts w:hint="eastAsia"/>
        </w:rPr>
        <w:t>、依照相关法律、法规及公司章程的有关规定行使股东权利，本人</w:t>
      </w:r>
      <w:r w:rsidRPr="00B170DF">
        <w:rPr>
          <w:rFonts w:hint="eastAsia"/>
        </w:rPr>
        <w:t>/</w:t>
      </w:r>
      <w:r w:rsidRPr="00B170DF">
        <w:rPr>
          <w:rFonts w:hint="eastAsia"/>
        </w:rPr>
        <w:t>本企业承诺不越权干预公司经营管理活动，不侵占公司利益。</w:t>
      </w:r>
    </w:p>
    <w:p w14:paraId="31B855C4" w14:textId="77777777" w:rsidR="00D30300" w:rsidRPr="00B170DF" w:rsidRDefault="00D30300" w:rsidP="00D30300">
      <w:pPr>
        <w:spacing w:before="163" w:afterLines="0" w:after="0"/>
        <w:ind w:firstLine="480"/>
      </w:pPr>
      <w:r w:rsidRPr="00B170DF">
        <w:rPr>
          <w:rFonts w:hint="eastAsia"/>
        </w:rPr>
        <w:t>2</w:t>
      </w:r>
      <w:r w:rsidRPr="00B170DF">
        <w:rPr>
          <w:rFonts w:hint="eastAsia"/>
        </w:rPr>
        <w:t>、本人</w:t>
      </w:r>
      <w:r w:rsidRPr="00B170DF">
        <w:rPr>
          <w:rFonts w:hint="eastAsia"/>
        </w:rPr>
        <w:t>/</w:t>
      </w:r>
      <w:r w:rsidRPr="00B170DF">
        <w:rPr>
          <w:rFonts w:hint="eastAsia"/>
        </w:rPr>
        <w:t>本企业承诺切实履行公司制定的有关填补回报的相关措施以及本人</w:t>
      </w:r>
      <w:r w:rsidRPr="00B170DF">
        <w:rPr>
          <w:rFonts w:hint="eastAsia"/>
        </w:rPr>
        <w:lastRenderedPageBreak/>
        <w:t>/</w:t>
      </w:r>
      <w:r w:rsidRPr="00B170DF">
        <w:rPr>
          <w:rFonts w:hint="eastAsia"/>
        </w:rPr>
        <w:t>本企业对此</w:t>
      </w:r>
      <w:proofErr w:type="gramStart"/>
      <w:r w:rsidRPr="00B170DF">
        <w:rPr>
          <w:rFonts w:hint="eastAsia"/>
        </w:rPr>
        <w:t>作出</w:t>
      </w:r>
      <w:proofErr w:type="gramEnd"/>
      <w:r w:rsidRPr="00B170DF">
        <w:rPr>
          <w:rFonts w:hint="eastAsia"/>
        </w:rPr>
        <w:t>的任何有关填补回报措施的承诺，若本人</w:t>
      </w:r>
      <w:r w:rsidRPr="00B170DF">
        <w:rPr>
          <w:rFonts w:hint="eastAsia"/>
        </w:rPr>
        <w:t>/</w:t>
      </w:r>
      <w:r w:rsidRPr="00B170DF">
        <w:rPr>
          <w:rFonts w:hint="eastAsia"/>
        </w:rPr>
        <w:t>本企业违反该等承诺并给公司或者投资者造成损失的，本人</w:t>
      </w:r>
      <w:r w:rsidRPr="00B170DF">
        <w:rPr>
          <w:rFonts w:hint="eastAsia"/>
        </w:rPr>
        <w:t>/</w:t>
      </w:r>
      <w:r w:rsidRPr="00B170DF">
        <w:rPr>
          <w:rFonts w:hint="eastAsia"/>
        </w:rPr>
        <w:t>本企业愿意依法承担对公司或者投资者的补偿责任。</w:t>
      </w:r>
    </w:p>
    <w:p w14:paraId="07BF0584" w14:textId="77777777" w:rsidR="00D30300" w:rsidRPr="00B170DF" w:rsidRDefault="00D30300" w:rsidP="00D30300">
      <w:pPr>
        <w:spacing w:before="163" w:afterLines="0" w:after="0"/>
        <w:ind w:firstLine="480"/>
      </w:pPr>
      <w:r w:rsidRPr="00B170DF">
        <w:rPr>
          <w:rFonts w:hint="eastAsia"/>
        </w:rPr>
        <w:t>3</w:t>
      </w:r>
      <w:r w:rsidRPr="00B170DF">
        <w:rPr>
          <w:rFonts w:hint="eastAsia"/>
        </w:rPr>
        <w:t>、自</w:t>
      </w:r>
      <w:proofErr w:type="gramStart"/>
      <w:r w:rsidRPr="00B170DF">
        <w:rPr>
          <w:rFonts w:hint="eastAsia"/>
        </w:rPr>
        <w:t>本承诺</w:t>
      </w:r>
      <w:proofErr w:type="gramEnd"/>
      <w:r w:rsidRPr="00B170DF">
        <w:rPr>
          <w:rFonts w:hint="eastAsia"/>
        </w:rPr>
        <w:t>出具日至公司本次</w:t>
      </w:r>
      <w:r w:rsidR="005B7FDD" w:rsidRPr="00B170DF">
        <w:rPr>
          <w:rFonts w:hint="eastAsia"/>
        </w:rPr>
        <w:t>向特定对象发行</w:t>
      </w:r>
      <w:r w:rsidR="005B7FDD" w:rsidRPr="00B170DF">
        <w:rPr>
          <w:rFonts w:hint="eastAsia"/>
        </w:rPr>
        <w:t>A</w:t>
      </w:r>
      <w:r w:rsidR="005B7FDD" w:rsidRPr="00B170DF">
        <w:rPr>
          <w:rFonts w:hint="eastAsia"/>
        </w:rPr>
        <w:t>股股票</w:t>
      </w:r>
      <w:r w:rsidRPr="00B170DF">
        <w:rPr>
          <w:rFonts w:hint="eastAsia"/>
        </w:rPr>
        <w:t>实施完毕前，若中国证券监督管理委员会和深圳证券交易所等证券监管机构</w:t>
      </w:r>
      <w:proofErr w:type="gramStart"/>
      <w:r w:rsidRPr="00B170DF">
        <w:rPr>
          <w:rFonts w:hint="eastAsia"/>
        </w:rPr>
        <w:t>作出</w:t>
      </w:r>
      <w:proofErr w:type="gramEnd"/>
      <w:r w:rsidRPr="00B170DF">
        <w:rPr>
          <w:rFonts w:hint="eastAsia"/>
        </w:rPr>
        <w:t>关于填补回报措施及其承诺的其他新的监管规定的，且上述承诺不能满足该等规定时，本人</w:t>
      </w:r>
      <w:r w:rsidRPr="00B170DF">
        <w:rPr>
          <w:rFonts w:hint="eastAsia"/>
        </w:rPr>
        <w:t>/</w:t>
      </w:r>
      <w:r w:rsidRPr="00B170DF">
        <w:rPr>
          <w:rFonts w:hint="eastAsia"/>
        </w:rPr>
        <w:t>本企业承诺届时将按照中国证券监督管理委员会和深圳证券交易所等证券监管机构的最新规定出具补充承诺。</w:t>
      </w:r>
    </w:p>
    <w:p w14:paraId="46434D1A" w14:textId="77777777" w:rsidR="00D30300" w:rsidRPr="00B170DF" w:rsidRDefault="00D30300" w:rsidP="00D30300">
      <w:pPr>
        <w:spacing w:before="163" w:afterLines="0" w:after="0"/>
        <w:ind w:firstLine="480"/>
      </w:pPr>
      <w:r w:rsidRPr="00B170DF">
        <w:rPr>
          <w:rFonts w:hint="eastAsia"/>
        </w:rPr>
        <w:t>作为填补回报措施相关责任主体之一，若违反上述承诺或拒不履行上述承诺，本人</w:t>
      </w:r>
      <w:r w:rsidRPr="00B170DF">
        <w:rPr>
          <w:rFonts w:hint="eastAsia"/>
        </w:rPr>
        <w:t>/</w:t>
      </w:r>
      <w:r w:rsidRPr="00B170DF">
        <w:rPr>
          <w:rFonts w:hint="eastAsia"/>
        </w:rPr>
        <w:t>本企业同意接受中国证券监督管理委员会和深圳证券交易所等证券监管机构按照其制定或发布的有关规定、规则，对本人</w:t>
      </w:r>
      <w:r w:rsidRPr="00B170DF">
        <w:rPr>
          <w:rFonts w:hint="eastAsia"/>
        </w:rPr>
        <w:t>/</w:t>
      </w:r>
      <w:r w:rsidRPr="00B170DF">
        <w:rPr>
          <w:rFonts w:hint="eastAsia"/>
        </w:rPr>
        <w:t>本企业</w:t>
      </w:r>
      <w:proofErr w:type="gramStart"/>
      <w:r w:rsidRPr="00B170DF">
        <w:rPr>
          <w:rFonts w:hint="eastAsia"/>
        </w:rPr>
        <w:t>作出</w:t>
      </w:r>
      <w:proofErr w:type="gramEnd"/>
      <w:r w:rsidRPr="00B170DF">
        <w:rPr>
          <w:rFonts w:hint="eastAsia"/>
        </w:rPr>
        <w:t>相关处罚或采取相关管理措施。”</w:t>
      </w:r>
    </w:p>
    <w:p w14:paraId="1EF1C879" w14:textId="77777777" w:rsidR="009708BF" w:rsidRPr="00B170DF" w:rsidRDefault="009708BF">
      <w:pPr>
        <w:spacing w:before="163" w:after="163"/>
        <w:ind w:firstLine="480"/>
        <w:rPr>
          <w:szCs w:val="24"/>
        </w:rPr>
      </w:pPr>
      <w:r w:rsidRPr="00B170DF">
        <w:rPr>
          <w:rFonts w:hint="eastAsia"/>
          <w:szCs w:val="24"/>
        </w:rPr>
        <w:t>特此公告。</w:t>
      </w:r>
    </w:p>
    <w:p w14:paraId="3CA47E42" w14:textId="77777777" w:rsidR="00D30300" w:rsidRPr="00B170DF" w:rsidRDefault="00D30300">
      <w:pPr>
        <w:spacing w:before="163" w:after="163"/>
        <w:ind w:firstLine="480"/>
        <w:rPr>
          <w:szCs w:val="24"/>
        </w:rPr>
      </w:pPr>
    </w:p>
    <w:p w14:paraId="0D8C7B94" w14:textId="77777777" w:rsidR="00D30300" w:rsidRPr="00B170DF" w:rsidRDefault="00D30300">
      <w:pPr>
        <w:spacing w:before="163" w:after="163"/>
        <w:ind w:firstLine="480"/>
        <w:rPr>
          <w:szCs w:val="24"/>
        </w:rPr>
      </w:pPr>
    </w:p>
    <w:p w14:paraId="616D88D2" w14:textId="77777777" w:rsidR="009708BF" w:rsidRPr="00B170DF" w:rsidRDefault="00D30300">
      <w:pPr>
        <w:spacing w:before="163" w:after="163"/>
        <w:ind w:firstLine="480"/>
        <w:jc w:val="right"/>
      </w:pPr>
      <w:bookmarkStart w:id="89" w:name="_Hlk127976025"/>
      <w:r w:rsidRPr="00B170DF">
        <w:rPr>
          <w:rFonts w:hint="eastAsia"/>
        </w:rPr>
        <w:t>福建广生堂药业</w:t>
      </w:r>
      <w:r w:rsidR="004A0B1A" w:rsidRPr="00B170DF">
        <w:rPr>
          <w:rFonts w:hint="eastAsia"/>
        </w:rPr>
        <w:t>股份有限公司</w:t>
      </w:r>
      <w:r w:rsidR="009708BF" w:rsidRPr="00B170DF">
        <w:rPr>
          <w:rFonts w:hint="eastAsia"/>
        </w:rPr>
        <w:t>董事会</w:t>
      </w:r>
    </w:p>
    <w:p w14:paraId="4226D900" w14:textId="77777777" w:rsidR="009708BF" w:rsidRDefault="00E63F9B">
      <w:pPr>
        <w:spacing w:before="163" w:after="163"/>
        <w:ind w:firstLine="460"/>
        <w:jc w:val="right"/>
      </w:pPr>
      <w:r w:rsidRPr="00B170DF">
        <w:rPr>
          <w:rFonts w:hint="eastAsia"/>
          <w:sz w:val="23"/>
          <w:szCs w:val="23"/>
        </w:rPr>
        <w:t>2</w:t>
      </w:r>
      <w:r w:rsidRPr="00B170DF">
        <w:rPr>
          <w:sz w:val="23"/>
          <w:szCs w:val="23"/>
        </w:rPr>
        <w:t>02</w:t>
      </w:r>
      <w:r w:rsidR="00D30300" w:rsidRPr="00B170DF">
        <w:rPr>
          <w:rFonts w:hint="eastAsia"/>
          <w:sz w:val="23"/>
          <w:szCs w:val="23"/>
        </w:rPr>
        <w:t>5</w:t>
      </w:r>
      <w:r w:rsidRPr="00B170DF">
        <w:rPr>
          <w:rFonts w:hint="eastAsia"/>
          <w:sz w:val="23"/>
          <w:szCs w:val="23"/>
        </w:rPr>
        <w:t>年</w:t>
      </w:r>
      <w:r w:rsidR="00995281" w:rsidRPr="00B170DF">
        <w:rPr>
          <w:rFonts w:hint="eastAsia"/>
          <w:sz w:val="23"/>
          <w:szCs w:val="23"/>
        </w:rPr>
        <w:t>4</w:t>
      </w:r>
      <w:r w:rsidR="00361AB2" w:rsidRPr="00B170DF">
        <w:rPr>
          <w:rFonts w:hint="eastAsia"/>
          <w:sz w:val="23"/>
          <w:szCs w:val="23"/>
        </w:rPr>
        <w:t>月</w:t>
      </w:r>
      <w:r w:rsidR="00736F82" w:rsidRPr="00B170DF">
        <w:rPr>
          <w:rFonts w:hint="eastAsia"/>
          <w:sz w:val="23"/>
          <w:szCs w:val="23"/>
        </w:rPr>
        <w:t>2</w:t>
      </w:r>
      <w:r w:rsidR="009708BF" w:rsidRPr="00B170DF">
        <w:rPr>
          <w:rFonts w:hint="eastAsia"/>
          <w:sz w:val="23"/>
          <w:szCs w:val="23"/>
        </w:rPr>
        <w:t>日</w:t>
      </w:r>
      <w:bookmarkEnd w:id="89"/>
    </w:p>
    <w:sectPr w:rsidR="009708BF" w:rsidSect="002D1FDB">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24CA9" w14:textId="77777777" w:rsidR="00467323" w:rsidRDefault="00467323">
      <w:pPr>
        <w:spacing w:before="120" w:after="120" w:line="240" w:lineRule="auto"/>
        <w:ind w:firstLine="480"/>
      </w:pPr>
    </w:p>
    <w:p w14:paraId="2343E628" w14:textId="77777777" w:rsidR="00467323" w:rsidRDefault="00467323">
      <w:pPr>
        <w:spacing w:before="120" w:after="120"/>
        <w:ind w:firstLine="480"/>
      </w:pPr>
    </w:p>
  </w:endnote>
  <w:endnote w:type="continuationSeparator" w:id="0">
    <w:p w14:paraId="279162A7" w14:textId="77777777" w:rsidR="00467323" w:rsidRDefault="00467323">
      <w:pPr>
        <w:spacing w:before="120" w:after="120" w:line="240" w:lineRule="auto"/>
        <w:ind w:firstLine="480"/>
      </w:pPr>
    </w:p>
    <w:p w14:paraId="0F8261EF" w14:textId="77777777" w:rsidR="00467323" w:rsidRDefault="00467323">
      <w:pPr>
        <w:spacing w:before="120" w:after="120"/>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SC Light">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苹方-简"/>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script"/>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ArialMT">
    <w:altName w:val="Arial"/>
    <w:charset w:val="00"/>
    <w:family w:val="roman"/>
    <w:pitch w:val="default"/>
  </w:font>
  <w:font w:name="Noto Sans CJK JP Regular">
    <w:altName w:val="微软雅黑"/>
    <w:charset w:val="86"/>
    <w:family w:val="swiss"/>
    <w:pitch w:val="default"/>
    <w:sig w:usb0="00000000" w:usb1="00000000" w:usb2="00000016" w:usb3="00000000" w:csb0="002E010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1A48" w14:textId="77777777" w:rsidR="009708BF" w:rsidRDefault="009708BF">
    <w:pPr>
      <w:pStyle w:val="a6"/>
      <w:spacing w:before="120" w:after="120"/>
      <w:ind w:firstLine="360"/>
    </w:pPr>
  </w:p>
  <w:p w14:paraId="514E04E9" w14:textId="77777777" w:rsidR="009708BF" w:rsidRDefault="009708BF">
    <w:pPr>
      <w:spacing w:before="120" w:after="120"/>
      <w:ind w:firstLine="480"/>
    </w:pPr>
  </w:p>
  <w:p w14:paraId="391F46CC" w14:textId="77777777" w:rsidR="009708BF" w:rsidRDefault="009708BF">
    <w:pPr>
      <w:spacing w:before="120" w:after="120"/>
      <w:ind w:firstLine="480"/>
    </w:pPr>
  </w:p>
  <w:p w14:paraId="7FEBC604" w14:textId="77777777" w:rsidR="009708BF" w:rsidRDefault="009708BF">
    <w:pPr>
      <w:spacing w:before="120" w:after="120"/>
      <w:ind w:firstLine="480"/>
    </w:pPr>
  </w:p>
  <w:p w14:paraId="1318735A" w14:textId="77777777" w:rsidR="009708BF" w:rsidRDefault="009708BF">
    <w:pPr>
      <w:spacing w:before="120" w:after="120"/>
      <w:ind w:firstLine="480"/>
    </w:pPr>
  </w:p>
  <w:p w14:paraId="2C0E0CC0" w14:textId="77777777" w:rsidR="009708BF" w:rsidRDefault="009708BF">
    <w:pPr>
      <w:spacing w:before="120" w:after="120"/>
      <w:ind w:firstLine="480"/>
    </w:pPr>
  </w:p>
  <w:p w14:paraId="320BFF69" w14:textId="77777777" w:rsidR="009708BF" w:rsidRDefault="009708BF">
    <w:pPr>
      <w:spacing w:before="120" w:after="120"/>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A9DC" w14:textId="77777777" w:rsidR="009708BF" w:rsidRDefault="009708BF">
    <w:pPr>
      <w:pStyle w:val="a6"/>
      <w:spacing w:before="120" w:after="120"/>
      <w:ind w:firstLineChars="0" w:firstLine="0"/>
      <w:jc w:val="center"/>
      <w:rPr>
        <w:sz w:val="21"/>
        <w:szCs w:val="21"/>
      </w:rPr>
    </w:pPr>
    <w:r>
      <w:rPr>
        <w:sz w:val="21"/>
        <w:szCs w:val="21"/>
      </w:rPr>
      <w:fldChar w:fldCharType="begin"/>
    </w:r>
    <w:r>
      <w:rPr>
        <w:sz w:val="21"/>
        <w:szCs w:val="21"/>
      </w:rPr>
      <w:instrText>PAGE   \* MERGEFORMAT</w:instrText>
    </w:r>
    <w:r>
      <w:rPr>
        <w:sz w:val="21"/>
        <w:szCs w:val="21"/>
      </w:rPr>
      <w:fldChar w:fldCharType="separate"/>
    </w:r>
    <w:r>
      <w:rPr>
        <w:noProof/>
        <w:sz w:val="21"/>
        <w:szCs w:val="21"/>
        <w:lang w:val="zh-CN"/>
      </w:rPr>
      <w:t>38</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91DE" w14:textId="77777777" w:rsidR="009708BF" w:rsidRDefault="009708BF">
    <w:pPr>
      <w:pStyle w:val="a6"/>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2C14" w14:textId="77777777" w:rsidR="00467323" w:rsidRDefault="00467323">
      <w:pPr>
        <w:spacing w:before="120" w:after="120"/>
        <w:ind w:firstLine="480"/>
      </w:pPr>
    </w:p>
    <w:p w14:paraId="672CE3CA" w14:textId="77777777" w:rsidR="00467323" w:rsidRDefault="00467323">
      <w:pPr>
        <w:spacing w:before="120" w:after="120" w:line="240" w:lineRule="auto"/>
        <w:ind w:firstLineChars="0" w:firstLine="0"/>
        <w:jc w:val="center"/>
      </w:pPr>
    </w:p>
  </w:footnote>
  <w:footnote w:type="continuationSeparator" w:id="0">
    <w:p w14:paraId="656AE0A4" w14:textId="77777777" w:rsidR="00467323" w:rsidRDefault="00467323">
      <w:pPr>
        <w:spacing w:before="120" w:after="120" w:line="240" w:lineRule="auto"/>
        <w:ind w:firstLine="480"/>
      </w:pPr>
    </w:p>
    <w:p w14:paraId="5038E4DE" w14:textId="77777777" w:rsidR="00467323" w:rsidRDefault="00467323">
      <w:pPr>
        <w:spacing w:before="120" w:after="120"/>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DF14" w14:textId="77777777" w:rsidR="009708BF" w:rsidRDefault="009708BF">
    <w:pPr>
      <w:pStyle w:val="a5"/>
      <w:spacing w:before="120" w:after="120"/>
      <w:ind w:firstLine="360"/>
    </w:pPr>
  </w:p>
  <w:p w14:paraId="43AEEACA" w14:textId="77777777" w:rsidR="009708BF" w:rsidRDefault="009708BF">
    <w:pPr>
      <w:spacing w:before="120" w:after="120"/>
      <w:ind w:firstLine="480"/>
    </w:pPr>
  </w:p>
  <w:p w14:paraId="28723022" w14:textId="77777777" w:rsidR="009708BF" w:rsidRDefault="009708BF">
    <w:pPr>
      <w:spacing w:before="120" w:after="120"/>
      <w:ind w:firstLine="480"/>
    </w:pPr>
  </w:p>
  <w:p w14:paraId="3FAD5FA5" w14:textId="77777777" w:rsidR="009708BF" w:rsidRDefault="009708BF">
    <w:pPr>
      <w:spacing w:before="120" w:after="120"/>
      <w:ind w:firstLine="480"/>
    </w:pPr>
  </w:p>
  <w:p w14:paraId="793B07DE" w14:textId="77777777" w:rsidR="009708BF" w:rsidRDefault="009708BF">
    <w:pPr>
      <w:spacing w:before="120" w:after="120"/>
      <w:ind w:firstLine="480"/>
    </w:pPr>
  </w:p>
  <w:p w14:paraId="68A9C210" w14:textId="77777777" w:rsidR="009708BF" w:rsidRDefault="009708BF">
    <w:pPr>
      <w:spacing w:before="120" w:after="120"/>
      <w:ind w:firstLine="480"/>
    </w:pPr>
  </w:p>
  <w:p w14:paraId="5386C7BD" w14:textId="77777777" w:rsidR="009708BF" w:rsidRDefault="009708BF">
    <w:pPr>
      <w:spacing w:before="120" w:after="120"/>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5F71" w14:textId="77777777" w:rsidR="009708BF" w:rsidRPr="002D1FDB" w:rsidRDefault="002D1FDB" w:rsidP="002D1FDB">
    <w:pPr>
      <w:spacing w:before="120" w:after="120"/>
      <w:ind w:firstLineChars="0" w:firstLine="0"/>
      <w:rPr>
        <w:sz w:val="21"/>
        <w:szCs w:val="21"/>
      </w:rPr>
    </w:pPr>
    <w:r w:rsidRPr="002D1FDB">
      <w:rPr>
        <w:rFonts w:hint="eastAsia"/>
        <w:sz w:val="21"/>
        <w:szCs w:val="21"/>
      </w:rPr>
      <w:t>福建广生堂药业股份有限公司</w:t>
    </w:r>
    <w:r>
      <w:rPr>
        <w:rFonts w:hint="eastAsia"/>
        <w:sz w:val="21"/>
        <w:szCs w:val="21"/>
      </w:rPr>
      <w:t xml:space="preserve">                  2025</w:t>
    </w:r>
    <w:r>
      <w:rPr>
        <w:rFonts w:hint="eastAsia"/>
        <w:sz w:val="21"/>
        <w:szCs w:val="21"/>
      </w:rPr>
      <w:t>年度向特定对象发行</w:t>
    </w:r>
    <w:r>
      <w:rPr>
        <w:rFonts w:hint="eastAsia"/>
        <w:sz w:val="21"/>
        <w:szCs w:val="21"/>
      </w:rPr>
      <w:t>A</w:t>
    </w:r>
    <w:r>
      <w:rPr>
        <w:rFonts w:hint="eastAsia"/>
        <w:sz w:val="21"/>
        <w:szCs w:val="21"/>
      </w:rPr>
      <w:t>股股票预案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5DCC" w14:textId="77777777" w:rsidR="009708BF" w:rsidRPr="002D1FDB" w:rsidRDefault="009708BF" w:rsidP="002D1FDB">
    <w:pPr>
      <w:pStyle w:val="a5"/>
      <w:pBdr>
        <w:bottom w:val="none" w:sz="0" w:space="0" w:color="auto"/>
      </w:pBdr>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E5D3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20B657C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8747DE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83723C6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360769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A3AC03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5EEC2E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4542FF0"/>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98E624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3C003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5559FE"/>
    <w:multiLevelType w:val="multilevel"/>
    <w:tmpl w:val="2D194B28"/>
    <w:styleLink w:val="20"/>
    <w:lvl w:ilvl="0">
      <w:start w:val="1"/>
      <w:numFmt w:val="decimal"/>
      <w:lvlText w:val="%1"/>
      <w:lvlJc w:val="center"/>
      <w:pPr>
        <w:ind w:left="880" w:hanging="880"/>
      </w:pPr>
      <w:rPr>
        <w:rFonts w:hint="eastAsia"/>
      </w:rPr>
    </w:lvl>
    <w:lvl w:ilvl="1">
      <w:start w:val="1"/>
      <w:numFmt w:val="decimal"/>
      <w:lvlText w:val="%2"/>
      <w:lvlJc w:val="center"/>
      <w:pPr>
        <w:ind w:left="88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9E95858"/>
    <w:multiLevelType w:val="hybridMultilevel"/>
    <w:tmpl w:val="4D342634"/>
    <w:lvl w:ilvl="0" w:tplc="3806B53C">
      <w:start w:val="2"/>
      <w:numFmt w:val="japaneseCounting"/>
      <w:lvlText w:val="（%1）"/>
      <w:lvlJc w:val="left"/>
      <w:pPr>
        <w:ind w:left="1232" w:hanging="75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2" w15:restartNumberingAfterBreak="0">
    <w:nsid w:val="0A45349A"/>
    <w:multiLevelType w:val="hybridMultilevel"/>
    <w:tmpl w:val="1380552C"/>
    <w:lvl w:ilvl="0" w:tplc="FFECB4A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5120DF8"/>
    <w:multiLevelType w:val="multilevel"/>
    <w:tmpl w:val="04090023"/>
    <w:styleLink w:val="a0"/>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8E658B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59267BE"/>
    <w:multiLevelType w:val="hybridMultilevel"/>
    <w:tmpl w:val="E938B74A"/>
    <w:lvl w:ilvl="0" w:tplc="2042D1D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FE3263B"/>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41E079F1"/>
    <w:multiLevelType w:val="hybridMultilevel"/>
    <w:tmpl w:val="E8D4BDCE"/>
    <w:lvl w:ilvl="0" w:tplc="4070777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51D3E44"/>
    <w:multiLevelType w:val="multilevel"/>
    <w:tmpl w:val="451D3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8F364BA"/>
    <w:multiLevelType w:val="singleLevel"/>
    <w:tmpl w:val="48F364BA"/>
    <w:lvl w:ilvl="0">
      <w:start w:val="1"/>
      <w:numFmt w:val="decimal"/>
      <w:suff w:val="nothing"/>
      <w:lvlText w:val="  %1"/>
      <w:lvlJc w:val="center"/>
      <w:pPr>
        <w:ind w:left="340" w:hanging="340"/>
      </w:pPr>
      <w:rPr>
        <w:rFonts w:hint="default"/>
      </w:rPr>
    </w:lvl>
  </w:abstractNum>
  <w:abstractNum w:abstractNumId="20" w15:restartNumberingAfterBreak="0">
    <w:nsid w:val="56FF4421"/>
    <w:multiLevelType w:val="multilevel"/>
    <w:tmpl w:val="B374ED1A"/>
    <w:lvl w:ilvl="0">
      <w:start w:val="1"/>
      <w:numFmt w:val="decimal"/>
      <w:pStyle w:val="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pStyle w:val="41"/>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1" w15:restartNumberingAfterBreak="0">
    <w:nsid w:val="59670B90"/>
    <w:multiLevelType w:val="multilevel"/>
    <w:tmpl w:val="59670B90"/>
    <w:lvl w:ilvl="0">
      <w:start w:val="1"/>
      <w:numFmt w:val="decimalEnclosedCircle"/>
      <w:lvlText w:val="%1"/>
      <w:lvlJc w:val="left"/>
      <w:pPr>
        <w:ind w:left="1320" w:hanging="420"/>
      </w:pPr>
      <w:rPr>
        <w:rFonts w:hint="eastAsia"/>
      </w:rPr>
    </w:lvl>
    <w:lvl w:ilvl="1">
      <w:start w:val="1"/>
      <w:numFmt w:val="decimalEnclosedCircle"/>
      <w:lvlText w:val="%2"/>
      <w:lvlJc w:val="left"/>
      <w:pPr>
        <w:ind w:left="988" w:hanging="420"/>
      </w:pPr>
      <w:rPr>
        <w:rFonts w:hint="eastAsia"/>
      </w:rPr>
    </w:lvl>
    <w:lvl w:ilvl="2">
      <w:start w:val="1"/>
      <w:numFmt w:val="decimalEnclosedParen"/>
      <w:lvlText w:val="%3"/>
      <w:lvlJc w:val="left"/>
      <w:pPr>
        <w:ind w:left="2100" w:hanging="360"/>
      </w:pPr>
      <w:rPr>
        <w:rFonts w:hint="default"/>
      </w:rPr>
    </w:lvl>
    <w:lvl w:ilvl="3">
      <w:start w:val="3"/>
      <w:numFmt w:val="decimal"/>
      <w:lvlText w:val="（%4）"/>
      <w:lvlJc w:val="left"/>
      <w:pPr>
        <w:ind w:left="1571" w:hanging="720"/>
      </w:pPr>
      <w:rPr>
        <w:rFonts w:ascii="Arial" w:hAnsi="Arial" w:cs="Arial" w:hint="default"/>
        <w:color w:val="000000"/>
        <w:sz w:val="24"/>
      </w:rPr>
    </w:lvl>
    <w:lvl w:ilvl="4">
      <w:start w:val="1"/>
      <w:numFmt w:val="decimal"/>
      <w:lvlText w:val="(%5)"/>
      <w:lvlJc w:val="left"/>
      <w:pPr>
        <w:ind w:left="3360" w:hanging="780"/>
      </w:pPr>
      <w:rPr>
        <w:rFonts w:ascii="Times New Roman" w:hAnsi="Times New Roman" w:cs="Times New Roman" w:hint="default"/>
      </w:rPr>
    </w:lvl>
    <w:lvl w:ilvl="5">
      <w:start w:val="1"/>
      <w:numFmt w:val="decimal"/>
      <w:lvlText w:val="%6、"/>
      <w:lvlJc w:val="left"/>
      <w:pPr>
        <w:ind w:left="3375" w:hanging="375"/>
      </w:pPr>
      <w:rPr>
        <w:rFonts w:hint="default"/>
      </w:r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 w15:restartNumberingAfterBreak="0">
    <w:nsid w:val="5A1533F0"/>
    <w:multiLevelType w:val="hybridMultilevel"/>
    <w:tmpl w:val="E8E42DE6"/>
    <w:lvl w:ilvl="0" w:tplc="58D2D6D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A872FF6"/>
    <w:multiLevelType w:val="multilevel"/>
    <w:tmpl w:val="5A872F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9830DD8"/>
    <w:multiLevelType w:val="multilevel"/>
    <w:tmpl w:val="69830DD8"/>
    <w:lvl w:ilvl="0">
      <w:start w:val="1"/>
      <w:numFmt w:val="bullet"/>
      <w:lvlText w:val="•"/>
      <w:lvlJc w:val="left"/>
      <w:pPr>
        <w:ind w:left="900" w:hanging="420"/>
      </w:pPr>
      <w:rPr>
        <w:rFonts w:ascii="等线" w:eastAsia="等线" w:hAnsi="等线"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738D2EF9"/>
    <w:multiLevelType w:val="multilevel"/>
    <w:tmpl w:val="738D2EF9"/>
    <w:lvl w:ilvl="0">
      <w:start w:val="1"/>
      <w:numFmt w:val="bullet"/>
      <w:lvlText w:val="•"/>
      <w:lvlJc w:val="left"/>
      <w:pPr>
        <w:ind w:left="900" w:hanging="420"/>
      </w:pPr>
      <w:rPr>
        <w:rFonts w:ascii="等线" w:eastAsia="等线" w:hAnsi="等线"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15:restartNumberingAfterBreak="0">
    <w:nsid w:val="7571422E"/>
    <w:multiLevelType w:val="multilevel"/>
    <w:tmpl w:val="7571422E"/>
    <w:lvl w:ilvl="0">
      <w:start w:val="1"/>
      <w:numFmt w:val="bullet"/>
      <w:lvlText w:val="•"/>
      <w:lvlJc w:val="left"/>
      <w:pPr>
        <w:ind w:left="900" w:hanging="420"/>
      </w:pPr>
      <w:rPr>
        <w:rFonts w:ascii="等线" w:eastAsia="等线" w:hAnsi="等线"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15:restartNumberingAfterBreak="0">
    <w:nsid w:val="7B262B87"/>
    <w:multiLevelType w:val="hybridMultilevel"/>
    <w:tmpl w:val="8ADEC6FC"/>
    <w:lvl w:ilvl="0" w:tplc="40988136">
      <w:start w:val="3"/>
      <w:numFmt w:val="japaneseCounting"/>
      <w:lvlText w:val="（%1）"/>
      <w:lvlJc w:val="left"/>
      <w:pPr>
        <w:ind w:left="1232" w:hanging="75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8" w15:restartNumberingAfterBreak="0">
    <w:nsid w:val="7BB94BA0"/>
    <w:multiLevelType w:val="multilevel"/>
    <w:tmpl w:val="7BB94BA0"/>
    <w:lvl w:ilvl="0">
      <w:start w:val="1"/>
      <w:numFmt w:val="decimalEnclosedCircle"/>
      <w:lvlText w:val="%1"/>
      <w:lvlJc w:val="left"/>
      <w:pPr>
        <w:ind w:left="900" w:hanging="420"/>
      </w:pPr>
      <w:rPr>
        <w:rFonts w:hint="eastAsia"/>
        <w:sz w:val="24"/>
        <w:szCs w:val="24"/>
      </w:rPr>
    </w:lvl>
    <w:lvl w:ilvl="1">
      <w:start w:val="1"/>
      <w:numFmt w:val="decimalEnclosedCircle"/>
      <w:lvlText w:val="%2"/>
      <w:lvlJc w:val="left"/>
      <w:pPr>
        <w:ind w:left="1320" w:hanging="420"/>
      </w:pPr>
      <w:rPr>
        <w:rFonts w:hint="eastAsia"/>
        <w:sz w:val="24"/>
        <w:szCs w:val="24"/>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650595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614245">
    <w:abstractNumId w:val="19"/>
    <w:lvlOverride w:ilvl="0">
      <w:startOverride w:val="1"/>
    </w:lvlOverride>
  </w:num>
  <w:num w:numId="3" w16cid:durableId="1170563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2735784">
    <w:abstractNumId w:val="18"/>
  </w:num>
  <w:num w:numId="5" w16cid:durableId="1624270252">
    <w:abstractNumId w:val="21"/>
  </w:num>
  <w:num w:numId="6" w16cid:durableId="1013872034">
    <w:abstractNumId w:val="28"/>
  </w:num>
  <w:num w:numId="7" w16cid:durableId="541668958">
    <w:abstractNumId w:val="26"/>
  </w:num>
  <w:num w:numId="8" w16cid:durableId="1786659156">
    <w:abstractNumId w:val="24"/>
  </w:num>
  <w:num w:numId="9" w16cid:durableId="1779175916">
    <w:abstractNumId w:val="25"/>
  </w:num>
  <w:num w:numId="10" w16cid:durableId="1141078519">
    <w:abstractNumId w:val="8"/>
  </w:num>
  <w:num w:numId="11" w16cid:durableId="1280722234">
    <w:abstractNumId w:val="3"/>
  </w:num>
  <w:num w:numId="12" w16cid:durableId="1945840667">
    <w:abstractNumId w:val="12"/>
  </w:num>
  <w:num w:numId="13" w16cid:durableId="1031759198">
    <w:abstractNumId w:val="15"/>
  </w:num>
  <w:num w:numId="14" w16cid:durableId="251593418">
    <w:abstractNumId w:val="19"/>
  </w:num>
  <w:num w:numId="15" w16cid:durableId="880557743">
    <w:abstractNumId w:val="14"/>
  </w:num>
  <w:num w:numId="16" w16cid:durableId="2024941954">
    <w:abstractNumId w:val="16"/>
  </w:num>
  <w:num w:numId="17" w16cid:durableId="375011077">
    <w:abstractNumId w:val="2"/>
  </w:num>
  <w:num w:numId="18" w16cid:durableId="2079161854">
    <w:abstractNumId w:val="1"/>
  </w:num>
  <w:num w:numId="19" w16cid:durableId="1362822690">
    <w:abstractNumId w:val="0"/>
  </w:num>
  <w:num w:numId="20" w16cid:durableId="1734111223">
    <w:abstractNumId w:val="9"/>
  </w:num>
  <w:num w:numId="21" w16cid:durableId="490608625">
    <w:abstractNumId w:val="7"/>
  </w:num>
  <w:num w:numId="22" w16cid:durableId="459348119">
    <w:abstractNumId w:val="6"/>
  </w:num>
  <w:num w:numId="23" w16cid:durableId="506870873">
    <w:abstractNumId w:val="5"/>
  </w:num>
  <w:num w:numId="24" w16cid:durableId="1578903780">
    <w:abstractNumId w:val="4"/>
  </w:num>
  <w:num w:numId="25" w16cid:durableId="1907916790">
    <w:abstractNumId w:val="13"/>
  </w:num>
  <w:num w:numId="26" w16cid:durableId="1343819114">
    <w:abstractNumId w:val="22"/>
  </w:num>
  <w:num w:numId="27" w16cid:durableId="1399862744">
    <w:abstractNumId w:val="17"/>
  </w:num>
  <w:num w:numId="28" w16cid:durableId="1635019327">
    <w:abstractNumId w:val="10"/>
  </w:num>
  <w:num w:numId="29" w16cid:durableId="768307816">
    <w:abstractNumId w:val="11"/>
  </w:num>
  <w:num w:numId="30" w16cid:durableId="1356729857">
    <w:abstractNumId w:val="27"/>
  </w:num>
  <w:num w:numId="31" w16cid:durableId="1210414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73"/>
    <w:rsid w:val="00000C86"/>
    <w:rsid w:val="00003003"/>
    <w:rsid w:val="0001174C"/>
    <w:rsid w:val="00011E7C"/>
    <w:rsid w:val="000139F4"/>
    <w:rsid w:val="00022F05"/>
    <w:rsid w:val="00025C96"/>
    <w:rsid w:val="00026822"/>
    <w:rsid w:val="0003599A"/>
    <w:rsid w:val="00047DE1"/>
    <w:rsid w:val="00063B05"/>
    <w:rsid w:val="00064F26"/>
    <w:rsid w:val="00071222"/>
    <w:rsid w:val="00076738"/>
    <w:rsid w:val="0007726A"/>
    <w:rsid w:val="00094D80"/>
    <w:rsid w:val="000C154F"/>
    <w:rsid w:val="000D12CF"/>
    <w:rsid w:val="000D1E5C"/>
    <w:rsid w:val="000D68FE"/>
    <w:rsid w:val="000E0538"/>
    <w:rsid w:val="000E1481"/>
    <w:rsid w:val="000F367C"/>
    <w:rsid w:val="00111426"/>
    <w:rsid w:val="00112087"/>
    <w:rsid w:val="00116C5C"/>
    <w:rsid w:val="0012369C"/>
    <w:rsid w:val="001258BF"/>
    <w:rsid w:val="0013102D"/>
    <w:rsid w:val="00135E1A"/>
    <w:rsid w:val="00145A3C"/>
    <w:rsid w:val="00145AA7"/>
    <w:rsid w:val="001471C1"/>
    <w:rsid w:val="001471FC"/>
    <w:rsid w:val="00181EAE"/>
    <w:rsid w:val="00192613"/>
    <w:rsid w:val="001929E6"/>
    <w:rsid w:val="00193AE5"/>
    <w:rsid w:val="001A4479"/>
    <w:rsid w:val="001B094B"/>
    <w:rsid w:val="001B3370"/>
    <w:rsid w:val="001B6056"/>
    <w:rsid w:val="001C2B07"/>
    <w:rsid w:val="001C7905"/>
    <w:rsid w:val="001E058F"/>
    <w:rsid w:val="001E31D5"/>
    <w:rsid w:val="001F1733"/>
    <w:rsid w:val="001F338D"/>
    <w:rsid w:val="00206DCF"/>
    <w:rsid w:val="00213496"/>
    <w:rsid w:val="002230B8"/>
    <w:rsid w:val="002320DA"/>
    <w:rsid w:val="002326E7"/>
    <w:rsid w:val="002353AC"/>
    <w:rsid w:val="0023745C"/>
    <w:rsid w:val="00253094"/>
    <w:rsid w:val="00253CE6"/>
    <w:rsid w:val="002552D5"/>
    <w:rsid w:val="002606C0"/>
    <w:rsid w:val="00267B96"/>
    <w:rsid w:val="00272C8C"/>
    <w:rsid w:val="00273A9E"/>
    <w:rsid w:val="00283578"/>
    <w:rsid w:val="00293D0D"/>
    <w:rsid w:val="00297EB0"/>
    <w:rsid w:val="002A04DA"/>
    <w:rsid w:val="002B1CAF"/>
    <w:rsid w:val="002B2BB8"/>
    <w:rsid w:val="002B4EAA"/>
    <w:rsid w:val="002C406E"/>
    <w:rsid w:val="002D11A7"/>
    <w:rsid w:val="002D1FDB"/>
    <w:rsid w:val="002D3E9E"/>
    <w:rsid w:val="002D4908"/>
    <w:rsid w:val="002D6EF2"/>
    <w:rsid w:val="002F0537"/>
    <w:rsid w:val="002F099B"/>
    <w:rsid w:val="002F543C"/>
    <w:rsid w:val="002F56E7"/>
    <w:rsid w:val="00305266"/>
    <w:rsid w:val="003102D4"/>
    <w:rsid w:val="003115FA"/>
    <w:rsid w:val="00314A00"/>
    <w:rsid w:val="00320BC3"/>
    <w:rsid w:val="00323D73"/>
    <w:rsid w:val="00330595"/>
    <w:rsid w:val="00343A78"/>
    <w:rsid w:val="0035607F"/>
    <w:rsid w:val="00361AB2"/>
    <w:rsid w:val="0036509B"/>
    <w:rsid w:val="003679AA"/>
    <w:rsid w:val="00374526"/>
    <w:rsid w:val="003850DF"/>
    <w:rsid w:val="00386BF4"/>
    <w:rsid w:val="003943C3"/>
    <w:rsid w:val="00397FEB"/>
    <w:rsid w:val="003A0043"/>
    <w:rsid w:val="003A4D4F"/>
    <w:rsid w:val="003B39DF"/>
    <w:rsid w:val="003B515C"/>
    <w:rsid w:val="003B5A2A"/>
    <w:rsid w:val="003C05F3"/>
    <w:rsid w:val="003D2107"/>
    <w:rsid w:val="003D57EF"/>
    <w:rsid w:val="003D587C"/>
    <w:rsid w:val="003E04F8"/>
    <w:rsid w:val="003E4B6B"/>
    <w:rsid w:val="003E61A7"/>
    <w:rsid w:val="003E7A37"/>
    <w:rsid w:val="003F0511"/>
    <w:rsid w:val="003F7872"/>
    <w:rsid w:val="004021D2"/>
    <w:rsid w:val="00412AAF"/>
    <w:rsid w:val="00412CB4"/>
    <w:rsid w:val="004131E8"/>
    <w:rsid w:val="00426A8C"/>
    <w:rsid w:val="00432CEF"/>
    <w:rsid w:val="004341FF"/>
    <w:rsid w:val="00440445"/>
    <w:rsid w:val="00442339"/>
    <w:rsid w:val="00443452"/>
    <w:rsid w:val="00452F5A"/>
    <w:rsid w:val="00457434"/>
    <w:rsid w:val="00467323"/>
    <w:rsid w:val="004714A5"/>
    <w:rsid w:val="0047783F"/>
    <w:rsid w:val="00490123"/>
    <w:rsid w:val="004921C5"/>
    <w:rsid w:val="00494F8F"/>
    <w:rsid w:val="00496C18"/>
    <w:rsid w:val="00497C2C"/>
    <w:rsid w:val="004A0B1A"/>
    <w:rsid w:val="004A726C"/>
    <w:rsid w:val="004B0B26"/>
    <w:rsid w:val="004C3C58"/>
    <w:rsid w:val="004C6EE5"/>
    <w:rsid w:val="004D234C"/>
    <w:rsid w:val="004D4A94"/>
    <w:rsid w:val="004E0D57"/>
    <w:rsid w:val="004E30C1"/>
    <w:rsid w:val="004E3517"/>
    <w:rsid w:val="004F1B2E"/>
    <w:rsid w:val="004F2315"/>
    <w:rsid w:val="004F601E"/>
    <w:rsid w:val="00503D2F"/>
    <w:rsid w:val="00516542"/>
    <w:rsid w:val="00522BFC"/>
    <w:rsid w:val="0052480D"/>
    <w:rsid w:val="005418F2"/>
    <w:rsid w:val="00543D0A"/>
    <w:rsid w:val="00544DD6"/>
    <w:rsid w:val="005518EC"/>
    <w:rsid w:val="00554460"/>
    <w:rsid w:val="005551A8"/>
    <w:rsid w:val="0056736C"/>
    <w:rsid w:val="00572089"/>
    <w:rsid w:val="00572850"/>
    <w:rsid w:val="0058304E"/>
    <w:rsid w:val="00583768"/>
    <w:rsid w:val="00594914"/>
    <w:rsid w:val="005A00E1"/>
    <w:rsid w:val="005A088C"/>
    <w:rsid w:val="005A1499"/>
    <w:rsid w:val="005A74A6"/>
    <w:rsid w:val="005B7FDD"/>
    <w:rsid w:val="005C2D15"/>
    <w:rsid w:val="005C414A"/>
    <w:rsid w:val="005C4CAB"/>
    <w:rsid w:val="005C5199"/>
    <w:rsid w:val="005D1C8B"/>
    <w:rsid w:val="005D3149"/>
    <w:rsid w:val="005E2A9E"/>
    <w:rsid w:val="005E414E"/>
    <w:rsid w:val="005E4577"/>
    <w:rsid w:val="005F079F"/>
    <w:rsid w:val="005F0C23"/>
    <w:rsid w:val="005F4565"/>
    <w:rsid w:val="005F692D"/>
    <w:rsid w:val="006065D4"/>
    <w:rsid w:val="00606FF0"/>
    <w:rsid w:val="00607924"/>
    <w:rsid w:val="006160A9"/>
    <w:rsid w:val="006209A8"/>
    <w:rsid w:val="00622F39"/>
    <w:rsid w:val="00624783"/>
    <w:rsid w:val="006261D3"/>
    <w:rsid w:val="006271F8"/>
    <w:rsid w:val="00640AEC"/>
    <w:rsid w:val="00644B45"/>
    <w:rsid w:val="00644E02"/>
    <w:rsid w:val="00651072"/>
    <w:rsid w:val="006517A2"/>
    <w:rsid w:val="00671B2A"/>
    <w:rsid w:val="006912E2"/>
    <w:rsid w:val="006C644A"/>
    <w:rsid w:val="006C65DF"/>
    <w:rsid w:val="006D2F2F"/>
    <w:rsid w:val="006D58B9"/>
    <w:rsid w:val="006D7404"/>
    <w:rsid w:val="006D7E37"/>
    <w:rsid w:val="006E2AA1"/>
    <w:rsid w:val="006E4F1D"/>
    <w:rsid w:val="0070258C"/>
    <w:rsid w:val="00707641"/>
    <w:rsid w:val="007076E8"/>
    <w:rsid w:val="0072011E"/>
    <w:rsid w:val="00725511"/>
    <w:rsid w:val="00726EF5"/>
    <w:rsid w:val="007318CE"/>
    <w:rsid w:val="00734CD0"/>
    <w:rsid w:val="007355BD"/>
    <w:rsid w:val="00736B5E"/>
    <w:rsid w:val="00736F82"/>
    <w:rsid w:val="007427A5"/>
    <w:rsid w:val="007539B8"/>
    <w:rsid w:val="0075678C"/>
    <w:rsid w:val="0075678E"/>
    <w:rsid w:val="00762F31"/>
    <w:rsid w:val="00764262"/>
    <w:rsid w:val="00770F62"/>
    <w:rsid w:val="007748F7"/>
    <w:rsid w:val="00784BF7"/>
    <w:rsid w:val="00786D76"/>
    <w:rsid w:val="007873C6"/>
    <w:rsid w:val="00790CB4"/>
    <w:rsid w:val="00793F3D"/>
    <w:rsid w:val="00796073"/>
    <w:rsid w:val="00796528"/>
    <w:rsid w:val="00797C15"/>
    <w:rsid w:val="007A60E4"/>
    <w:rsid w:val="007A65BC"/>
    <w:rsid w:val="007B3A68"/>
    <w:rsid w:val="007C47CF"/>
    <w:rsid w:val="007C5E06"/>
    <w:rsid w:val="007C751A"/>
    <w:rsid w:val="007D0872"/>
    <w:rsid w:val="007E1EF2"/>
    <w:rsid w:val="007E2B78"/>
    <w:rsid w:val="007E2C4B"/>
    <w:rsid w:val="007F56B2"/>
    <w:rsid w:val="007F7EC9"/>
    <w:rsid w:val="00811708"/>
    <w:rsid w:val="00815EC7"/>
    <w:rsid w:val="008175AD"/>
    <w:rsid w:val="008224C3"/>
    <w:rsid w:val="008232B5"/>
    <w:rsid w:val="00826B7B"/>
    <w:rsid w:val="00835151"/>
    <w:rsid w:val="00840FF3"/>
    <w:rsid w:val="0084136C"/>
    <w:rsid w:val="00856626"/>
    <w:rsid w:val="00863E1E"/>
    <w:rsid w:val="00870DDC"/>
    <w:rsid w:val="00872CDB"/>
    <w:rsid w:val="00882C6A"/>
    <w:rsid w:val="00886BF0"/>
    <w:rsid w:val="00893AD8"/>
    <w:rsid w:val="008959AF"/>
    <w:rsid w:val="008A5235"/>
    <w:rsid w:val="008B17F5"/>
    <w:rsid w:val="008B53EE"/>
    <w:rsid w:val="008C0C6C"/>
    <w:rsid w:val="008C6C8C"/>
    <w:rsid w:val="008C7456"/>
    <w:rsid w:val="008D47E7"/>
    <w:rsid w:val="008D7BF6"/>
    <w:rsid w:val="008E044A"/>
    <w:rsid w:val="008E518B"/>
    <w:rsid w:val="008E55BB"/>
    <w:rsid w:val="008F7BD6"/>
    <w:rsid w:val="0091037A"/>
    <w:rsid w:val="00931802"/>
    <w:rsid w:val="00931CB6"/>
    <w:rsid w:val="009328A8"/>
    <w:rsid w:val="0093584B"/>
    <w:rsid w:val="00940F0F"/>
    <w:rsid w:val="00941EBA"/>
    <w:rsid w:val="009444B9"/>
    <w:rsid w:val="00950661"/>
    <w:rsid w:val="00951CFA"/>
    <w:rsid w:val="009528E3"/>
    <w:rsid w:val="00956E95"/>
    <w:rsid w:val="0096147F"/>
    <w:rsid w:val="00962B4E"/>
    <w:rsid w:val="00964AF8"/>
    <w:rsid w:val="009708BF"/>
    <w:rsid w:val="009746CC"/>
    <w:rsid w:val="009749C9"/>
    <w:rsid w:val="009753B6"/>
    <w:rsid w:val="00976CCB"/>
    <w:rsid w:val="00983180"/>
    <w:rsid w:val="00983937"/>
    <w:rsid w:val="00985518"/>
    <w:rsid w:val="00990FA0"/>
    <w:rsid w:val="00995281"/>
    <w:rsid w:val="009978F2"/>
    <w:rsid w:val="009A0DD8"/>
    <w:rsid w:val="009A7ADC"/>
    <w:rsid w:val="009B01C7"/>
    <w:rsid w:val="009B3DF5"/>
    <w:rsid w:val="009B6ECB"/>
    <w:rsid w:val="009C0DA8"/>
    <w:rsid w:val="009C2FBF"/>
    <w:rsid w:val="009C72FC"/>
    <w:rsid w:val="009D1B26"/>
    <w:rsid w:val="009D3094"/>
    <w:rsid w:val="009D4071"/>
    <w:rsid w:val="009D57C8"/>
    <w:rsid w:val="009E2147"/>
    <w:rsid w:val="009E6624"/>
    <w:rsid w:val="009E7F9B"/>
    <w:rsid w:val="009F0D11"/>
    <w:rsid w:val="009F0F3B"/>
    <w:rsid w:val="009F4D4B"/>
    <w:rsid w:val="00A022B8"/>
    <w:rsid w:val="00A11B0B"/>
    <w:rsid w:val="00A15D61"/>
    <w:rsid w:val="00A16E17"/>
    <w:rsid w:val="00A17E3E"/>
    <w:rsid w:val="00A17EC2"/>
    <w:rsid w:val="00A17FA4"/>
    <w:rsid w:val="00A21434"/>
    <w:rsid w:val="00A24C3B"/>
    <w:rsid w:val="00A334D9"/>
    <w:rsid w:val="00A3425A"/>
    <w:rsid w:val="00A37EEC"/>
    <w:rsid w:val="00A4149F"/>
    <w:rsid w:val="00A564D2"/>
    <w:rsid w:val="00A654C2"/>
    <w:rsid w:val="00A66636"/>
    <w:rsid w:val="00A869B9"/>
    <w:rsid w:val="00A978A3"/>
    <w:rsid w:val="00AB2672"/>
    <w:rsid w:val="00AC20CF"/>
    <w:rsid w:val="00AD405F"/>
    <w:rsid w:val="00AE302F"/>
    <w:rsid w:val="00AE7B69"/>
    <w:rsid w:val="00AE7C7B"/>
    <w:rsid w:val="00B027CE"/>
    <w:rsid w:val="00B07F63"/>
    <w:rsid w:val="00B170DF"/>
    <w:rsid w:val="00B2045C"/>
    <w:rsid w:val="00B22965"/>
    <w:rsid w:val="00B22AA5"/>
    <w:rsid w:val="00B25C45"/>
    <w:rsid w:val="00B26476"/>
    <w:rsid w:val="00B339E7"/>
    <w:rsid w:val="00B35310"/>
    <w:rsid w:val="00B4039B"/>
    <w:rsid w:val="00B4185E"/>
    <w:rsid w:val="00B546B4"/>
    <w:rsid w:val="00B72777"/>
    <w:rsid w:val="00B7437D"/>
    <w:rsid w:val="00B93533"/>
    <w:rsid w:val="00B966CE"/>
    <w:rsid w:val="00BA46C9"/>
    <w:rsid w:val="00BA73FA"/>
    <w:rsid w:val="00BB30C9"/>
    <w:rsid w:val="00BB4195"/>
    <w:rsid w:val="00BB60D7"/>
    <w:rsid w:val="00BB6C9A"/>
    <w:rsid w:val="00BC28C9"/>
    <w:rsid w:val="00BC4C28"/>
    <w:rsid w:val="00BC5944"/>
    <w:rsid w:val="00BD21D8"/>
    <w:rsid w:val="00BD2471"/>
    <w:rsid w:val="00BD6A17"/>
    <w:rsid w:val="00BE1852"/>
    <w:rsid w:val="00BF3226"/>
    <w:rsid w:val="00BF6C7E"/>
    <w:rsid w:val="00C10B02"/>
    <w:rsid w:val="00C14C5D"/>
    <w:rsid w:val="00C1751A"/>
    <w:rsid w:val="00C20D5F"/>
    <w:rsid w:val="00C24350"/>
    <w:rsid w:val="00C25BF4"/>
    <w:rsid w:val="00C32809"/>
    <w:rsid w:val="00C35C27"/>
    <w:rsid w:val="00C36C1D"/>
    <w:rsid w:val="00C42CA6"/>
    <w:rsid w:val="00C471E7"/>
    <w:rsid w:val="00C64D0E"/>
    <w:rsid w:val="00C65E77"/>
    <w:rsid w:val="00C7252B"/>
    <w:rsid w:val="00C908CD"/>
    <w:rsid w:val="00C96BDE"/>
    <w:rsid w:val="00C96EDB"/>
    <w:rsid w:val="00CA2B8D"/>
    <w:rsid w:val="00CA4AC9"/>
    <w:rsid w:val="00CA6ABF"/>
    <w:rsid w:val="00CD68E1"/>
    <w:rsid w:val="00CD74AA"/>
    <w:rsid w:val="00CE0320"/>
    <w:rsid w:val="00CE441C"/>
    <w:rsid w:val="00CF121B"/>
    <w:rsid w:val="00D1057E"/>
    <w:rsid w:val="00D123BD"/>
    <w:rsid w:val="00D21E24"/>
    <w:rsid w:val="00D22364"/>
    <w:rsid w:val="00D242E8"/>
    <w:rsid w:val="00D264E9"/>
    <w:rsid w:val="00D2766C"/>
    <w:rsid w:val="00D30300"/>
    <w:rsid w:val="00D346C5"/>
    <w:rsid w:val="00D50D39"/>
    <w:rsid w:val="00D514AB"/>
    <w:rsid w:val="00D557A3"/>
    <w:rsid w:val="00D55893"/>
    <w:rsid w:val="00D610C0"/>
    <w:rsid w:val="00D66E95"/>
    <w:rsid w:val="00D73571"/>
    <w:rsid w:val="00D76979"/>
    <w:rsid w:val="00D76C44"/>
    <w:rsid w:val="00DA029E"/>
    <w:rsid w:val="00DA0537"/>
    <w:rsid w:val="00DA0816"/>
    <w:rsid w:val="00DA337A"/>
    <w:rsid w:val="00DA5D20"/>
    <w:rsid w:val="00DB71DF"/>
    <w:rsid w:val="00DC4352"/>
    <w:rsid w:val="00DC5DD4"/>
    <w:rsid w:val="00DD05CE"/>
    <w:rsid w:val="00DD4223"/>
    <w:rsid w:val="00DE1715"/>
    <w:rsid w:val="00DE292A"/>
    <w:rsid w:val="00DE3297"/>
    <w:rsid w:val="00DF4688"/>
    <w:rsid w:val="00DF6B12"/>
    <w:rsid w:val="00E01588"/>
    <w:rsid w:val="00E01811"/>
    <w:rsid w:val="00E35572"/>
    <w:rsid w:val="00E36D83"/>
    <w:rsid w:val="00E40E6E"/>
    <w:rsid w:val="00E42D33"/>
    <w:rsid w:val="00E44CA4"/>
    <w:rsid w:val="00E45C3B"/>
    <w:rsid w:val="00E47588"/>
    <w:rsid w:val="00E4765A"/>
    <w:rsid w:val="00E6144E"/>
    <w:rsid w:val="00E63F9B"/>
    <w:rsid w:val="00E6630E"/>
    <w:rsid w:val="00E67E08"/>
    <w:rsid w:val="00E75268"/>
    <w:rsid w:val="00E80F46"/>
    <w:rsid w:val="00E8131B"/>
    <w:rsid w:val="00E839CA"/>
    <w:rsid w:val="00E86230"/>
    <w:rsid w:val="00EA22F5"/>
    <w:rsid w:val="00EA646F"/>
    <w:rsid w:val="00EA787D"/>
    <w:rsid w:val="00EB0FE1"/>
    <w:rsid w:val="00EC4F22"/>
    <w:rsid w:val="00EC7839"/>
    <w:rsid w:val="00EE62BF"/>
    <w:rsid w:val="00EF5DA6"/>
    <w:rsid w:val="00F06E9F"/>
    <w:rsid w:val="00F135BF"/>
    <w:rsid w:val="00F15DC8"/>
    <w:rsid w:val="00F27358"/>
    <w:rsid w:val="00F27C56"/>
    <w:rsid w:val="00F32D97"/>
    <w:rsid w:val="00F330CB"/>
    <w:rsid w:val="00F36609"/>
    <w:rsid w:val="00F44FA7"/>
    <w:rsid w:val="00F530F5"/>
    <w:rsid w:val="00F623BF"/>
    <w:rsid w:val="00F65EB1"/>
    <w:rsid w:val="00F71878"/>
    <w:rsid w:val="00F73B4C"/>
    <w:rsid w:val="00F74C18"/>
    <w:rsid w:val="00F751E1"/>
    <w:rsid w:val="00F75B1D"/>
    <w:rsid w:val="00F8633F"/>
    <w:rsid w:val="00F8733E"/>
    <w:rsid w:val="00FA1289"/>
    <w:rsid w:val="00FA1945"/>
    <w:rsid w:val="00FA6405"/>
    <w:rsid w:val="00FB035F"/>
    <w:rsid w:val="00FB2E1F"/>
    <w:rsid w:val="00FB32D2"/>
    <w:rsid w:val="00FB6FA9"/>
    <w:rsid w:val="00FC050D"/>
    <w:rsid w:val="00FC4BCA"/>
    <w:rsid w:val="00FD0039"/>
    <w:rsid w:val="00FD2DFB"/>
    <w:rsid w:val="00FE1AA5"/>
    <w:rsid w:val="00FF0446"/>
    <w:rsid w:val="00FF1438"/>
    <w:rsid w:val="00FF530B"/>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AE85A"/>
  <w15:chartTrackingRefBased/>
  <w15:docId w15:val="{F2183058-E11F-4AF7-BFE7-FE8D8104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qFormat="1"/>
    <w:lsdException w:name="List 2" w:semiHidden="1" w:unhideWhenUsed="1" w:qFormat="1"/>
    <w:lsdException w:name="List 3" w:semiHidden="1" w:unhideWhenUsed="1" w:qFormat="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unhideWhenUsed="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qFormat="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beforeLines="50" w:before="50" w:afterLines="50" w:after="50" w:line="360" w:lineRule="auto"/>
      <w:ind w:firstLineChars="200" w:firstLine="200"/>
      <w:jc w:val="both"/>
    </w:pPr>
    <w:rPr>
      <w:rFonts w:ascii="Times New Roman" w:hAnsi="Times New Roman"/>
      <w:kern w:val="2"/>
      <w:sz w:val="24"/>
      <w:szCs w:val="22"/>
    </w:rPr>
  </w:style>
  <w:style w:type="paragraph" w:styleId="1">
    <w:name w:val="heading 1"/>
    <w:basedOn w:val="a1"/>
    <w:next w:val="a1"/>
    <w:link w:val="10"/>
    <w:uiPriority w:val="99"/>
    <w:qFormat/>
    <w:pPr>
      <w:keepNext/>
      <w:keepLines/>
      <w:numPr>
        <w:numId w:val="31"/>
      </w:numPr>
      <w:spacing w:line="578" w:lineRule="auto"/>
      <w:ind w:firstLineChars="0" w:firstLine="0"/>
      <w:jc w:val="center"/>
      <w:outlineLvl w:val="0"/>
    </w:pPr>
    <w:rPr>
      <w:rFonts w:eastAsia="黑体"/>
      <w:bCs/>
      <w:kern w:val="44"/>
      <w:sz w:val="32"/>
      <w:szCs w:val="44"/>
    </w:rPr>
  </w:style>
  <w:style w:type="paragraph" w:styleId="21">
    <w:name w:val="heading 2"/>
    <w:basedOn w:val="a1"/>
    <w:next w:val="a1"/>
    <w:link w:val="22"/>
    <w:qFormat/>
    <w:pPr>
      <w:keepNext/>
      <w:keepLines/>
      <w:numPr>
        <w:ilvl w:val="1"/>
        <w:numId w:val="31"/>
      </w:numPr>
      <w:snapToGrid w:val="0"/>
      <w:spacing w:beforeLines="100" w:before="100" w:afterLines="100" w:after="100" w:line="240" w:lineRule="auto"/>
      <w:ind w:firstLineChars="0" w:firstLine="0"/>
      <w:jc w:val="left"/>
      <w:outlineLvl w:val="1"/>
    </w:pPr>
    <w:rPr>
      <w:b/>
      <w:bCs/>
      <w:szCs w:val="32"/>
    </w:rPr>
  </w:style>
  <w:style w:type="paragraph" w:styleId="31">
    <w:name w:val="heading 3"/>
    <w:basedOn w:val="a1"/>
    <w:next w:val="a1"/>
    <w:link w:val="32"/>
    <w:qFormat/>
    <w:pPr>
      <w:keepNext/>
      <w:keepLines/>
      <w:numPr>
        <w:ilvl w:val="2"/>
        <w:numId w:val="31"/>
      </w:numPr>
      <w:spacing w:beforeLines="100" w:before="100"/>
      <w:ind w:firstLineChars="0" w:firstLine="0"/>
      <w:outlineLvl w:val="2"/>
    </w:pPr>
    <w:rPr>
      <w:b/>
      <w:bCs/>
      <w:szCs w:val="32"/>
    </w:rPr>
  </w:style>
  <w:style w:type="paragraph" w:styleId="41">
    <w:name w:val="heading 4"/>
    <w:basedOn w:val="a1"/>
    <w:next w:val="a1"/>
    <w:link w:val="42"/>
    <w:qFormat/>
    <w:pPr>
      <w:keepNext/>
      <w:keepLines/>
      <w:numPr>
        <w:ilvl w:val="3"/>
        <w:numId w:val="31"/>
      </w:numPr>
      <w:spacing w:before="280" w:after="290" w:line="376" w:lineRule="auto"/>
      <w:outlineLvl w:val="3"/>
    </w:pPr>
    <w:rPr>
      <w:rFonts w:ascii="Calibri Light" w:hAnsi="Calibri Light"/>
      <w:b/>
      <w:bCs/>
      <w:sz w:val="28"/>
      <w:szCs w:val="28"/>
    </w:rPr>
  </w:style>
  <w:style w:type="paragraph" w:styleId="51">
    <w:name w:val="heading 5"/>
    <w:basedOn w:val="a1"/>
    <w:next w:val="a1"/>
    <w:link w:val="52"/>
    <w:qFormat/>
    <w:pPr>
      <w:keepNext/>
      <w:keepLines/>
      <w:numPr>
        <w:ilvl w:val="4"/>
        <w:numId w:val="31"/>
      </w:numPr>
      <w:spacing w:beforeLines="0" w:before="280" w:afterLines="0" w:after="290" w:line="376" w:lineRule="auto"/>
      <w:ind w:firstLineChars="0" w:firstLine="0"/>
      <w:outlineLvl w:val="4"/>
    </w:pPr>
    <w:rPr>
      <w:rFonts w:ascii="Calibri" w:hAnsi="Calibri"/>
      <w:b/>
      <w:bCs/>
      <w:sz w:val="28"/>
      <w:szCs w:val="28"/>
    </w:rPr>
  </w:style>
  <w:style w:type="paragraph" w:styleId="6">
    <w:name w:val="heading 6"/>
    <w:basedOn w:val="a1"/>
    <w:next w:val="a1"/>
    <w:link w:val="60"/>
    <w:qFormat/>
    <w:pPr>
      <w:keepNext/>
      <w:keepLines/>
      <w:numPr>
        <w:ilvl w:val="5"/>
        <w:numId w:val="31"/>
      </w:numPr>
      <w:spacing w:beforeLines="0" w:before="240" w:afterLines="0" w:after="64" w:line="320" w:lineRule="auto"/>
      <w:ind w:firstLineChars="0" w:firstLine="0"/>
      <w:outlineLvl w:val="5"/>
    </w:pPr>
    <w:rPr>
      <w:rFonts w:ascii="Cambria" w:hAnsi="Cambria"/>
      <w:b/>
      <w:bCs/>
      <w:szCs w:val="24"/>
    </w:rPr>
  </w:style>
  <w:style w:type="paragraph" w:styleId="7">
    <w:name w:val="heading 7"/>
    <w:basedOn w:val="a1"/>
    <w:next w:val="a1"/>
    <w:link w:val="70"/>
    <w:uiPriority w:val="99"/>
    <w:qFormat/>
    <w:pPr>
      <w:keepNext/>
      <w:keepLines/>
      <w:numPr>
        <w:ilvl w:val="6"/>
        <w:numId w:val="31"/>
      </w:numPr>
      <w:spacing w:beforeLines="0" w:before="240" w:afterLines="0" w:after="64" w:line="320" w:lineRule="auto"/>
      <w:ind w:firstLineChars="0" w:firstLine="0"/>
      <w:outlineLvl w:val="6"/>
    </w:pPr>
    <w:rPr>
      <w:rFonts w:ascii="Calibri" w:hAnsi="Calibri"/>
      <w:b/>
      <w:bCs/>
      <w:szCs w:val="24"/>
    </w:rPr>
  </w:style>
  <w:style w:type="paragraph" w:styleId="8">
    <w:name w:val="heading 8"/>
    <w:basedOn w:val="a1"/>
    <w:next w:val="a1"/>
    <w:link w:val="80"/>
    <w:uiPriority w:val="99"/>
    <w:qFormat/>
    <w:pPr>
      <w:keepNext/>
      <w:keepLines/>
      <w:numPr>
        <w:ilvl w:val="7"/>
        <w:numId w:val="31"/>
      </w:numPr>
      <w:spacing w:beforeLines="0" w:before="240" w:afterLines="0" w:after="64" w:line="320" w:lineRule="auto"/>
      <w:ind w:firstLineChars="0" w:firstLine="0"/>
      <w:outlineLvl w:val="7"/>
    </w:pPr>
    <w:rPr>
      <w:rFonts w:ascii="Cambria" w:hAnsi="Cambria"/>
      <w:szCs w:val="24"/>
    </w:rPr>
  </w:style>
  <w:style w:type="paragraph" w:styleId="9">
    <w:name w:val="heading 9"/>
    <w:basedOn w:val="a1"/>
    <w:next w:val="a1"/>
    <w:link w:val="90"/>
    <w:uiPriority w:val="99"/>
    <w:qFormat/>
    <w:pPr>
      <w:keepNext/>
      <w:keepLines/>
      <w:numPr>
        <w:ilvl w:val="8"/>
        <w:numId w:val="31"/>
      </w:numPr>
      <w:spacing w:beforeLines="0" w:before="240" w:afterLines="0" w:after="64" w:line="320" w:lineRule="auto"/>
      <w:ind w:firstLineChars="0" w:firstLine="0"/>
      <w:outlineLvl w:val="8"/>
    </w:pPr>
    <w:rPr>
      <w:rFonts w:ascii="Cambria" w:hAnsi="Cambria"/>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9"/>
    <w:qFormat/>
    <w:rPr>
      <w:rFonts w:ascii="Times New Roman" w:eastAsia="黑体" w:hAnsi="Times New Roman"/>
      <w:bCs/>
      <w:kern w:val="44"/>
      <w:sz w:val="32"/>
      <w:szCs w:val="44"/>
    </w:rPr>
  </w:style>
  <w:style w:type="character" w:customStyle="1" w:styleId="22">
    <w:name w:val="标题 2 字符"/>
    <w:link w:val="21"/>
    <w:qFormat/>
    <w:rPr>
      <w:rFonts w:ascii="Times New Roman" w:hAnsi="Times New Roman"/>
      <w:b/>
      <w:bCs/>
      <w:kern w:val="2"/>
      <w:sz w:val="24"/>
      <w:szCs w:val="32"/>
    </w:rPr>
  </w:style>
  <w:style w:type="character" w:customStyle="1" w:styleId="32">
    <w:name w:val="标题 3 字符"/>
    <w:link w:val="31"/>
    <w:qFormat/>
    <w:rPr>
      <w:rFonts w:ascii="Times New Roman" w:hAnsi="Times New Roman"/>
      <w:b/>
      <w:bCs/>
      <w:kern w:val="2"/>
      <w:sz w:val="24"/>
      <w:szCs w:val="32"/>
    </w:rPr>
  </w:style>
  <w:style w:type="paragraph" w:styleId="a5">
    <w:name w:val="header"/>
    <w:basedOn w:val="a1"/>
    <w:link w:val="1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1">
    <w:name w:val="页眉 字符1"/>
    <w:link w:val="a5"/>
    <w:uiPriority w:val="99"/>
    <w:rPr>
      <w:rFonts w:ascii="Times New Roman" w:eastAsia="宋体" w:hAnsi="Times New Roman"/>
      <w:sz w:val="18"/>
      <w:szCs w:val="18"/>
    </w:rPr>
  </w:style>
  <w:style w:type="paragraph" w:styleId="a6">
    <w:name w:val="footer"/>
    <w:basedOn w:val="a1"/>
    <w:link w:val="12"/>
    <w:uiPriority w:val="99"/>
    <w:unhideWhenUsed/>
    <w:qFormat/>
    <w:pPr>
      <w:tabs>
        <w:tab w:val="center" w:pos="4153"/>
        <w:tab w:val="right" w:pos="8306"/>
      </w:tabs>
      <w:snapToGrid w:val="0"/>
      <w:spacing w:line="240" w:lineRule="auto"/>
      <w:jc w:val="left"/>
    </w:pPr>
    <w:rPr>
      <w:sz w:val="18"/>
      <w:szCs w:val="18"/>
    </w:rPr>
  </w:style>
  <w:style w:type="character" w:customStyle="1" w:styleId="12">
    <w:name w:val="页脚 字符1"/>
    <w:link w:val="a6"/>
    <w:uiPriority w:val="99"/>
    <w:rPr>
      <w:rFonts w:ascii="Times New Roman" w:eastAsia="宋体" w:hAnsi="Times New Roman"/>
      <w:sz w:val="18"/>
      <w:szCs w:val="18"/>
    </w:rPr>
  </w:style>
  <w:style w:type="paragraph" w:styleId="a7">
    <w:name w:val="Balloon Text"/>
    <w:basedOn w:val="a1"/>
    <w:link w:val="13"/>
    <w:uiPriority w:val="99"/>
    <w:semiHidden/>
    <w:unhideWhenUsed/>
    <w:qFormat/>
    <w:pPr>
      <w:spacing w:before="0" w:after="0" w:line="240" w:lineRule="auto"/>
    </w:pPr>
    <w:rPr>
      <w:sz w:val="18"/>
      <w:szCs w:val="18"/>
    </w:rPr>
  </w:style>
  <w:style w:type="character" w:customStyle="1" w:styleId="13">
    <w:name w:val="批注框文本 字符1"/>
    <w:link w:val="a7"/>
    <w:uiPriority w:val="99"/>
    <w:semiHidden/>
    <w:rPr>
      <w:rFonts w:ascii="Times New Roman" w:hAnsi="Times New Roman"/>
      <w:kern w:val="2"/>
      <w:sz w:val="18"/>
      <w:szCs w:val="18"/>
    </w:rPr>
  </w:style>
  <w:style w:type="character" w:styleId="a8">
    <w:name w:val="annotation reference"/>
    <w:uiPriority w:val="99"/>
    <w:unhideWhenUsed/>
    <w:qFormat/>
    <w:rPr>
      <w:sz w:val="21"/>
      <w:szCs w:val="21"/>
    </w:rPr>
  </w:style>
  <w:style w:type="paragraph" w:styleId="a9">
    <w:name w:val="annotation text"/>
    <w:aliases w:val=" Char3 Char Char Char Char Char Char Char Char, Char3 Char Char Char Char Char Char Char Char Char Char Char Char, Char3 Char Char Char Char Char1 Char Char Char, Char3 Char Char Char Char Char Char, Char3 Char Char Char Char Char1, Char4,Char4"/>
    <w:basedOn w:val="a1"/>
    <w:link w:val="14"/>
    <w:uiPriority w:val="99"/>
    <w:unhideWhenUsed/>
    <w:qFormat/>
    <w:pPr>
      <w:jc w:val="left"/>
    </w:pPr>
  </w:style>
  <w:style w:type="character" w:customStyle="1" w:styleId="14">
    <w:name w:val="批注文字 字符1"/>
    <w:aliases w:val=" Char3 Char Char Char Char Char Char Char Char 字符, Char3 Char Char Char Char Char Char Char Char Char Char Char Char 字符, Char3 Char Char Char Char Char1 Char Char Char 字符, Char3 Char Char Char Char Char Char 字符, Char4 字符,Char4 字符"/>
    <w:link w:val="a9"/>
    <w:uiPriority w:val="99"/>
    <w:qFormat/>
    <w:rPr>
      <w:rFonts w:ascii="Times New Roman" w:hAnsi="Times New Roman"/>
      <w:kern w:val="2"/>
      <w:sz w:val="24"/>
      <w:szCs w:val="22"/>
    </w:rPr>
  </w:style>
  <w:style w:type="paragraph" w:styleId="aa">
    <w:name w:val="annotation subject"/>
    <w:basedOn w:val="a9"/>
    <w:next w:val="a9"/>
    <w:link w:val="15"/>
    <w:uiPriority w:val="99"/>
    <w:semiHidden/>
    <w:unhideWhenUsed/>
    <w:qFormat/>
    <w:rPr>
      <w:b/>
      <w:bCs/>
    </w:rPr>
  </w:style>
  <w:style w:type="character" w:customStyle="1" w:styleId="15">
    <w:name w:val="批注主题 字符1"/>
    <w:link w:val="aa"/>
    <w:semiHidden/>
    <w:rPr>
      <w:rFonts w:ascii="Times New Roman" w:hAnsi="Times New Roman"/>
      <w:b/>
      <w:bCs/>
      <w:kern w:val="2"/>
      <w:sz w:val="24"/>
      <w:szCs w:val="22"/>
    </w:rPr>
  </w:style>
  <w:style w:type="character" w:customStyle="1" w:styleId="42">
    <w:name w:val="标题 4 字符"/>
    <w:link w:val="41"/>
    <w:qFormat/>
    <w:rPr>
      <w:rFonts w:ascii="Calibri Light" w:eastAsia="宋体" w:hAnsi="Calibri Light" w:cs="Times New Roman"/>
      <w:b/>
      <w:bCs/>
      <w:kern w:val="2"/>
      <w:sz w:val="28"/>
      <w:szCs w:val="28"/>
    </w:rPr>
  </w:style>
  <w:style w:type="paragraph" w:styleId="ab">
    <w:name w:val="Document Map"/>
    <w:basedOn w:val="a1"/>
    <w:link w:val="ac"/>
    <w:uiPriority w:val="99"/>
    <w:semiHidden/>
    <w:unhideWhenUsed/>
    <w:qFormat/>
    <w:rPr>
      <w:rFonts w:ascii="Heiti SC Light" w:eastAsia="Heiti SC Light"/>
      <w:szCs w:val="24"/>
    </w:rPr>
  </w:style>
  <w:style w:type="character" w:customStyle="1" w:styleId="ac">
    <w:name w:val="文档结构图 字符"/>
    <w:link w:val="ab"/>
    <w:uiPriority w:val="99"/>
    <w:semiHidden/>
    <w:qFormat/>
    <w:rPr>
      <w:rFonts w:ascii="Heiti SC Light" w:eastAsia="Heiti SC Light" w:hAnsi="Times New Roman"/>
      <w:kern w:val="2"/>
      <w:sz w:val="24"/>
      <w:szCs w:val="24"/>
    </w:rPr>
  </w:style>
  <w:style w:type="paragraph" w:customStyle="1" w:styleId="ad">
    <w:name w:val="单位格式"/>
    <w:basedOn w:val="a1"/>
    <w:link w:val="Char"/>
    <w:qFormat/>
    <w:pPr>
      <w:snapToGrid w:val="0"/>
      <w:spacing w:line="240" w:lineRule="auto"/>
      <w:ind w:firstLineChars="0" w:firstLine="0"/>
      <w:jc w:val="right"/>
    </w:pPr>
    <w:rPr>
      <w:sz w:val="21"/>
    </w:rPr>
  </w:style>
  <w:style w:type="character" w:customStyle="1" w:styleId="Char">
    <w:name w:val="单位格式 Char"/>
    <w:link w:val="ad"/>
    <w:rPr>
      <w:rFonts w:ascii="Times New Roman" w:hAnsi="Times New Roman"/>
      <w:kern w:val="2"/>
      <w:sz w:val="21"/>
      <w:szCs w:val="22"/>
    </w:rPr>
  </w:style>
  <w:style w:type="paragraph" w:styleId="ae">
    <w:name w:val="footnote text"/>
    <w:basedOn w:val="a1"/>
    <w:link w:val="af"/>
    <w:uiPriority w:val="99"/>
    <w:unhideWhenUsed/>
    <w:qFormat/>
    <w:pPr>
      <w:snapToGrid w:val="0"/>
      <w:jc w:val="left"/>
    </w:pPr>
    <w:rPr>
      <w:sz w:val="18"/>
      <w:szCs w:val="18"/>
    </w:rPr>
  </w:style>
  <w:style w:type="character" w:customStyle="1" w:styleId="af">
    <w:name w:val="脚注文本 字符"/>
    <w:link w:val="ae"/>
    <w:uiPriority w:val="99"/>
    <w:rPr>
      <w:rFonts w:ascii="Times New Roman" w:hAnsi="Times New Roman"/>
      <w:kern w:val="2"/>
      <w:sz w:val="18"/>
      <w:szCs w:val="18"/>
    </w:rPr>
  </w:style>
  <w:style w:type="character" w:styleId="af0">
    <w:name w:val="footnote reference"/>
    <w:uiPriority w:val="99"/>
    <w:unhideWhenUsed/>
    <w:qFormat/>
    <w:rPr>
      <w:vertAlign w:val="superscript"/>
    </w:rPr>
  </w:style>
  <w:style w:type="paragraph" w:styleId="af1">
    <w:name w:val="List"/>
    <w:basedOn w:val="a1"/>
    <w:uiPriority w:val="99"/>
    <w:qFormat/>
    <w:pPr>
      <w:spacing w:beforeLines="0" w:before="0" w:afterLines="0" w:after="0"/>
      <w:ind w:left="200" w:hangingChars="200" w:hanging="200"/>
    </w:pPr>
    <w:rPr>
      <w:szCs w:val="24"/>
    </w:rPr>
  </w:style>
  <w:style w:type="paragraph" w:styleId="TOC1">
    <w:name w:val="toc 1"/>
    <w:aliases w:val="目录 1,toc 2,toc 3,toc 4,toc 5,toc 6,toc 7,toc 8,toc 9,List Paragraph"/>
    <w:basedOn w:val="a1"/>
    <w:next w:val="a1"/>
    <w:autoRedefine/>
    <w:uiPriority w:val="39"/>
    <w:unhideWhenUsed/>
    <w:qFormat/>
    <w:rsid w:val="001F1733"/>
    <w:pPr>
      <w:tabs>
        <w:tab w:val="right" w:leader="dot" w:pos="8296"/>
      </w:tabs>
      <w:spacing w:before="163" w:after="163"/>
      <w:ind w:firstLineChars="0" w:firstLine="0"/>
    </w:pPr>
    <w:rPr>
      <w:rFonts w:ascii="宋体" w:hAnsi="宋体"/>
      <w:b/>
      <w:noProof/>
    </w:rPr>
  </w:style>
  <w:style w:type="paragraph" w:styleId="TOC2">
    <w:name w:val="toc 2"/>
    <w:aliases w:val="目录 2"/>
    <w:basedOn w:val="a1"/>
    <w:next w:val="a1"/>
    <w:autoRedefine/>
    <w:uiPriority w:val="39"/>
    <w:unhideWhenUsed/>
    <w:qFormat/>
    <w:rsid w:val="00BD2471"/>
    <w:pPr>
      <w:tabs>
        <w:tab w:val="right" w:leader="dot" w:pos="8296"/>
      </w:tabs>
      <w:spacing w:before="163" w:after="163"/>
      <w:ind w:firstLineChars="0" w:firstLine="0"/>
    </w:pPr>
    <w:rPr>
      <w:noProof/>
    </w:rPr>
  </w:style>
  <w:style w:type="paragraph" w:styleId="TOC3">
    <w:name w:val="toc 3"/>
    <w:aliases w:val="目录 3"/>
    <w:basedOn w:val="a1"/>
    <w:next w:val="a1"/>
    <w:autoRedefine/>
    <w:uiPriority w:val="39"/>
    <w:unhideWhenUsed/>
    <w:qFormat/>
    <w:pPr>
      <w:spacing w:beforeLines="0" w:before="0" w:afterLines="0" w:after="0" w:line="240" w:lineRule="auto"/>
      <w:ind w:leftChars="400" w:left="840" w:firstLineChars="0" w:firstLine="0"/>
    </w:pPr>
    <w:rPr>
      <w:rFonts w:ascii="Calibri" w:hAnsi="Calibri"/>
      <w:sz w:val="21"/>
    </w:rPr>
  </w:style>
  <w:style w:type="paragraph" w:styleId="TOC4">
    <w:name w:val="toc 4"/>
    <w:aliases w:val="目录 4"/>
    <w:basedOn w:val="a1"/>
    <w:next w:val="a1"/>
    <w:autoRedefine/>
    <w:uiPriority w:val="39"/>
    <w:unhideWhenUsed/>
    <w:qFormat/>
    <w:pPr>
      <w:spacing w:beforeLines="0" w:before="0" w:afterLines="0" w:after="0" w:line="240" w:lineRule="auto"/>
      <w:ind w:leftChars="600" w:left="1260" w:firstLineChars="0" w:firstLine="0"/>
    </w:pPr>
    <w:rPr>
      <w:rFonts w:ascii="Calibri" w:hAnsi="Calibri"/>
      <w:sz w:val="21"/>
    </w:rPr>
  </w:style>
  <w:style w:type="paragraph" w:styleId="TOC5">
    <w:name w:val="toc 5"/>
    <w:aliases w:val="目录 5"/>
    <w:basedOn w:val="a1"/>
    <w:next w:val="a1"/>
    <w:autoRedefine/>
    <w:uiPriority w:val="39"/>
    <w:unhideWhenUsed/>
    <w:qFormat/>
    <w:pPr>
      <w:spacing w:beforeLines="0" w:before="0" w:afterLines="0" w:after="0" w:line="240" w:lineRule="auto"/>
      <w:ind w:leftChars="800" w:left="1680" w:firstLineChars="0" w:firstLine="0"/>
    </w:pPr>
    <w:rPr>
      <w:rFonts w:ascii="Calibri" w:hAnsi="Calibri"/>
      <w:sz w:val="21"/>
    </w:rPr>
  </w:style>
  <w:style w:type="paragraph" w:styleId="TOC6">
    <w:name w:val="toc 6"/>
    <w:aliases w:val="目录 6"/>
    <w:basedOn w:val="a1"/>
    <w:next w:val="a1"/>
    <w:autoRedefine/>
    <w:uiPriority w:val="39"/>
    <w:unhideWhenUsed/>
    <w:qFormat/>
    <w:pPr>
      <w:spacing w:beforeLines="0" w:before="0" w:afterLines="0" w:after="0" w:line="240" w:lineRule="auto"/>
      <w:ind w:leftChars="1000" w:left="2100" w:firstLineChars="0" w:firstLine="0"/>
    </w:pPr>
    <w:rPr>
      <w:rFonts w:ascii="Calibri" w:hAnsi="Calibri"/>
      <w:sz w:val="21"/>
    </w:rPr>
  </w:style>
  <w:style w:type="paragraph" w:styleId="TOC7">
    <w:name w:val="toc 7"/>
    <w:aliases w:val="目录 7"/>
    <w:basedOn w:val="a1"/>
    <w:next w:val="a1"/>
    <w:autoRedefine/>
    <w:uiPriority w:val="39"/>
    <w:unhideWhenUsed/>
    <w:qFormat/>
    <w:pPr>
      <w:spacing w:beforeLines="0" w:before="0" w:afterLines="0" w:after="0" w:line="240" w:lineRule="auto"/>
      <w:ind w:leftChars="1200" w:left="2520" w:firstLineChars="0" w:firstLine="0"/>
    </w:pPr>
    <w:rPr>
      <w:rFonts w:ascii="Calibri" w:hAnsi="Calibri"/>
      <w:sz w:val="21"/>
    </w:rPr>
  </w:style>
  <w:style w:type="paragraph" w:styleId="TOC8">
    <w:name w:val="toc 8"/>
    <w:aliases w:val="目录 8"/>
    <w:basedOn w:val="a1"/>
    <w:next w:val="a1"/>
    <w:autoRedefine/>
    <w:uiPriority w:val="39"/>
    <w:unhideWhenUsed/>
    <w:qFormat/>
    <w:pPr>
      <w:spacing w:beforeLines="0" w:before="0" w:afterLines="0" w:after="0" w:line="240" w:lineRule="auto"/>
      <w:ind w:leftChars="1400" w:left="2940" w:firstLineChars="0" w:firstLine="0"/>
    </w:pPr>
    <w:rPr>
      <w:rFonts w:ascii="Calibri" w:hAnsi="Calibri"/>
      <w:sz w:val="21"/>
    </w:rPr>
  </w:style>
  <w:style w:type="paragraph" w:styleId="TOC9">
    <w:name w:val="toc 9"/>
    <w:aliases w:val="目录 9"/>
    <w:basedOn w:val="a1"/>
    <w:next w:val="a1"/>
    <w:autoRedefine/>
    <w:uiPriority w:val="39"/>
    <w:unhideWhenUsed/>
    <w:qFormat/>
    <w:pPr>
      <w:spacing w:beforeLines="0" w:before="0" w:afterLines="0" w:after="0" w:line="240" w:lineRule="auto"/>
      <w:ind w:leftChars="1600" w:left="3360" w:firstLineChars="0" w:firstLine="0"/>
    </w:pPr>
    <w:rPr>
      <w:rFonts w:ascii="Calibri" w:hAnsi="Calibri"/>
      <w:sz w:val="21"/>
    </w:rPr>
  </w:style>
  <w:style w:type="character" w:styleId="af2">
    <w:name w:val="Hyperlink"/>
    <w:aliases w:val="超级链接"/>
    <w:uiPriority w:val="99"/>
    <w:unhideWhenUsed/>
    <w:qFormat/>
    <w:rPr>
      <w:color w:val="0000FF"/>
      <w:u w:val="single"/>
    </w:rPr>
  </w:style>
  <w:style w:type="paragraph" w:customStyle="1" w:styleId="af3">
    <w:name w:val="正文黑"/>
    <w:basedOn w:val="a1"/>
    <w:link w:val="Char0"/>
    <w:qFormat/>
    <w:pPr>
      <w:autoSpaceDE w:val="0"/>
      <w:autoSpaceDN w:val="0"/>
      <w:adjustRightInd w:val="0"/>
    </w:pPr>
    <w:rPr>
      <w:b/>
      <w:kern w:val="0"/>
      <w:szCs w:val="24"/>
    </w:rPr>
  </w:style>
  <w:style w:type="paragraph" w:customStyle="1" w:styleId="-21">
    <w:name w:val="彩色列表 - 着色 21"/>
    <w:uiPriority w:val="1"/>
    <w:pPr>
      <w:widowControl w:val="0"/>
      <w:spacing w:beforeLines="50" w:afterLines="50"/>
      <w:ind w:firstLineChars="200" w:firstLine="200"/>
      <w:jc w:val="both"/>
    </w:pPr>
    <w:rPr>
      <w:rFonts w:ascii="Times New Roman" w:hAnsi="Times New Roman"/>
      <w:kern w:val="2"/>
      <w:sz w:val="24"/>
      <w:szCs w:val="22"/>
    </w:rPr>
  </w:style>
  <w:style w:type="character" w:customStyle="1" w:styleId="Char0">
    <w:name w:val="正文黑 Char"/>
    <w:link w:val="af3"/>
    <w:rPr>
      <w:rFonts w:ascii="Times New Roman" w:hAnsi="Times New Roman"/>
      <w:b/>
      <w:sz w:val="24"/>
      <w:szCs w:val="24"/>
    </w:rPr>
  </w:style>
  <w:style w:type="paragraph" w:customStyle="1" w:styleId="Default">
    <w:name w:val="Default"/>
    <w:link w:val="DefaultChar"/>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1-41">
    <w:name w:val="中等深浅列表 1 - 着色 41"/>
    <w:hidden/>
    <w:uiPriority w:val="99"/>
    <w:semiHidden/>
    <w:rPr>
      <w:rFonts w:ascii="Times New Roman" w:hAnsi="Times New Roman"/>
      <w:kern w:val="2"/>
      <w:sz w:val="24"/>
      <w:szCs w:val="22"/>
    </w:rPr>
  </w:style>
  <w:style w:type="character" w:customStyle="1" w:styleId="52">
    <w:name w:val="标题 5 字符"/>
    <w:link w:val="51"/>
    <w:qFormat/>
    <w:rPr>
      <w:b/>
      <w:bCs/>
      <w:kern w:val="2"/>
      <w:sz w:val="28"/>
      <w:szCs w:val="28"/>
    </w:rPr>
  </w:style>
  <w:style w:type="character" w:customStyle="1" w:styleId="60">
    <w:name w:val="标题 6 字符"/>
    <w:link w:val="6"/>
    <w:semiHidden/>
    <w:rPr>
      <w:rFonts w:ascii="Cambria" w:hAnsi="Cambria"/>
      <w:b/>
      <w:bCs/>
      <w:kern w:val="2"/>
      <w:sz w:val="24"/>
      <w:szCs w:val="24"/>
    </w:rPr>
  </w:style>
  <w:style w:type="character" w:customStyle="1" w:styleId="70">
    <w:name w:val="标题 7 字符"/>
    <w:link w:val="7"/>
    <w:uiPriority w:val="99"/>
    <w:semiHidden/>
    <w:rPr>
      <w:b/>
      <w:bCs/>
      <w:kern w:val="2"/>
      <w:sz w:val="24"/>
      <w:szCs w:val="24"/>
    </w:rPr>
  </w:style>
  <w:style w:type="character" w:customStyle="1" w:styleId="80">
    <w:name w:val="标题 8 字符"/>
    <w:link w:val="8"/>
    <w:uiPriority w:val="99"/>
    <w:semiHidden/>
    <w:rPr>
      <w:rFonts w:ascii="Cambria" w:hAnsi="Cambria"/>
      <w:kern w:val="2"/>
      <w:sz w:val="24"/>
      <w:szCs w:val="24"/>
    </w:rPr>
  </w:style>
  <w:style w:type="character" w:customStyle="1" w:styleId="90">
    <w:name w:val="标题 9 字符"/>
    <w:link w:val="9"/>
    <w:uiPriority w:val="99"/>
    <w:semiHidden/>
    <w:qFormat/>
    <w:rPr>
      <w:rFonts w:ascii="Cambria" w:hAnsi="Cambria"/>
      <w:kern w:val="2"/>
      <w:sz w:val="21"/>
      <w:szCs w:val="21"/>
    </w:rPr>
  </w:style>
  <w:style w:type="character" w:customStyle="1" w:styleId="1Char1">
    <w:name w:val="标题 1 Char1"/>
    <w:aliases w:val="H1 Char"/>
    <w:rPr>
      <w:b/>
      <w:bCs/>
      <w:kern w:val="44"/>
      <w:sz w:val="44"/>
      <w:szCs w:val="44"/>
    </w:rPr>
  </w:style>
  <w:style w:type="paragraph" w:styleId="af4">
    <w:name w:val="Normal Indent"/>
    <w:basedOn w:val="a1"/>
    <w:semiHidden/>
    <w:unhideWhenUsed/>
    <w:pPr>
      <w:spacing w:beforeLines="0" w:before="0" w:afterLines="0" w:after="0" w:line="240" w:lineRule="auto"/>
      <w:ind w:firstLine="420"/>
    </w:pPr>
    <w:rPr>
      <w:rFonts w:ascii="Calibri" w:hAnsi="Calibri"/>
      <w:sz w:val="21"/>
    </w:rPr>
  </w:style>
  <w:style w:type="character" w:styleId="af5">
    <w:name w:val="Strong"/>
    <w:uiPriority w:val="22"/>
    <w:qFormat/>
    <w:rPr>
      <w:b/>
      <w:bCs/>
    </w:rPr>
  </w:style>
  <w:style w:type="character" w:styleId="af6">
    <w:name w:val="Emphasis"/>
    <w:uiPriority w:val="20"/>
    <w:qFormat/>
    <w:rPr>
      <w:i/>
      <w:iCs/>
    </w:rPr>
  </w:style>
  <w:style w:type="paragraph" w:customStyle="1" w:styleId="2-41">
    <w:name w:val="中等深浅列表 2 - 着色 41"/>
    <w:basedOn w:val="a1"/>
    <w:uiPriority w:val="34"/>
    <w:qFormat/>
    <w:pPr>
      <w:spacing w:beforeLines="0" w:before="0" w:afterLines="0" w:after="0" w:line="240" w:lineRule="auto"/>
      <w:ind w:firstLine="420"/>
    </w:pPr>
    <w:rPr>
      <w:rFonts w:ascii="Calibri" w:hAnsi="Calibri"/>
      <w:sz w:val="21"/>
    </w:rPr>
  </w:style>
  <w:style w:type="paragraph" w:customStyle="1" w:styleId="16">
    <w:name w:val="样式1"/>
    <w:basedOn w:val="a1"/>
    <w:link w:val="1Char"/>
    <w:pPr>
      <w:spacing w:beforeLines="0" w:before="0" w:afterLines="0" w:after="0"/>
      <w:ind w:firstLine="420"/>
    </w:pPr>
    <w:rPr>
      <w:rFonts w:ascii="宋体" w:hAnsi="宋体"/>
      <w:sz w:val="21"/>
      <w:szCs w:val="21"/>
      <w:shd w:val="clear" w:color="auto" w:fill="00FFFF"/>
    </w:rPr>
  </w:style>
  <w:style w:type="character" w:customStyle="1" w:styleId="1Char">
    <w:name w:val="样式1 Char"/>
    <w:link w:val="16"/>
    <w:rPr>
      <w:rFonts w:ascii="宋体" w:hAnsi="宋体"/>
      <w:kern w:val="2"/>
      <w:sz w:val="21"/>
      <w:szCs w:val="21"/>
    </w:rPr>
  </w:style>
  <w:style w:type="paragraph" w:styleId="af7">
    <w:name w:val="Title"/>
    <w:basedOn w:val="a1"/>
    <w:next w:val="a1"/>
    <w:link w:val="af8"/>
    <w:uiPriority w:val="99"/>
    <w:qFormat/>
    <w:pPr>
      <w:spacing w:beforeLines="0" w:before="240" w:afterLines="0" w:after="60" w:line="240" w:lineRule="auto"/>
      <w:ind w:firstLineChars="0" w:firstLine="0"/>
      <w:jc w:val="center"/>
      <w:outlineLvl w:val="0"/>
    </w:pPr>
    <w:rPr>
      <w:rFonts w:ascii="Cambria" w:hAnsi="Cambria"/>
      <w:b/>
      <w:bCs/>
      <w:sz w:val="32"/>
      <w:szCs w:val="32"/>
    </w:rPr>
  </w:style>
  <w:style w:type="character" w:customStyle="1" w:styleId="af8">
    <w:name w:val="标题 字符"/>
    <w:link w:val="af7"/>
    <w:uiPriority w:val="99"/>
    <w:rPr>
      <w:rFonts w:ascii="Cambria" w:hAnsi="Cambria"/>
      <w:b/>
      <w:bCs/>
      <w:kern w:val="2"/>
      <w:sz w:val="32"/>
      <w:szCs w:val="32"/>
    </w:rPr>
  </w:style>
  <w:style w:type="paragraph" w:styleId="af9">
    <w:name w:val="Subtitle"/>
    <w:basedOn w:val="a1"/>
    <w:link w:val="afa"/>
    <w:qFormat/>
    <w:pPr>
      <w:spacing w:beforeLines="0" w:before="240" w:afterLines="0" w:after="60" w:line="312" w:lineRule="auto"/>
      <w:ind w:firstLineChars="0" w:firstLine="0"/>
      <w:jc w:val="center"/>
      <w:outlineLvl w:val="1"/>
    </w:pPr>
    <w:rPr>
      <w:rFonts w:ascii="Cambria" w:hAnsi="Cambria"/>
      <w:b/>
      <w:bCs/>
      <w:kern w:val="28"/>
      <w:sz w:val="32"/>
      <w:szCs w:val="32"/>
    </w:rPr>
  </w:style>
  <w:style w:type="character" w:customStyle="1" w:styleId="afa">
    <w:name w:val="副标题 字符"/>
    <w:link w:val="af9"/>
    <w:rPr>
      <w:rFonts w:ascii="Cambria" w:hAnsi="Cambria"/>
      <w:b/>
      <w:bCs/>
      <w:kern w:val="28"/>
      <w:sz w:val="32"/>
      <w:szCs w:val="32"/>
    </w:rPr>
  </w:style>
  <w:style w:type="paragraph" w:customStyle="1" w:styleId="4-51">
    <w:name w:val="网格表 4 - 着色 51"/>
    <w:basedOn w:val="1"/>
    <w:next w:val="a1"/>
    <w:uiPriority w:val="39"/>
    <w:semiHidden/>
    <w:unhideWhenUsed/>
    <w:qFormat/>
    <w:pPr>
      <w:spacing w:beforeLines="0" w:before="340" w:afterLines="0" w:after="330"/>
      <w:jc w:val="both"/>
      <w:outlineLvl w:val="9"/>
    </w:pPr>
    <w:rPr>
      <w:rFonts w:ascii="Calibri" w:eastAsia="宋体" w:hAnsi="Calibri"/>
      <w:b/>
      <w:sz w:val="44"/>
    </w:rPr>
  </w:style>
  <w:style w:type="numbering" w:customStyle="1" w:styleId="17">
    <w:name w:val="无列表1"/>
    <w:next w:val="a4"/>
    <w:uiPriority w:val="99"/>
    <w:semiHidden/>
    <w:unhideWhenUsed/>
  </w:style>
  <w:style w:type="table" w:customStyle="1" w:styleId="userdfd">
    <w:name w:val="userdfd"/>
    <w:basedOn w:val="a3"/>
    <w:pPr>
      <w:adjustRightInd w:val="0"/>
      <w:snapToGrid w:val="0"/>
      <w:spacing w:beforeLines="30" w:before="30" w:afterLines="30" w:after="30"/>
      <w:contextualSpacing/>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3">
    <w:name w:val="无列表2"/>
    <w:next w:val="a4"/>
    <w:uiPriority w:val="99"/>
    <w:semiHidden/>
    <w:unhideWhenUsed/>
  </w:style>
  <w:style w:type="numbering" w:customStyle="1" w:styleId="110">
    <w:name w:val="无列表11"/>
    <w:next w:val="a4"/>
    <w:uiPriority w:val="99"/>
    <w:semiHidden/>
    <w:unhideWhenUsed/>
  </w:style>
  <w:style w:type="table" w:customStyle="1" w:styleId="18">
    <w:name w:val="网格型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style>
  <w:style w:type="numbering" w:customStyle="1" w:styleId="111">
    <w:name w:val="无列表111"/>
    <w:next w:val="a4"/>
    <w:uiPriority w:val="99"/>
    <w:semiHidden/>
    <w:unhideWhenUsed/>
  </w:style>
  <w:style w:type="table" w:styleId="afb">
    <w:name w:val="Table Grid"/>
    <w:aliases w:val="方欣网格型,定制网格型"/>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深色列表 - 着色 31"/>
    <w:hidden/>
    <w:uiPriority w:val="99"/>
    <w:semiHidden/>
    <w:rPr>
      <w:rFonts w:ascii="Times New Roman" w:hAnsi="Times New Roman"/>
      <w:kern w:val="2"/>
      <w:sz w:val="24"/>
      <w:szCs w:val="22"/>
    </w:rPr>
  </w:style>
  <w:style w:type="paragraph" w:customStyle="1" w:styleId="-310">
    <w:name w:val="浅色列表 - 着色 31"/>
    <w:hidden/>
    <w:uiPriority w:val="71"/>
    <w:rPr>
      <w:rFonts w:ascii="Times New Roman" w:hAnsi="Times New Roman"/>
      <w:kern w:val="2"/>
      <w:sz w:val="24"/>
      <w:szCs w:val="22"/>
    </w:rPr>
  </w:style>
  <w:style w:type="paragraph" w:customStyle="1" w:styleId="-11">
    <w:name w:val="彩色底纹 - 着色 11"/>
    <w:hidden/>
    <w:uiPriority w:val="99"/>
    <w:unhideWhenUsed/>
    <w:qFormat/>
    <w:rPr>
      <w:rFonts w:ascii="Times New Roman" w:hAnsi="Times New Roman"/>
      <w:kern w:val="2"/>
      <w:sz w:val="24"/>
      <w:szCs w:val="22"/>
    </w:rPr>
  </w:style>
  <w:style w:type="character" w:styleId="afc">
    <w:name w:val="page number"/>
    <w:qFormat/>
  </w:style>
  <w:style w:type="paragraph" w:styleId="afd">
    <w:name w:val="Date"/>
    <w:basedOn w:val="a1"/>
    <w:next w:val="a1"/>
    <w:link w:val="afe"/>
    <w:uiPriority w:val="99"/>
    <w:qFormat/>
    <w:pPr>
      <w:spacing w:beforeLines="0" w:before="0" w:afterLines="0" w:after="0" w:line="240" w:lineRule="auto"/>
      <w:ind w:leftChars="2500" w:left="100" w:firstLineChars="0" w:firstLine="0"/>
    </w:pPr>
    <w:rPr>
      <w:rFonts w:eastAsia="仿宋_GB2312"/>
      <w:kern w:val="0"/>
      <w:sz w:val="32"/>
      <w:szCs w:val="20"/>
      <w:lang w:val="x-none" w:eastAsia="x-none"/>
    </w:rPr>
  </w:style>
  <w:style w:type="character" w:customStyle="1" w:styleId="afe">
    <w:name w:val="日期 字符"/>
    <w:link w:val="afd"/>
    <w:uiPriority w:val="99"/>
    <w:qFormat/>
    <w:rPr>
      <w:rFonts w:ascii="Times New Roman" w:eastAsia="仿宋_GB2312" w:hAnsi="Times New Roman"/>
      <w:sz w:val="32"/>
      <w:lang w:val="x-none" w:eastAsia="x-none"/>
    </w:rPr>
  </w:style>
  <w:style w:type="paragraph" w:customStyle="1" w:styleId="p0">
    <w:name w:val="p0"/>
    <w:basedOn w:val="a1"/>
    <w:pPr>
      <w:widowControl/>
      <w:spacing w:beforeLines="0" w:before="0" w:afterLines="0" w:after="0" w:line="240" w:lineRule="auto"/>
      <w:ind w:firstLineChars="0" w:firstLine="0"/>
    </w:pPr>
    <w:rPr>
      <w:kern w:val="0"/>
      <w:sz w:val="32"/>
      <w:szCs w:val="21"/>
    </w:rPr>
  </w:style>
  <w:style w:type="paragraph" w:customStyle="1" w:styleId="aff">
    <w:name w:val="图题"/>
    <w:basedOn w:val="a1"/>
    <w:link w:val="Char1"/>
    <w:pPr>
      <w:autoSpaceDE w:val="0"/>
      <w:autoSpaceDN w:val="0"/>
      <w:adjustRightInd w:val="0"/>
      <w:snapToGrid w:val="0"/>
      <w:spacing w:beforeLines="0" w:before="0" w:afterLines="0" w:after="0"/>
      <w:ind w:firstLineChars="0" w:firstLine="0"/>
    </w:pPr>
    <w:rPr>
      <w:rFonts w:ascii="Arial" w:eastAsia="黑体" w:hAnsi="Arial"/>
      <w:b/>
      <w:kern w:val="0"/>
      <w:sz w:val="20"/>
      <w:szCs w:val="21"/>
      <w:lang w:val="x-none" w:eastAsia="x-none"/>
    </w:rPr>
  </w:style>
  <w:style w:type="character" w:customStyle="1" w:styleId="Char1">
    <w:name w:val="图题 Char"/>
    <w:link w:val="aff"/>
    <w:rPr>
      <w:rFonts w:ascii="Arial" w:eastAsia="黑体" w:hAnsi="Arial"/>
      <w:b/>
      <w:szCs w:val="21"/>
      <w:lang w:val="x-none" w:eastAsia="x-none"/>
    </w:rPr>
  </w:style>
  <w:style w:type="paragraph" w:customStyle="1" w:styleId="aff0">
    <w:name w:val="表格字"/>
    <w:basedOn w:val="a1"/>
    <w:pPr>
      <w:spacing w:beforeLines="15" w:before="15" w:afterLines="15" w:after="15" w:line="240" w:lineRule="auto"/>
      <w:ind w:firstLineChars="0" w:firstLine="0"/>
      <w:jc w:val="center"/>
    </w:pPr>
    <w:rPr>
      <w:szCs w:val="24"/>
    </w:rPr>
  </w:style>
  <w:style w:type="paragraph" w:styleId="aff1">
    <w:name w:val="Normal (Web)"/>
    <w:basedOn w:val="a1"/>
    <w:uiPriority w:val="99"/>
    <w:unhideWhenUsed/>
    <w:qFormat/>
    <w:rPr>
      <w:szCs w:val="24"/>
    </w:rPr>
  </w:style>
  <w:style w:type="paragraph" w:styleId="HTML">
    <w:name w:val="HTML Preformatted"/>
    <w:basedOn w:val="a1"/>
    <w:link w:val="HTML0"/>
    <w:semiHidden/>
    <w:unhideWhenUsed/>
    <w:rPr>
      <w:rFonts w:ascii="Courier" w:hAnsi="Courier"/>
      <w:sz w:val="20"/>
      <w:szCs w:val="20"/>
    </w:rPr>
  </w:style>
  <w:style w:type="character" w:customStyle="1" w:styleId="HTML0">
    <w:name w:val="HTML 预设格式 字符"/>
    <w:link w:val="HTML"/>
    <w:semiHidden/>
    <w:rPr>
      <w:rFonts w:ascii="Courier" w:hAnsi="Courier"/>
      <w:kern w:val="2"/>
    </w:rPr>
  </w:style>
  <w:style w:type="table" w:customStyle="1" w:styleId="24">
    <w:name w:val="网格型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aliases w:val="列出段落"/>
    <w:basedOn w:val="a1"/>
    <w:link w:val="aff3"/>
    <w:uiPriority w:val="34"/>
    <w:qFormat/>
    <w:pPr>
      <w:spacing w:beforeLines="0" w:before="0" w:afterLines="0" w:after="0" w:line="240" w:lineRule="auto"/>
      <w:ind w:firstLine="420"/>
    </w:pPr>
    <w:rPr>
      <w:rFonts w:ascii="Calibri" w:hAnsi="Calibri"/>
      <w:sz w:val="21"/>
    </w:rPr>
  </w:style>
  <w:style w:type="table" w:customStyle="1" w:styleId="71">
    <w:name w:val="网格型7"/>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批注框文本 字符"/>
    <w:uiPriority w:val="99"/>
    <w:semiHidden/>
    <w:qFormat/>
    <w:rPr>
      <w:sz w:val="18"/>
      <w:szCs w:val="18"/>
    </w:rPr>
  </w:style>
  <w:style w:type="character" w:styleId="aff5">
    <w:name w:val="FollowedHyperlink"/>
    <w:uiPriority w:val="99"/>
    <w:semiHidden/>
    <w:unhideWhenUsed/>
    <w:rPr>
      <w:color w:val="800080"/>
      <w:u w:val="single"/>
    </w:rPr>
  </w:style>
  <w:style w:type="paragraph" w:customStyle="1" w:styleId="font5">
    <w:name w:val="font5"/>
    <w:basedOn w:val="a1"/>
    <w:pPr>
      <w:widowControl/>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1"/>
    <w:pPr>
      <w:widowControl/>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font7">
    <w:name w:val="font7"/>
    <w:basedOn w:val="a1"/>
    <w:pPr>
      <w:widowControl/>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font8">
    <w:name w:val="font8"/>
    <w:basedOn w:val="a1"/>
    <w:pPr>
      <w:widowControl/>
      <w:spacing w:beforeLines="0" w:before="100" w:beforeAutospacing="1" w:afterLines="0" w:after="100" w:afterAutospacing="1" w:line="240" w:lineRule="auto"/>
      <w:ind w:firstLineChars="0" w:firstLine="0"/>
      <w:jc w:val="left"/>
    </w:pPr>
    <w:rPr>
      <w:rFonts w:ascii="Calibri" w:hAnsi="Calibri" w:cs="宋体"/>
      <w:color w:val="000000"/>
      <w:kern w:val="0"/>
      <w:sz w:val="18"/>
      <w:szCs w:val="18"/>
    </w:rPr>
  </w:style>
  <w:style w:type="paragraph" w:customStyle="1" w:styleId="font9">
    <w:name w:val="font9"/>
    <w:basedOn w:val="a1"/>
    <w:pPr>
      <w:widowControl/>
      <w:spacing w:beforeLines="0" w:before="100" w:beforeAutospacing="1" w:afterLines="0" w:after="100" w:afterAutospacing="1" w:line="240" w:lineRule="auto"/>
      <w:ind w:firstLineChars="0" w:firstLine="0"/>
      <w:jc w:val="left"/>
    </w:pPr>
    <w:rPr>
      <w:rFonts w:ascii="Calibri" w:hAnsi="Calibri" w:cs="宋体"/>
      <w:b/>
      <w:bCs/>
      <w:color w:val="000000"/>
      <w:kern w:val="0"/>
      <w:sz w:val="18"/>
      <w:szCs w:val="18"/>
    </w:rPr>
  </w:style>
  <w:style w:type="paragraph" w:customStyle="1" w:styleId="font10">
    <w:name w:val="font10"/>
    <w:basedOn w:val="a1"/>
    <w:pPr>
      <w:widowControl/>
      <w:spacing w:beforeLines="0" w:before="100" w:beforeAutospacing="1" w:afterLines="0" w:after="100" w:afterAutospacing="1" w:line="240" w:lineRule="auto"/>
      <w:ind w:firstLineChars="0" w:firstLine="0"/>
      <w:jc w:val="left"/>
    </w:pPr>
    <w:rPr>
      <w:rFonts w:ascii="宋体" w:hAnsi="宋体" w:cs="宋体"/>
      <w:b/>
      <w:bCs/>
      <w:color w:val="000000"/>
      <w:kern w:val="0"/>
      <w:sz w:val="18"/>
      <w:szCs w:val="18"/>
    </w:rPr>
  </w:style>
  <w:style w:type="paragraph" w:customStyle="1" w:styleId="font11">
    <w:name w:val="font11"/>
    <w:basedOn w:val="a1"/>
    <w:pPr>
      <w:widowControl/>
      <w:spacing w:beforeLines="0" w:before="100" w:beforeAutospacing="1" w:afterLines="0" w:after="100" w:afterAutospacing="1" w:line="240" w:lineRule="auto"/>
      <w:ind w:firstLineChars="0" w:firstLine="0"/>
      <w:jc w:val="left"/>
    </w:pPr>
    <w:rPr>
      <w:rFonts w:ascii="Calibri" w:hAnsi="Calibri" w:cs="宋体"/>
      <w:color w:val="000000"/>
      <w:kern w:val="0"/>
      <w:sz w:val="18"/>
      <w:szCs w:val="18"/>
    </w:rPr>
  </w:style>
  <w:style w:type="paragraph" w:customStyle="1" w:styleId="xl114">
    <w:name w:val="xl114"/>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15">
    <w:name w:val="xl115"/>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16">
    <w:name w:val="xl116"/>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kern w:val="0"/>
      <w:sz w:val="18"/>
      <w:szCs w:val="18"/>
    </w:rPr>
  </w:style>
  <w:style w:type="paragraph" w:customStyle="1" w:styleId="xl117">
    <w:name w:val="xl117"/>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kern w:val="0"/>
      <w:sz w:val="18"/>
      <w:szCs w:val="18"/>
    </w:rPr>
  </w:style>
  <w:style w:type="paragraph" w:customStyle="1" w:styleId="xl118">
    <w:name w:val="xl118"/>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kern w:val="0"/>
      <w:sz w:val="18"/>
      <w:szCs w:val="18"/>
    </w:rPr>
  </w:style>
  <w:style w:type="paragraph" w:customStyle="1" w:styleId="xl119">
    <w:name w:val="xl119"/>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pPr>
    <w:rPr>
      <w:rFonts w:ascii="Calibri" w:hAnsi="Calibri" w:cs="宋体"/>
      <w:kern w:val="0"/>
      <w:sz w:val="18"/>
      <w:szCs w:val="18"/>
    </w:rPr>
  </w:style>
  <w:style w:type="paragraph" w:customStyle="1" w:styleId="xl120">
    <w:name w:val="xl120"/>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21">
    <w:name w:val="xl121"/>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xl122">
    <w:name w:val="xl122"/>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23">
    <w:name w:val="xl123"/>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color w:val="000000"/>
      <w:kern w:val="0"/>
      <w:sz w:val="18"/>
      <w:szCs w:val="18"/>
    </w:rPr>
  </w:style>
  <w:style w:type="paragraph" w:customStyle="1" w:styleId="xl124">
    <w:name w:val="xl124"/>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pPr>
    <w:rPr>
      <w:rFonts w:ascii="宋体" w:hAnsi="宋体" w:cs="宋体"/>
      <w:color w:val="000000"/>
      <w:kern w:val="0"/>
      <w:sz w:val="18"/>
      <w:szCs w:val="18"/>
    </w:rPr>
  </w:style>
  <w:style w:type="paragraph" w:customStyle="1" w:styleId="xl125">
    <w:name w:val="xl125"/>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18"/>
      <w:szCs w:val="18"/>
    </w:rPr>
  </w:style>
  <w:style w:type="paragraph" w:customStyle="1" w:styleId="xl126">
    <w:name w:val="xl126"/>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color w:val="000000"/>
      <w:kern w:val="0"/>
      <w:sz w:val="18"/>
      <w:szCs w:val="18"/>
    </w:rPr>
  </w:style>
  <w:style w:type="paragraph" w:customStyle="1" w:styleId="xl127">
    <w:name w:val="xl127"/>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18"/>
      <w:szCs w:val="18"/>
    </w:rPr>
  </w:style>
  <w:style w:type="paragraph" w:customStyle="1" w:styleId="xl128">
    <w:name w:val="xl128"/>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20"/>
      <w:szCs w:val="20"/>
    </w:rPr>
  </w:style>
  <w:style w:type="paragraph" w:customStyle="1" w:styleId="xl129">
    <w:name w:val="xl129"/>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20"/>
      <w:szCs w:val="20"/>
    </w:rPr>
  </w:style>
  <w:style w:type="paragraph" w:customStyle="1" w:styleId="xl130">
    <w:name w:val="xl130"/>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20"/>
      <w:szCs w:val="20"/>
    </w:rPr>
  </w:style>
  <w:style w:type="paragraph" w:customStyle="1" w:styleId="xl131">
    <w:name w:val="xl131"/>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b/>
      <w:bCs/>
      <w:color w:val="000000"/>
      <w:kern w:val="0"/>
      <w:sz w:val="18"/>
      <w:szCs w:val="18"/>
    </w:rPr>
  </w:style>
  <w:style w:type="paragraph" w:customStyle="1" w:styleId="xl132">
    <w:name w:val="xl132"/>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b/>
      <w:bCs/>
      <w:color w:val="000000"/>
      <w:kern w:val="0"/>
      <w:sz w:val="18"/>
      <w:szCs w:val="18"/>
    </w:rPr>
  </w:style>
  <w:style w:type="paragraph" w:customStyle="1" w:styleId="xl133">
    <w:name w:val="xl133"/>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宋体" w:hAnsi="宋体" w:cs="宋体"/>
      <w:color w:val="000000"/>
      <w:kern w:val="0"/>
      <w:sz w:val="18"/>
      <w:szCs w:val="18"/>
    </w:rPr>
  </w:style>
  <w:style w:type="paragraph" w:customStyle="1" w:styleId="xl134">
    <w:name w:val="xl134"/>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pPr>
    <w:rPr>
      <w:rFonts w:ascii="宋体" w:hAnsi="宋体" w:cs="宋体"/>
      <w:kern w:val="0"/>
      <w:sz w:val="18"/>
      <w:szCs w:val="18"/>
    </w:rPr>
  </w:style>
  <w:style w:type="paragraph" w:customStyle="1" w:styleId="xl135">
    <w:name w:val="xl135"/>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pPr>
    <w:rPr>
      <w:rFonts w:ascii="Calibri" w:hAnsi="Calibri" w:cs="宋体"/>
      <w:kern w:val="0"/>
      <w:sz w:val="18"/>
      <w:szCs w:val="18"/>
    </w:rPr>
  </w:style>
  <w:style w:type="paragraph" w:customStyle="1" w:styleId="xl136">
    <w:name w:val="xl136"/>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color w:val="000000"/>
      <w:kern w:val="0"/>
      <w:sz w:val="18"/>
      <w:szCs w:val="18"/>
    </w:rPr>
  </w:style>
  <w:style w:type="paragraph" w:customStyle="1" w:styleId="xl137">
    <w:name w:val="xl137"/>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宋体" w:hAnsi="宋体" w:cs="宋体"/>
      <w:color w:val="000000"/>
      <w:kern w:val="0"/>
      <w:sz w:val="20"/>
      <w:szCs w:val="20"/>
    </w:rPr>
  </w:style>
  <w:style w:type="paragraph" w:customStyle="1" w:styleId="xl138">
    <w:name w:val="xl138"/>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kern w:val="0"/>
      <w:sz w:val="18"/>
      <w:szCs w:val="18"/>
    </w:rPr>
  </w:style>
  <w:style w:type="paragraph" w:customStyle="1" w:styleId="xl139">
    <w:name w:val="xl139"/>
    <w:basedOn w:val="a1"/>
    <w:pPr>
      <w:widowControl/>
      <w:pBdr>
        <w:top w:val="single" w:sz="8" w:space="0" w:color="auto"/>
        <w:left w:val="single" w:sz="8" w:space="0" w:color="auto"/>
        <w:bottom w:val="single" w:sz="8" w:space="0" w:color="auto"/>
      </w:pBdr>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paragraph" w:customStyle="1" w:styleId="xl140">
    <w:name w:val="xl140"/>
    <w:basedOn w:val="a1"/>
    <w:pPr>
      <w:widowControl/>
      <w:pBdr>
        <w:top w:val="single" w:sz="8" w:space="0" w:color="auto"/>
        <w:bottom w:val="single" w:sz="8" w:space="0" w:color="auto"/>
      </w:pBdr>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paragraph" w:customStyle="1" w:styleId="xl141">
    <w:name w:val="xl141"/>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paragraph" w:customStyle="1" w:styleId="xl142">
    <w:name w:val="xl142"/>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kern w:val="0"/>
      <w:sz w:val="18"/>
      <w:szCs w:val="18"/>
    </w:rPr>
  </w:style>
  <w:style w:type="paragraph" w:customStyle="1" w:styleId="xl143">
    <w:name w:val="xl143"/>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kern w:val="0"/>
      <w:sz w:val="18"/>
      <w:szCs w:val="18"/>
    </w:rPr>
  </w:style>
  <w:style w:type="paragraph" w:customStyle="1" w:styleId="xl144">
    <w:name w:val="xl144"/>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45">
    <w:name w:val="xl145"/>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46">
    <w:name w:val="xl146"/>
    <w:basedOn w:val="a1"/>
    <w:pPr>
      <w:widowControl/>
      <w:pBdr>
        <w:top w:val="single" w:sz="8" w:space="0" w:color="auto"/>
        <w:left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47">
    <w:name w:val="xl147"/>
    <w:basedOn w:val="a1"/>
    <w:pPr>
      <w:widowControl/>
      <w:pBdr>
        <w:top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48">
    <w:name w:val="xl148"/>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49">
    <w:name w:val="xl149"/>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50">
    <w:name w:val="xl150"/>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51">
    <w:name w:val="xl151"/>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52">
    <w:name w:val="xl152"/>
    <w:basedOn w:val="a1"/>
    <w:pPr>
      <w:widowControl/>
      <w:pBdr>
        <w:top w:val="single" w:sz="8" w:space="0" w:color="auto"/>
        <w:left w:val="single" w:sz="8" w:space="23" w:color="auto"/>
        <w:right w:val="single" w:sz="8" w:space="0" w:color="auto"/>
      </w:pBdr>
      <w:spacing w:beforeLines="0" w:before="100" w:beforeAutospacing="1" w:afterLines="0" w:after="100" w:afterAutospacing="1" w:line="240" w:lineRule="auto"/>
      <w:ind w:firstLineChars="100" w:firstLine="100"/>
      <w:jc w:val="left"/>
    </w:pPr>
    <w:rPr>
      <w:rFonts w:ascii="宋体" w:hAnsi="宋体" w:cs="宋体"/>
      <w:kern w:val="0"/>
      <w:sz w:val="18"/>
      <w:szCs w:val="18"/>
    </w:rPr>
  </w:style>
  <w:style w:type="paragraph" w:customStyle="1" w:styleId="xl153">
    <w:name w:val="xl153"/>
    <w:basedOn w:val="a1"/>
    <w:pPr>
      <w:widowControl/>
      <w:pBdr>
        <w:left w:val="single" w:sz="8" w:space="23" w:color="auto"/>
        <w:right w:val="single" w:sz="8" w:space="0" w:color="auto"/>
      </w:pBdr>
      <w:spacing w:beforeLines="0" w:before="100" w:beforeAutospacing="1" w:afterLines="0" w:after="100" w:afterAutospacing="1" w:line="240" w:lineRule="auto"/>
      <w:ind w:firstLineChars="100" w:firstLine="100"/>
      <w:jc w:val="left"/>
    </w:pPr>
    <w:rPr>
      <w:rFonts w:ascii="宋体" w:hAnsi="宋体" w:cs="宋体"/>
      <w:kern w:val="0"/>
      <w:sz w:val="18"/>
      <w:szCs w:val="18"/>
    </w:rPr>
  </w:style>
  <w:style w:type="paragraph" w:customStyle="1" w:styleId="xl154">
    <w:name w:val="xl154"/>
    <w:basedOn w:val="a1"/>
    <w:pPr>
      <w:widowControl/>
      <w:pBdr>
        <w:left w:val="single" w:sz="8" w:space="23" w:color="auto"/>
        <w:bottom w:val="single" w:sz="8" w:space="0" w:color="auto"/>
        <w:right w:val="single" w:sz="8" w:space="0" w:color="auto"/>
      </w:pBdr>
      <w:spacing w:beforeLines="0" w:before="100" w:beforeAutospacing="1" w:afterLines="0" w:after="100" w:afterAutospacing="1" w:line="240" w:lineRule="auto"/>
      <w:ind w:firstLineChars="100" w:firstLine="100"/>
      <w:jc w:val="left"/>
    </w:pPr>
    <w:rPr>
      <w:rFonts w:ascii="宋体" w:hAnsi="宋体" w:cs="宋体"/>
      <w:kern w:val="0"/>
      <w:sz w:val="18"/>
      <w:szCs w:val="18"/>
    </w:rPr>
  </w:style>
  <w:style w:type="paragraph" w:customStyle="1" w:styleId="xl155">
    <w:name w:val="xl155"/>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18"/>
      <w:szCs w:val="18"/>
    </w:rPr>
  </w:style>
  <w:style w:type="paragraph" w:customStyle="1" w:styleId="xl156">
    <w:name w:val="xl156"/>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18"/>
      <w:szCs w:val="18"/>
    </w:rPr>
  </w:style>
  <w:style w:type="paragraph" w:customStyle="1" w:styleId="xl157">
    <w:name w:val="xl157"/>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Calibri" w:hAnsi="Calibri" w:cs="宋体"/>
      <w:color w:val="000000"/>
      <w:kern w:val="0"/>
      <w:sz w:val="18"/>
      <w:szCs w:val="18"/>
    </w:rPr>
  </w:style>
  <w:style w:type="paragraph" w:customStyle="1" w:styleId="xl158">
    <w:name w:val="xl158"/>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pPr>
    <w:rPr>
      <w:rFonts w:ascii="宋体" w:hAnsi="宋体" w:cs="宋体"/>
      <w:color w:val="000000"/>
      <w:kern w:val="0"/>
      <w:sz w:val="18"/>
      <w:szCs w:val="18"/>
    </w:rPr>
  </w:style>
  <w:style w:type="paragraph" w:customStyle="1" w:styleId="xl159">
    <w:name w:val="xl159"/>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pPr>
    <w:rPr>
      <w:rFonts w:ascii="宋体" w:hAnsi="宋体" w:cs="宋体"/>
      <w:color w:val="000000"/>
      <w:kern w:val="0"/>
      <w:sz w:val="18"/>
      <w:szCs w:val="18"/>
    </w:rPr>
  </w:style>
  <w:style w:type="paragraph" w:customStyle="1" w:styleId="xl160">
    <w:name w:val="xl160"/>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pPr>
    <w:rPr>
      <w:rFonts w:ascii="宋体" w:hAnsi="宋体" w:cs="宋体"/>
      <w:color w:val="000000"/>
      <w:kern w:val="0"/>
      <w:sz w:val="18"/>
      <w:szCs w:val="18"/>
    </w:rPr>
  </w:style>
  <w:style w:type="paragraph" w:customStyle="1" w:styleId="xl161">
    <w:name w:val="xl161"/>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xl162">
    <w:name w:val="xl162"/>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xl163">
    <w:name w:val="xl163"/>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left"/>
    </w:pPr>
    <w:rPr>
      <w:rFonts w:ascii="宋体" w:hAnsi="宋体" w:cs="宋体"/>
      <w:color w:val="000000"/>
      <w:kern w:val="0"/>
      <w:sz w:val="18"/>
      <w:szCs w:val="18"/>
    </w:rPr>
  </w:style>
  <w:style w:type="paragraph" w:customStyle="1" w:styleId="xl164">
    <w:name w:val="xl164"/>
    <w:basedOn w:val="a1"/>
    <w:pPr>
      <w:widowControl/>
      <w:pBdr>
        <w:top w:val="single" w:sz="8" w:space="0" w:color="auto"/>
        <w:left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65">
    <w:name w:val="xl165"/>
    <w:basedOn w:val="a1"/>
    <w:pPr>
      <w:widowControl/>
      <w:pBdr>
        <w:top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66">
    <w:name w:val="xl166"/>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67">
    <w:name w:val="xl167"/>
    <w:basedOn w:val="a1"/>
    <w:pPr>
      <w:widowControl/>
      <w:pBdr>
        <w:top w:val="single" w:sz="8" w:space="0" w:color="auto"/>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68">
    <w:name w:val="xl168"/>
    <w:basedOn w:val="a1"/>
    <w:pPr>
      <w:widowControl/>
      <w:pBdr>
        <w:left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69">
    <w:name w:val="xl169"/>
    <w:basedOn w:val="a1"/>
    <w:pPr>
      <w:widowControl/>
      <w:pBdr>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color w:val="000000"/>
      <w:kern w:val="0"/>
      <w:sz w:val="18"/>
      <w:szCs w:val="18"/>
    </w:rPr>
  </w:style>
  <w:style w:type="paragraph" w:customStyle="1" w:styleId="xl170">
    <w:name w:val="xl170"/>
    <w:basedOn w:val="a1"/>
    <w:pPr>
      <w:widowControl/>
      <w:pBdr>
        <w:top w:val="single" w:sz="8" w:space="0" w:color="auto"/>
        <w:left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b/>
      <w:bCs/>
      <w:color w:val="000000"/>
      <w:kern w:val="0"/>
      <w:sz w:val="18"/>
      <w:szCs w:val="18"/>
    </w:rPr>
  </w:style>
  <w:style w:type="paragraph" w:customStyle="1" w:styleId="xl171">
    <w:name w:val="xl171"/>
    <w:basedOn w:val="a1"/>
    <w:pPr>
      <w:widowControl/>
      <w:pBdr>
        <w:top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b/>
      <w:bCs/>
      <w:color w:val="000000"/>
      <w:kern w:val="0"/>
      <w:sz w:val="18"/>
      <w:szCs w:val="18"/>
    </w:rPr>
  </w:style>
  <w:style w:type="paragraph" w:customStyle="1" w:styleId="xl172">
    <w:name w:val="xl172"/>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b/>
      <w:bCs/>
      <w:color w:val="000000"/>
      <w:kern w:val="0"/>
      <w:sz w:val="18"/>
      <w:szCs w:val="18"/>
    </w:rPr>
  </w:style>
  <w:style w:type="paragraph" w:customStyle="1" w:styleId="xl173">
    <w:name w:val="xl173"/>
    <w:basedOn w:val="a1"/>
    <w:pPr>
      <w:widowControl/>
      <w:pBdr>
        <w:top w:val="single" w:sz="8" w:space="0" w:color="auto"/>
        <w:left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b/>
      <w:bCs/>
      <w:kern w:val="0"/>
      <w:sz w:val="18"/>
      <w:szCs w:val="18"/>
    </w:rPr>
  </w:style>
  <w:style w:type="paragraph" w:customStyle="1" w:styleId="xl174">
    <w:name w:val="xl174"/>
    <w:basedOn w:val="a1"/>
    <w:pPr>
      <w:widowControl/>
      <w:pBdr>
        <w:top w:val="single" w:sz="8" w:space="0" w:color="auto"/>
        <w:bottom w:val="single" w:sz="8" w:space="0" w:color="auto"/>
      </w:pBdr>
      <w:spacing w:beforeLines="0" w:before="100" w:beforeAutospacing="1" w:afterLines="0" w:after="100" w:afterAutospacing="1" w:line="240" w:lineRule="auto"/>
      <w:ind w:firstLineChars="0" w:firstLine="0"/>
      <w:jc w:val="center"/>
    </w:pPr>
    <w:rPr>
      <w:rFonts w:ascii="宋体" w:hAnsi="宋体" w:cs="宋体"/>
      <w:b/>
      <w:bCs/>
      <w:kern w:val="0"/>
      <w:sz w:val="18"/>
      <w:szCs w:val="18"/>
    </w:rPr>
  </w:style>
  <w:style w:type="paragraph" w:customStyle="1" w:styleId="xl175">
    <w:name w:val="xl175"/>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center"/>
    </w:pPr>
    <w:rPr>
      <w:rFonts w:ascii="宋体" w:hAnsi="宋体" w:cs="宋体"/>
      <w:b/>
      <w:bCs/>
      <w:kern w:val="0"/>
      <w:sz w:val="18"/>
      <w:szCs w:val="18"/>
    </w:rPr>
  </w:style>
  <w:style w:type="paragraph" w:customStyle="1" w:styleId="xl176">
    <w:name w:val="xl176"/>
    <w:basedOn w:val="a1"/>
    <w:pPr>
      <w:widowControl/>
      <w:pBdr>
        <w:top w:val="single" w:sz="8" w:space="0" w:color="auto"/>
        <w:left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color w:val="000000"/>
      <w:kern w:val="0"/>
      <w:sz w:val="18"/>
      <w:szCs w:val="18"/>
    </w:rPr>
  </w:style>
  <w:style w:type="paragraph" w:customStyle="1" w:styleId="xl177">
    <w:name w:val="xl177"/>
    <w:basedOn w:val="a1"/>
    <w:pPr>
      <w:widowControl/>
      <w:pBdr>
        <w:top w:val="single" w:sz="8" w:space="0" w:color="auto"/>
        <w:bottom w:val="single" w:sz="8" w:space="0" w:color="auto"/>
        <w:right w:val="single" w:sz="8" w:space="0" w:color="auto"/>
      </w:pBdr>
      <w:spacing w:beforeLines="0" w:before="100" w:beforeAutospacing="1" w:afterLines="0" w:after="100" w:afterAutospacing="1" w:line="240" w:lineRule="auto"/>
      <w:ind w:firstLineChars="0" w:firstLine="0"/>
      <w:jc w:val="right"/>
    </w:pPr>
    <w:rPr>
      <w:rFonts w:ascii="Calibri" w:hAnsi="Calibri" w:cs="宋体"/>
      <w:color w:val="000000"/>
      <w:kern w:val="0"/>
      <w:sz w:val="18"/>
      <w:szCs w:val="18"/>
    </w:rPr>
  </w:style>
  <w:style w:type="paragraph" w:customStyle="1" w:styleId="xl178">
    <w:name w:val="xl178"/>
    <w:basedOn w:val="a1"/>
    <w:pPr>
      <w:widowControl/>
      <w:pBdr>
        <w:bottom w:val="single" w:sz="8" w:space="0" w:color="auto"/>
        <w:right w:val="single" w:sz="8" w:space="0" w:color="auto"/>
      </w:pBdr>
      <w:spacing w:beforeLines="0" w:before="100" w:beforeAutospacing="1" w:afterLines="0" w:after="100" w:afterAutospacing="1" w:line="240" w:lineRule="auto"/>
      <w:ind w:firstLineChars="0" w:firstLine="0"/>
    </w:pPr>
    <w:rPr>
      <w:rFonts w:ascii="Calibri" w:hAnsi="Calibri" w:cs="宋体"/>
      <w:kern w:val="0"/>
      <w:sz w:val="18"/>
      <w:szCs w:val="18"/>
    </w:rPr>
  </w:style>
  <w:style w:type="paragraph" w:customStyle="1" w:styleId="xl179">
    <w:name w:val="xl179"/>
    <w:basedOn w:val="a1"/>
    <w:pPr>
      <w:widowControl/>
      <w:pBdr>
        <w:top w:val="single" w:sz="8" w:space="0" w:color="auto"/>
        <w:left w:val="single" w:sz="8" w:space="0" w:color="auto"/>
        <w:bottom w:val="single" w:sz="8" w:space="0" w:color="auto"/>
      </w:pBdr>
      <w:shd w:val="clear" w:color="000000" w:fill="FFFF00"/>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paragraph" w:customStyle="1" w:styleId="xl180">
    <w:name w:val="xl180"/>
    <w:basedOn w:val="a1"/>
    <w:pPr>
      <w:widowControl/>
      <w:pBdr>
        <w:top w:val="single" w:sz="8" w:space="0" w:color="auto"/>
        <w:bottom w:val="single" w:sz="8" w:space="0" w:color="auto"/>
      </w:pBdr>
      <w:shd w:val="clear" w:color="000000" w:fill="FFFF00"/>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paragraph" w:customStyle="1" w:styleId="xl181">
    <w:name w:val="xl181"/>
    <w:basedOn w:val="a1"/>
    <w:pPr>
      <w:widowControl/>
      <w:pBdr>
        <w:top w:val="single" w:sz="8" w:space="0" w:color="auto"/>
        <w:bottom w:val="single" w:sz="8" w:space="0" w:color="auto"/>
        <w:right w:val="single" w:sz="8" w:space="0" w:color="auto"/>
      </w:pBdr>
      <w:shd w:val="clear" w:color="000000" w:fill="FFFF00"/>
      <w:spacing w:beforeLines="0" w:before="100" w:beforeAutospacing="1" w:afterLines="0" w:after="100" w:afterAutospacing="1" w:line="240" w:lineRule="auto"/>
      <w:ind w:firstLineChars="0" w:firstLine="0"/>
      <w:jc w:val="center"/>
    </w:pPr>
    <w:rPr>
      <w:rFonts w:ascii="Calibri" w:hAnsi="Calibri" w:cs="宋体"/>
      <w:b/>
      <w:bCs/>
      <w:kern w:val="0"/>
      <w:sz w:val="18"/>
      <w:szCs w:val="18"/>
    </w:rPr>
  </w:style>
  <w:style w:type="character" w:customStyle="1" w:styleId="aff6">
    <w:name w:val="页眉 字符"/>
    <w:uiPriority w:val="99"/>
    <w:qFormat/>
    <w:rPr>
      <w:sz w:val="18"/>
      <w:szCs w:val="18"/>
    </w:rPr>
  </w:style>
  <w:style w:type="character" w:customStyle="1" w:styleId="aff7">
    <w:name w:val="页脚 字符"/>
    <w:uiPriority w:val="99"/>
    <w:qFormat/>
    <w:rPr>
      <w:sz w:val="18"/>
      <w:szCs w:val="18"/>
    </w:rPr>
  </w:style>
  <w:style w:type="character" w:styleId="aff8">
    <w:name w:val="Placeholder Text"/>
    <w:uiPriority w:val="99"/>
    <w:semiHidden/>
    <w:qFormat/>
    <w:rPr>
      <w:color w:val="808080"/>
    </w:rPr>
  </w:style>
  <w:style w:type="character" w:customStyle="1" w:styleId="aff9">
    <w:name w:val="批注文字 字符"/>
    <w:aliases w:val=" Char3 Char Char Char Char Char Char Char Char 字符1, Char3 Char Char Char Char Char Char Char Char Char Char Char Char 字符1, Char3 Char Char Char Char Char1 Char Char Char 字符1, Char3 Char Char Char Char Char Char 字符1, Char4 字符1,Char4 字符1"/>
    <w:uiPriority w:val="99"/>
    <w:semiHidden/>
    <w:qFormat/>
  </w:style>
  <w:style w:type="character" w:customStyle="1" w:styleId="affa">
    <w:name w:val="批注主题 字符"/>
    <w:uiPriority w:val="99"/>
    <w:semiHidden/>
    <w:qFormat/>
    <w:rPr>
      <w:b/>
      <w:bCs/>
    </w:rPr>
  </w:style>
  <w:style w:type="paragraph" w:styleId="affb">
    <w:name w:val="No Spacing"/>
    <w:uiPriority w:val="1"/>
    <w:qFormat/>
    <w:pPr>
      <w:widowControl w:val="0"/>
      <w:jc w:val="both"/>
    </w:pPr>
    <w:rPr>
      <w:kern w:val="2"/>
      <w:sz w:val="21"/>
      <w:szCs w:val="22"/>
    </w:rPr>
  </w:style>
  <w:style w:type="paragraph" w:styleId="affc">
    <w:name w:val="Revision"/>
    <w:hidden/>
    <w:uiPriority w:val="99"/>
    <w:qFormat/>
    <w:rPr>
      <w:kern w:val="2"/>
      <w:sz w:val="21"/>
      <w:szCs w:val="22"/>
    </w:rPr>
  </w:style>
  <w:style w:type="character" w:customStyle="1" w:styleId="apple-converted-space">
    <w:name w:val="apple-converted-space"/>
    <w:qFormat/>
  </w:style>
  <w:style w:type="character" w:customStyle="1" w:styleId="1Char0">
    <w:name w:val="标题 1 Char"/>
    <w:rPr>
      <w:rFonts w:ascii="Times New Roman" w:eastAsia="黑体" w:hAnsi="Times New Roman"/>
      <w:bCs/>
      <w:kern w:val="44"/>
      <w:sz w:val="32"/>
      <w:szCs w:val="44"/>
    </w:rPr>
  </w:style>
  <w:style w:type="character" w:customStyle="1" w:styleId="2Char">
    <w:name w:val="标题 2 Char"/>
    <w:rPr>
      <w:rFonts w:ascii="Times New Roman" w:hAnsi="Times New Roman"/>
      <w:b/>
      <w:bCs/>
      <w:kern w:val="2"/>
      <w:sz w:val="24"/>
      <w:szCs w:val="32"/>
    </w:rPr>
  </w:style>
  <w:style w:type="character" w:customStyle="1" w:styleId="3Char">
    <w:name w:val="标题 3 Char"/>
    <w:rPr>
      <w:rFonts w:ascii="Times New Roman" w:hAnsi="Times New Roman"/>
      <w:b/>
      <w:bCs/>
      <w:kern w:val="2"/>
      <w:sz w:val="24"/>
      <w:szCs w:val="32"/>
    </w:rPr>
  </w:style>
  <w:style w:type="character" w:customStyle="1" w:styleId="Char2">
    <w:name w:val="页眉 Char"/>
    <w:rPr>
      <w:rFonts w:ascii="Times New Roman" w:eastAsia="宋体" w:hAnsi="Times New Roman"/>
      <w:sz w:val="18"/>
      <w:szCs w:val="18"/>
    </w:rPr>
  </w:style>
  <w:style w:type="character" w:customStyle="1" w:styleId="Char3">
    <w:name w:val="页脚 Char"/>
    <w:uiPriority w:val="99"/>
    <w:rPr>
      <w:rFonts w:ascii="Times New Roman" w:eastAsia="宋体" w:hAnsi="Times New Roman"/>
      <w:sz w:val="18"/>
      <w:szCs w:val="18"/>
    </w:rPr>
  </w:style>
  <w:style w:type="character" w:customStyle="1" w:styleId="Char4">
    <w:name w:val="批注框文本 Char"/>
    <w:uiPriority w:val="99"/>
    <w:semiHidden/>
    <w:rPr>
      <w:rFonts w:ascii="Times New Roman" w:hAnsi="Times New Roman"/>
      <w:kern w:val="2"/>
      <w:sz w:val="18"/>
      <w:szCs w:val="18"/>
    </w:rPr>
  </w:style>
  <w:style w:type="character" w:customStyle="1" w:styleId="Char5">
    <w:name w:val="批注文字 Char"/>
    <w:uiPriority w:val="99"/>
    <w:rPr>
      <w:rFonts w:ascii="Times New Roman" w:hAnsi="Times New Roman"/>
      <w:kern w:val="2"/>
      <w:sz w:val="24"/>
      <w:szCs w:val="22"/>
    </w:rPr>
  </w:style>
  <w:style w:type="character" w:customStyle="1" w:styleId="Char6">
    <w:name w:val="批注主题 Char"/>
    <w:semiHidden/>
    <w:rPr>
      <w:rFonts w:ascii="Times New Roman" w:hAnsi="Times New Roman"/>
      <w:b/>
      <w:bCs/>
      <w:kern w:val="2"/>
      <w:sz w:val="24"/>
      <w:szCs w:val="22"/>
    </w:rPr>
  </w:style>
  <w:style w:type="character" w:customStyle="1" w:styleId="4Char">
    <w:name w:val="标题 4 Char"/>
    <w:qFormat/>
    <w:rPr>
      <w:rFonts w:ascii="Calibri Light" w:eastAsia="宋体" w:hAnsi="Calibri Light" w:cs="Times New Roman"/>
      <w:b/>
      <w:bCs/>
      <w:kern w:val="2"/>
      <w:sz w:val="28"/>
      <w:szCs w:val="28"/>
    </w:rPr>
  </w:style>
  <w:style w:type="character" w:customStyle="1" w:styleId="Char7">
    <w:name w:val="文档结构图 Char"/>
    <w:semiHidden/>
    <w:rPr>
      <w:rFonts w:ascii="Heiti SC Light" w:eastAsia="Heiti SC Light" w:hAnsi="Times New Roman"/>
      <w:kern w:val="2"/>
      <w:sz w:val="24"/>
      <w:szCs w:val="24"/>
    </w:rPr>
  </w:style>
  <w:style w:type="character" w:customStyle="1" w:styleId="Char8">
    <w:name w:val="脚注文本 Char"/>
    <w:rPr>
      <w:rFonts w:ascii="Times New Roman" w:hAnsi="Times New Roman"/>
      <w:kern w:val="2"/>
      <w:sz w:val="18"/>
      <w:szCs w:val="18"/>
    </w:rPr>
  </w:style>
  <w:style w:type="character" w:customStyle="1" w:styleId="5Char">
    <w:name w:val="标题 5 Char"/>
    <w:semiHidden/>
    <w:qFormat/>
    <w:rPr>
      <w:b/>
      <w:bCs/>
      <w:kern w:val="2"/>
      <w:sz w:val="28"/>
      <w:szCs w:val="28"/>
    </w:rPr>
  </w:style>
  <w:style w:type="character" w:customStyle="1" w:styleId="6Char">
    <w:name w:val="标题 6 Char"/>
    <w:semiHidden/>
    <w:qFormat/>
    <w:rPr>
      <w:rFonts w:ascii="Cambria" w:hAnsi="Cambria"/>
      <w:b/>
      <w:bCs/>
      <w:kern w:val="2"/>
      <w:sz w:val="24"/>
      <w:szCs w:val="24"/>
    </w:rPr>
  </w:style>
  <w:style w:type="character" w:customStyle="1" w:styleId="7Char">
    <w:name w:val="标题 7 Char"/>
    <w:semiHidden/>
    <w:rPr>
      <w:b/>
      <w:bCs/>
      <w:kern w:val="2"/>
      <w:sz w:val="24"/>
      <w:szCs w:val="24"/>
    </w:rPr>
  </w:style>
  <w:style w:type="character" w:customStyle="1" w:styleId="8Char">
    <w:name w:val="标题 8 Char"/>
    <w:semiHidden/>
    <w:rPr>
      <w:rFonts w:ascii="Cambria" w:hAnsi="Cambria"/>
      <w:kern w:val="2"/>
      <w:sz w:val="24"/>
      <w:szCs w:val="24"/>
    </w:rPr>
  </w:style>
  <w:style w:type="character" w:customStyle="1" w:styleId="9Char">
    <w:name w:val="标题 9 Char"/>
    <w:semiHidden/>
    <w:rPr>
      <w:rFonts w:ascii="Cambria" w:hAnsi="Cambria"/>
      <w:kern w:val="2"/>
      <w:sz w:val="21"/>
      <w:szCs w:val="21"/>
    </w:rPr>
  </w:style>
  <w:style w:type="character" w:customStyle="1" w:styleId="Char9">
    <w:name w:val="标题 Char"/>
    <w:rPr>
      <w:rFonts w:ascii="Cambria" w:hAnsi="Cambria"/>
      <w:b/>
      <w:bCs/>
      <w:kern w:val="2"/>
      <w:sz w:val="32"/>
      <w:szCs w:val="32"/>
    </w:rPr>
  </w:style>
  <w:style w:type="character" w:customStyle="1" w:styleId="Chara">
    <w:name w:val="副标题 Char"/>
    <w:uiPriority w:val="11"/>
    <w:rPr>
      <w:rFonts w:ascii="Cambria" w:hAnsi="Cambria"/>
      <w:b/>
      <w:bCs/>
      <w:kern w:val="28"/>
      <w:sz w:val="32"/>
      <w:szCs w:val="32"/>
    </w:rPr>
  </w:style>
  <w:style w:type="character" w:customStyle="1" w:styleId="Charb">
    <w:name w:val="日期 Char"/>
    <w:rPr>
      <w:rFonts w:ascii="Times New Roman" w:eastAsia="仿宋_GB2312" w:hAnsi="Times New Roman"/>
      <w:sz w:val="32"/>
      <w:lang w:val="x-none" w:eastAsia="x-none"/>
    </w:rPr>
  </w:style>
  <w:style w:type="character" w:customStyle="1" w:styleId="HTMLChar">
    <w:name w:val="HTML 预设格式 Char"/>
    <w:uiPriority w:val="99"/>
    <w:semiHidden/>
    <w:rPr>
      <w:rFonts w:ascii="Courier" w:hAnsi="Courier"/>
      <w:kern w:val="2"/>
    </w:rPr>
  </w:style>
  <w:style w:type="paragraph" w:customStyle="1" w:styleId="25">
    <w:name w:val="正文2"/>
    <w:basedOn w:val="a1"/>
    <w:link w:val="26"/>
    <w:qFormat/>
    <w:pPr>
      <w:widowControl/>
      <w:spacing w:beforeLines="0" w:before="0" w:afterLines="0" w:after="0" w:line="400" w:lineRule="exact"/>
      <w:ind w:firstLineChars="0" w:firstLine="0"/>
      <w:jc w:val="left"/>
    </w:pPr>
    <w:rPr>
      <w:rFonts w:ascii="宋体" w:hAnsi="宋体" w:cs="宋体"/>
      <w:kern w:val="0"/>
      <w:szCs w:val="20"/>
    </w:rPr>
  </w:style>
  <w:style w:type="paragraph" w:customStyle="1" w:styleId="19">
    <w:name w:val="正文1"/>
    <w:pPr>
      <w:widowControl w:val="0"/>
      <w:adjustRightInd w:val="0"/>
      <w:spacing w:line="312" w:lineRule="atLeast"/>
      <w:jc w:val="both"/>
      <w:textAlignment w:val="baseline"/>
    </w:pPr>
    <w:rPr>
      <w:rFonts w:ascii="宋体" w:hAnsi="Times New Roman"/>
      <w:sz w:val="34"/>
    </w:rPr>
  </w:style>
  <w:style w:type="paragraph" w:customStyle="1" w:styleId="affd">
    <w:name w:val="正文（最终正式版）"/>
    <w:basedOn w:val="a1"/>
    <w:link w:val="Charc"/>
    <w:pPr>
      <w:widowControl/>
      <w:spacing w:beforeLines="0" w:before="0" w:afterLines="0" w:after="0"/>
      <w:jc w:val="left"/>
    </w:pPr>
    <w:rPr>
      <w:rFonts w:ascii="宋体" w:hAnsi="宋体" w:cs="宋体"/>
      <w:bCs/>
      <w:kern w:val="0"/>
      <w:szCs w:val="24"/>
      <w:lang w:val="x-none" w:eastAsia="x-none"/>
    </w:rPr>
  </w:style>
  <w:style w:type="character" w:customStyle="1" w:styleId="Charc">
    <w:name w:val="正文（最终正式版） Char"/>
    <w:link w:val="affd"/>
    <w:rPr>
      <w:rFonts w:ascii="宋体" w:hAnsi="宋体" w:cs="宋体"/>
      <w:bCs/>
      <w:sz w:val="24"/>
      <w:szCs w:val="24"/>
      <w:lang w:val="x-none" w:eastAsia="x-none"/>
    </w:rPr>
  </w:style>
  <w:style w:type="numbering" w:customStyle="1" w:styleId="34">
    <w:name w:val="无列表3"/>
    <w:next w:val="a4"/>
    <w:uiPriority w:val="99"/>
    <w:semiHidden/>
    <w:unhideWhenUsed/>
  </w:style>
  <w:style w:type="numbering" w:customStyle="1" w:styleId="310">
    <w:name w:val="无列表31"/>
    <w:next w:val="a4"/>
    <w:uiPriority w:val="99"/>
    <w:semiHidden/>
    <w:unhideWhenUsed/>
  </w:style>
  <w:style w:type="numbering" w:customStyle="1" w:styleId="120">
    <w:name w:val="无列表12"/>
    <w:next w:val="a4"/>
    <w:uiPriority w:val="99"/>
    <w:semiHidden/>
    <w:unhideWhenUsed/>
  </w:style>
  <w:style w:type="table" w:customStyle="1" w:styleId="userdfd1">
    <w:name w:val="userdfd1"/>
    <w:basedOn w:val="a3"/>
    <w:pPr>
      <w:adjustRightInd w:val="0"/>
      <w:snapToGrid w:val="0"/>
      <w:spacing w:beforeLines="30" w:before="30" w:afterLines="30" w:after="30"/>
      <w:contextualSpacing/>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20">
    <w:name w:val="无列表22"/>
    <w:next w:val="a4"/>
    <w:uiPriority w:val="99"/>
    <w:semiHidden/>
    <w:unhideWhenUsed/>
  </w:style>
  <w:style w:type="numbering" w:customStyle="1" w:styleId="112">
    <w:name w:val="无列表112"/>
    <w:next w:val="a4"/>
    <w:uiPriority w:val="99"/>
    <w:semiHidden/>
    <w:unhideWhenUsed/>
  </w:style>
  <w:style w:type="table" w:customStyle="1" w:styleId="113">
    <w:name w:val="网格型1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style>
  <w:style w:type="numbering" w:customStyle="1" w:styleId="1111">
    <w:name w:val="无列表1111"/>
    <w:next w:val="a4"/>
    <w:uiPriority w:val="99"/>
    <w:semiHidden/>
    <w:unhideWhenUsed/>
  </w:style>
  <w:style w:type="table" w:customStyle="1" w:styleId="81">
    <w:name w:val="网格型8"/>
    <w:basedOn w:val="a3"/>
    <w:next w:val="afb"/>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着色 11"/>
    <w:basedOn w:val="a1"/>
    <w:uiPriority w:val="34"/>
    <w:qFormat/>
    <w:pPr>
      <w:widowControl/>
      <w:spacing w:beforeLines="0" w:before="0" w:afterLines="0" w:after="0" w:line="240" w:lineRule="auto"/>
      <w:ind w:firstLine="420"/>
      <w:jc w:val="left"/>
    </w:pPr>
    <w:rPr>
      <w:rFonts w:ascii="Calibri" w:hAnsi="Calibri" w:cs="宋体"/>
      <w:kern w:val="0"/>
      <w:sz w:val="21"/>
      <w:szCs w:val="24"/>
    </w:rPr>
  </w:style>
  <w:style w:type="table" w:customStyle="1" w:styleId="710">
    <w:name w:val="网格型71"/>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中等深浅网格 11"/>
    <w:uiPriority w:val="99"/>
    <w:semiHidden/>
    <w:rPr>
      <w:color w:val="808080"/>
    </w:rPr>
  </w:style>
  <w:style w:type="paragraph" w:customStyle="1" w:styleId="213">
    <w:name w:val="中等深浅网格 21"/>
    <w:uiPriority w:val="1"/>
    <w:pPr>
      <w:widowControl w:val="0"/>
      <w:jc w:val="both"/>
    </w:pPr>
    <w:rPr>
      <w:kern w:val="2"/>
      <w:sz w:val="21"/>
      <w:szCs w:val="22"/>
    </w:rPr>
  </w:style>
  <w:style w:type="paragraph" w:customStyle="1" w:styleId="-12">
    <w:name w:val="彩色底纹 - 着色 12"/>
    <w:hidden/>
    <w:uiPriority w:val="99"/>
    <w:qFormat/>
    <w:rPr>
      <w:kern w:val="2"/>
      <w:sz w:val="21"/>
      <w:szCs w:val="22"/>
    </w:rPr>
  </w:style>
  <w:style w:type="paragraph" w:styleId="affe">
    <w:name w:val="Plain Text"/>
    <w:aliases w:val="纯文本 Char3 Char,纯文本 Char2 Char Char1,纯文本 Char Char1 Char Char1,纯文本 Char Char Char Char Char Char1,纯文本 Char1 Char Char Char Char Char1,纯文本 Char Char Char1 Char Char Char1,纯文本 Char1 Char Char1 Char Char Char1,纯文本 Char2 Char,Texte,普通文字 Char,普通文, , 1"/>
    <w:basedOn w:val="a1"/>
    <w:link w:val="afff"/>
    <w:uiPriority w:val="99"/>
    <w:qFormat/>
    <w:pPr>
      <w:widowControl/>
      <w:spacing w:beforeLines="0" w:before="0" w:afterLines="0" w:after="0" w:line="240" w:lineRule="auto"/>
      <w:ind w:firstLineChars="0" w:firstLine="0"/>
      <w:jc w:val="left"/>
    </w:pPr>
    <w:rPr>
      <w:rFonts w:ascii="宋体" w:hAnsi="Courier New" w:cs="宋体"/>
      <w:kern w:val="0"/>
      <w:sz w:val="20"/>
      <w:szCs w:val="21"/>
      <w:lang w:val="x-none" w:eastAsia="x-none"/>
    </w:rPr>
  </w:style>
  <w:style w:type="character" w:customStyle="1" w:styleId="afff">
    <w:name w:val="纯文本 字符"/>
    <w:aliases w:val="纯文本 Char3 Char 字符,纯文本 Char2 Char Char1 字符,纯文本 Char Char1 Char Char1 字符,纯文本 Char Char Char Char Char Char1 字符,纯文本 Char1 Char Char Char Char Char1 字符,纯文本 Char Char Char1 Char Char Char1 字符,纯文本 Char1 Char Char1 Char Char Char1 字符,纯文本 Char2 Char 字符"/>
    <w:link w:val="affe"/>
    <w:uiPriority w:val="99"/>
    <w:qFormat/>
    <w:rPr>
      <w:rFonts w:ascii="宋体" w:hAnsi="Courier New" w:cs="宋体"/>
      <w:szCs w:val="21"/>
      <w:lang w:val="x-none" w:eastAsia="x-none"/>
    </w:rPr>
  </w:style>
  <w:style w:type="character" w:customStyle="1" w:styleId="312">
    <w:name w:val="无格式表格 31"/>
    <w:uiPriority w:val="61"/>
    <w:qFormat/>
    <w:rPr>
      <w:i/>
      <w:iCs/>
      <w:color w:val="808080"/>
    </w:rPr>
  </w:style>
  <w:style w:type="paragraph" w:customStyle="1" w:styleId="-111">
    <w:name w:val="彩色网格 - 着色 11"/>
    <w:basedOn w:val="a1"/>
    <w:next w:val="a1"/>
    <w:link w:val="-1"/>
    <w:uiPriority w:val="99"/>
    <w:qFormat/>
    <w:pPr>
      <w:widowControl/>
      <w:jc w:val="left"/>
    </w:pPr>
    <w:rPr>
      <w:rFonts w:ascii="宋体" w:hAnsi="宋体" w:cs="宋体"/>
      <w:i/>
      <w:iCs/>
      <w:color w:val="000000"/>
      <w:kern w:val="0"/>
      <w:szCs w:val="24"/>
    </w:rPr>
  </w:style>
  <w:style w:type="character" w:customStyle="1" w:styleId="-1">
    <w:name w:val="彩色网格 - 着色 1 字符"/>
    <w:link w:val="-111"/>
    <w:uiPriority w:val="99"/>
    <w:rPr>
      <w:rFonts w:ascii="宋体" w:hAnsi="宋体" w:cs="宋体"/>
      <w:i/>
      <w:iCs/>
      <w:color w:val="000000"/>
      <w:sz w:val="24"/>
      <w:szCs w:val="24"/>
    </w:rPr>
  </w:style>
  <w:style w:type="numbering" w:customStyle="1" w:styleId="121">
    <w:name w:val="无列表121"/>
    <w:next w:val="a4"/>
    <w:uiPriority w:val="99"/>
    <w:semiHidden/>
    <w:unhideWhenUsed/>
  </w:style>
  <w:style w:type="numbering" w:customStyle="1" w:styleId="221">
    <w:name w:val="无列表221"/>
    <w:next w:val="a4"/>
    <w:uiPriority w:val="99"/>
    <w:semiHidden/>
    <w:unhideWhenUsed/>
  </w:style>
  <w:style w:type="numbering" w:customStyle="1" w:styleId="1121">
    <w:name w:val="无列表1121"/>
    <w:next w:val="a4"/>
    <w:uiPriority w:val="99"/>
    <w:semiHidden/>
    <w:unhideWhenUsed/>
  </w:style>
  <w:style w:type="numbering" w:customStyle="1" w:styleId="2111">
    <w:name w:val="无列表2111"/>
    <w:next w:val="a4"/>
    <w:uiPriority w:val="99"/>
    <w:semiHidden/>
    <w:unhideWhenUsed/>
  </w:style>
  <w:style w:type="numbering" w:customStyle="1" w:styleId="11111">
    <w:name w:val="无列表11111"/>
    <w:next w:val="a4"/>
    <w:uiPriority w:val="99"/>
    <w:semiHidden/>
    <w:unhideWhenUsed/>
  </w:style>
  <w:style w:type="numbering" w:customStyle="1" w:styleId="44">
    <w:name w:val="无列表4"/>
    <w:next w:val="a4"/>
    <w:uiPriority w:val="99"/>
    <w:semiHidden/>
    <w:unhideWhenUsed/>
  </w:style>
  <w:style w:type="numbering" w:customStyle="1" w:styleId="130">
    <w:name w:val="无列表13"/>
    <w:next w:val="a4"/>
    <w:uiPriority w:val="99"/>
    <w:semiHidden/>
    <w:unhideWhenUsed/>
  </w:style>
  <w:style w:type="table" w:customStyle="1" w:styleId="userdfd2">
    <w:name w:val="userdfd2"/>
    <w:basedOn w:val="a3"/>
    <w:pPr>
      <w:adjustRightInd w:val="0"/>
      <w:snapToGrid w:val="0"/>
      <w:spacing w:beforeLines="30" w:before="30" w:afterLines="30" w:after="30"/>
      <w:contextualSpacing/>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30">
    <w:name w:val="无列表23"/>
    <w:next w:val="a4"/>
    <w:uiPriority w:val="99"/>
    <w:semiHidden/>
    <w:unhideWhenUsed/>
  </w:style>
  <w:style w:type="numbering" w:customStyle="1" w:styleId="1130">
    <w:name w:val="无列表113"/>
    <w:next w:val="a4"/>
    <w:uiPriority w:val="99"/>
    <w:semiHidden/>
    <w:unhideWhenUsed/>
  </w:style>
  <w:style w:type="table" w:customStyle="1" w:styleId="122">
    <w:name w:val="网格型1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无列表212"/>
    <w:next w:val="a4"/>
    <w:uiPriority w:val="99"/>
    <w:semiHidden/>
    <w:unhideWhenUsed/>
  </w:style>
  <w:style w:type="numbering" w:customStyle="1" w:styleId="1112">
    <w:name w:val="无列表1112"/>
    <w:next w:val="a4"/>
    <w:uiPriority w:val="99"/>
    <w:semiHidden/>
    <w:unhideWhenUsed/>
  </w:style>
  <w:style w:type="table" w:customStyle="1" w:styleId="91">
    <w:name w:val="网格型9"/>
    <w:basedOn w:val="a3"/>
    <w:next w:val="afb"/>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qFormat/>
    <w:pPr>
      <w:widowControl/>
      <w:spacing w:beforeLines="0" w:before="100" w:beforeAutospacing="1" w:afterLines="0" w:after="100" w:afterAutospacing="1" w:line="240" w:lineRule="auto"/>
      <w:ind w:firstLineChars="0" w:firstLine="0"/>
      <w:jc w:val="left"/>
    </w:pPr>
    <w:rPr>
      <w:rFonts w:ascii="宋体" w:hAnsi="宋体" w:cs="宋体"/>
      <w:kern w:val="0"/>
      <w:szCs w:val="24"/>
    </w:rPr>
  </w:style>
  <w:style w:type="paragraph" w:customStyle="1" w:styleId="font12">
    <w:name w:val="font12"/>
    <w:basedOn w:val="a1"/>
    <w:pPr>
      <w:widowControl/>
      <w:spacing w:beforeLines="0" w:before="100" w:beforeAutospacing="1" w:afterLines="0" w:after="100" w:afterAutospacing="1" w:line="240" w:lineRule="auto"/>
      <w:ind w:firstLineChars="0" w:firstLine="0"/>
      <w:jc w:val="left"/>
    </w:pPr>
    <w:rPr>
      <w:rFonts w:ascii="宋体" w:hAnsi="宋体" w:cs="宋体"/>
      <w:b/>
      <w:bCs/>
      <w:kern w:val="0"/>
      <w:sz w:val="18"/>
      <w:szCs w:val="18"/>
    </w:rPr>
  </w:style>
  <w:style w:type="paragraph" w:customStyle="1" w:styleId="font13">
    <w:name w:val="font13"/>
    <w:basedOn w:val="a1"/>
    <w:pPr>
      <w:widowControl/>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73">
    <w:name w:val="xl73"/>
    <w:basedOn w:val="a1"/>
    <w:pPr>
      <w:widowControl/>
      <w:spacing w:beforeLines="0" w:before="100" w:beforeAutospacing="1" w:afterLines="0" w:after="100" w:afterAutospacing="1" w:line="240" w:lineRule="auto"/>
      <w:ind w:firstLineChars="0" w:firstLine="0"/>
      <w:jc w:val="center"/>
      <w:textAlignment w:val="bottom"/>
    </w:pPr>
    <w:rPr>
      <w:rFonts w:ascii="宋体" w:hAnsi="宋体" w:cs="宋体"/>
      <w:kern w:val="0"/>
      <w:sz w:val="18"/>
      <w:szCs w:val="18"/>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1">
    <w:name w:val="xl81"/>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2">
    <w:name w:val="xl82"/>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color w:val="FF0000"/>
      <w:kern w:val="0"/>
      <w:sz w:val="18"/>
      <w:szCs w:val="18"/>
    </w:rPr>
  </w:style>
  <w:style w:type="paragraph" w:customStyle="1" w:styleId="xl83">
    <w:name w:val="xl83"/>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4">
    <w:name w:val="xl84"/>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5">
    <w:name w:val="xl85"/>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color w:val="FF0000"/>
      <w:kern w:val="0"/>
      <w:sz w:val="18"/>
      <w:szCs w:val="18"/>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color w:val="FF0000"/>
      <w:kern w:val="0"/>
      <w:sz w:val="18"/>
      <w:szCs w:val="18"/>
    </w:rPr>
  </w:style>
  <w:style w:type="paragraph" w:customStyle="1" w:styleId="xl87">
    <w:name w:val="xl87"/>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8">
    <w:name w:val="xl88"/>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89">
    <w:name w:val="xl89"/>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center"/>
    </w:pPr>
    <w:rPr>
      <w:rFonts w:ascii="宋体" w:hAnsi="宋体" w:cs="宋体"/>
      <w:color w:val="FF0000"/>
      <w:kern w:val="0"/>
      <w:sz w:val="18"/>
      <w:szCs w:val="18"/>
    </w:rPr>
  </w:style>
  <w:style w:type="paragraph" w:customStyle="1" w:styleId="xl90">
    <w:name w:val="xl90"/>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color w:val="FF0000"/>
      <w:kern w:val="0"/>
      <w:sz w:val="18"/>
      <w:szCs w:val="18"/>
    </w:rPr>
  </w:style>
  <w:style w:type="paragraph" w:customStyle="1" w:styleId="xl91">
    <w:name w:val="xl91"/>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center"/>
    </w:pPr>
    <w:rPr>
      <w:rFonts w:ascii="宋体" w:hAnsi="宋体" w:cs="宋体"/>
      <w:color w:val="FF0000"/>
      <w:kern w:val="0"/>
      <w:sz w:val="18"/>
      <w:szCs w:val="18"/>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93">
    <w:name w:val="xl93"/>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color w:val="FF0000"/>
      <w:kern w:val="0"/>
      <w:sz w:val="18"/>
      <w:szCs w:val="18"/>
    </w:rPr>
  </w:style>
  <w:style w:type="paragraph" w:customStyle="1" w:styleId="xl94">
    <w:name w:val="xl94"/>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95">
    <w:name w:val="xl95"/>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96">
    <w:name w:val="xl96"/>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97">
    <w:name w:val="xl97"/>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98">
    <w:name w:val="xl98"/>
    <w:basedOn w:val="a1"/>
    <w:pPr>
      <w:widowControl/>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99">
    <w:name w:val="xl99"/>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00">
    <w:name w:val="xl100"/>
    <w:basedOn w:val="a1"/>
    <w:pPr>
      <w:widowControl/>
      <w:pBdr>
        <w:top w:val="single" w:sz="4" w:space="0" w:color="auto"/>
        <w:left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01">
    <w:name w:val="xl101"/>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02">
    <w:name w:val="xl102"/>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1"/>
    <w:pPr>
      <w:widowControl/>
      <w:pBdr>
        <w:top w:val="single" w:sz="4" w:space="0" w:color="auto"/>
        <w:left w:val="single" w:sz="4" w:space="0" w:color="auto"/>
        <w:bottom w:val="single" w:sz="4" w:space="0" w:color="auto"/>
        <w:right w:val="single" w:sz="4" w:space="0" w:color="auto"/>
      </w:pBdr>
      <w:shd w:val="clear" w:color="000000" w:fill="FCD5B4"/>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04">
    <w:name w:val="xl104"/>
    <w:basedOn w:val="a1"/>
    <w:pPr>
      <w:widowControl/>
      <w:pBdr>
        <w:top w:val="single" w:sz="4" w:space="0" w:color="auto"/>
        <w:left w:val="single" w:sz="4" w:space="0" w:color="auto"/>
        <w:bottom w:val="single" w:sz="4" w:space="0" w:color="auto"/>
        <w:right w:val="single" w:sz="4" w:space="0" w:color="auto"/>
      </w:pBdr>
      <w:shd w:val="clear" w:color="000000" w:fill="FCD5B4"/>
      <w:spacing w:beforeLines="0" w:before="100" w:beforeAutospacing="1" w:afterLines="0" w:after="100" w:afterAutospacing="1" w:line="240" w:lineRule="auto"/>
      <w:ind w:firstLineChars="0" w:firstLine="0"/>
      <w:jc w:val="center"/>
    </w:pPr>
    <w:rPr>
      <w:rFonts w:ascii="宋体" w:hAnsi="宋体" w:cs="宋体"/>
      <w:kern w:val="0"/>
      <w:sz w:val="18"/>
      <w:szCs w:val="18"/>
    </w:rPr>
  </w:style>
  <w:style w:type="paragraph" w:customStyle="1" w:styleId="xl105">
    <w:name w:val="xl105"/>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center"/>
    </w:pPr>
    <w:rPr>
      <w:rFonts w:ascii="Arial" w:hAnsi="Arial" w:cs="Arial"/>
      <w:kern w:val="0"/>
      <w:sz w:val="18"/>
      <w:szCs w:val="18"/>
    </w:rPr>
  </w:style>
  <w:style w:type="paragraph" w:customStyle="1" w:styleId="xl106">
    <w:name w:val="xl106"/>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07">
    <w:name w:val="xl107"/>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08">
    <w:name w:val="xl108"/>
    <w:basedOn w:val="a1"/>
    <w:pPr>
      <w:widowControl/>
      <w:pBdr>
        <w:left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09">
    <w:name w:val="xl109"/>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pPr>
    <w:rPr>
      <w:rFonts w:ascii="Arial" w:hAnsi="Arial" w:cs="Arial"/>
      <w:kern w:val="0"/>
      <w:sz w:val="18"/>
      <w:szCs w:val="18"/>
    </w:rPr>
  </w:style>
  <w:style w:type="paragraph" w:customStyle="1" w:styleId="xl110">
    <w:name w:val="xl110"/>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11">
    <w:name w:val="xl111"/>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12">
    <w:name w:val="xl112"/>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center"/>
      <w:textAlignment w:val="bottom"/>
    </w:pPr>
    <w:rPr>
      <w:rFonts w:ascii="Arial" w:hAnsi="Arial" w:cs="Arial"/>
      <w:kern w:val="0"/>
      <w:sz w:val="18"/>
      <w:szCs w:val="18"/>
    </w:rPr>
  </w:style>
  <w:style w:type="paragraph" w:customStyle="1" w:styleId="xl113">
    <w:name w:val="xl113"/>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2">
    <w:name w:val="xl182"/>
    <w:basedOn w:val="a1"/>
    <w:pPr>
      <w:widowControl/>
      <w:shd w:val="clear" w:color="000000" w:fill="FFFFFF"/>
      <w:spacing w:beforeLines="0" w:before="100" w:beforeAutospacing="1" w:afterLines="0" w:after="100" w:afterAutospacing="1" w:line="240" w:lineRule="auto"/>
      <w:ind w:firstLineChars="0" w:firstLine="0"/>
      <w:jc w:val="left"/>
      <w:textAlignment w:val="bottom"/>
    </w:pPr>
    <w:rPr>
      <w:rFonts w:ascii="宋体" w:hAnsi="宋体" w:cs="宋体"/>
      <w:b/>
      <w:bCs/>
      <w:kern w:val="0"/>
      <w:sz w:val="18"/>
      <w:szCs w:val="18"/>
    </w:rPr>
  </w:style>
  <w:style w:type="paragraph" w:customStyle="1" w:styleId="xl183">
    <w:name w:val="xl183"/>
    <w:basedOn w:val="a1"/>
    <w:pPr>
      <w:widowControl/>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4">
    <w:name w:val="xl184"/>
    <w:basedOn w:val="a1"/>
    <w:pPr>
      <w:widowControl/>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5">
    <w:name w:val="xl185"/>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6">
    <w:name w:val="xl186"/>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7">
    <w:name w:val="xl187"/>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8">
    <w:name w:val="xl188"/>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89">
    <w:name w:val="xl189"/>
    <w:basedOn w:val="a1"/>
    <w:pPr>
      <w:widowControl/>
      <w:pBdr>
        <w:top w:val="single" w:sz="4" w:space="0" w:color="auto"/>
        <w:left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0">
    <w:name w:val="xl190"/>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1">
    <w:name w:val="xl191"/>
    <w:basedOn w:val="a1"/>
    <w:pPr>
      <w:widowControl/>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2">
    <w:name w:val="xl192"/>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3">
    <w:name w:val="xl193"/>
    <w:basedOn w:val="a1"/>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4">
    <w:name w:val="xl194"/>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5">
    <w:name w:val="xl195"/>
    <w:basedOn w:val="a1"/>
    <w:pPr>
      <w:widowControl/>
      <w:pBdr>
        <w:top w:val="single" w:sz="4" w:space="0" w:color="auto"/>
        <w:left w:val="single" w:sz="4" w:space="0" w:color="auto"/>
        <w:right w:val="single" w:sz="4" w:space="0" w:color="auto"/>
      </w:pBdr>
      <w:shd w:val="clear" w:color="000000" w:fill="FCD5B4"/>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6">
    <w:name w:val="xl196"/>
    <w:basedOn w:val="a1"/>
    <w:pPr>
      <w:widowControl/>
      <w:pBdr>
        <w:top w:val="single" w:sz="4" w:space="0" w:color="auto"/>
        <w:left w:val="single" w:sz="4" w:space="0" w:color="auto"/>
        <w:bottom w:val="single" w:sz="4" w:space="0" w:color="auto"/>
        <w:right w:val="single" w:sz="4" w:space="0" w:color="auto"/>
      </w:pBdr>
      <w:shd w:val="clear" w:color="000000" w:fill="FCD5B4"/>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7">
    <w:name w:val="xl197"/>
    <w:basedOn w:val="a1"/>
    <w:pPr>
      <w:widowControl/>
      <w:shd w:val="clear" w:color="000000" w:fill="FCD5B4"/>
      <w:spacing w:beforeLines="0" w:before="100" w:beforeAutospacing="1" w:afterLines="0" w:after="100" w:afterAutospacing="1" w:line="240" w:lineRule="auto"/>
      <w:ind w:firstLineChars="0" w:firstLine="0"/>
      <w:jc w:val="left"/>
    </w:pPr>
    <w:rPr>
      <w:rFonts w:ascii="宋体" w:hAnsi="宋体" w:cs="宋体"/>
      <w:kern w:val="0"/>
      <w:sz w:val="18"/>
      <w:szCs w:val="18"/>
    </w:rPr>
  </w:style>
  <w:style w:type="paragraph" w:customStyle="1" w:styleId="xl198">
    <w:name w:val="xl198"/>
    <w:basedOn w:val="a1"/>
    <w:pPr>
      <w:widowControl/>
      <w:pBdr>
        <w:top w:val="single" w:sz="4" w:space="0" w:color="auto"/>
        <w:left w:val="single" w:sz="4" w:space="0" w:color="auto"/>
        <w:bottom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199">
    <w:name w:val="xl199"/>
    <w:basedOn w:val="a1"/>
    <w:pPr>
      <w:widowControl/>
      <w:shd w:val="clear" w:color="000000" w:fill="FFFFFF"/>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200">
    <w:name w:val="xl200"/>
    <w:basedOn w:val="a1"/>
    <w:pPr>
      <w:widowControl/>
      <w:pBdr>
        <w:left w:val="single" w:sz="4" w:space="0" w:color="auto"/>
        <w:right w:val="single" w:sz="4" w:space="0" w:color="auto"/>
      </w:pBdr>
      <w:shd w:val="clear" w:color="000000" w:fill="FFFFFF"/>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201">
    <w:name w:val="xl201"/>
    <w:basedOn w:val="a1"/>
    <w:pPr>
      <w:widowControl/>
      <w:pBdr>
        <w:top w:val="single" w:sz="4" w:space="0" w:color="auto"/>
        <w:left w:val="single" w:sz="4" w:space="0" w:color="auto"/>
        <w:bottom w:val="single" w:sz="4" w:space="0" w:color="auto"/>
        <w:right w:val="single" w:sz="4" w:space="0" w:color="auto"/>
      </w:pBdr>
      <w:shd w:val="clear" w:color="000000" w:fill="92D050"/>
      <w:spacing w:beforeLines="0" w:before="100" w:beforeAutospacing="1" w:afterLines="0" w:after="100" w:afterAutospacing="1" w:line="240" w:lineRule="auto"/>
      <w:ind w:firstLineChars="0" w:firstLine="0"/>
      <w:jc w:val="left"/>
    </w:pPr>
    <w:rPr>
      <w:rFonts w:ascii="Arial" w:hAnsi="Arial" w:cs="Arial"/>
      <w:kern w:val="0"/>
      <w:sz w:val="18"/>
      <w:szCs w:val="18"/>
    </w:rPr>
  </w:style>
  <w:style w:type="paragraph" w:customStyle="1" w:styleId="xl202">
    <w:name w:val="xl202"/>
    <w:basedOn w:val="a1"/>
    <w:pPr>
      <w:widowControl/>
      <w:shd w:val="clear" w:color="000000" w:fill="92D050"/>
      <w:spacing w:beforeLines="0" w:before="100" w:beforeAutospacing="1" w:afterLines="0" w:after="100" w:afterAutospacing="1" w:line="240" w:lineRule="auto"/>
      <w:ind w:firstLineChars="0" w:firstLine="0"/>
      <w:jc w:val="left"/>
    </w:pPr>
    <w:rPr>
      <w:rFonts w:ascii="Arial" w:hAnsi="Arial" w:cs="Arial"/>
      <w:kern w:val="0"/>
      <w:sz w:val="18"/>
      <w:szCs w:val="18"/>
    </w:rPr>
  </w:style>
  <w:style w:type="table" w:styleId="27">
    <w:name w:val="Plain Table 2"/>
    <w:basedOn w:val="a3"/>
    <w:uiPriority w:val="6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QGF">
    <w:name w:val="TQGF"/>
    <w:basedOn w:val="a1"/>
    <w:link w:val="TQGF0"/>
    <w:pPr>
      <w:widowControl/>
      <w:spacing w:before="156" w:after="156"/>
      <w:ind w:firstLineChars="0" w:firstLine="482"/>
      <w:jc w:val="left"/>
    </w:pPr>
    <w:rPr>
      <w:rFonts w:ascii="宋体" w:hAnsi="Calibri" w:cs="宋体"/>
      <w:kern w:val="0"/>
      <w:szCs w:val="24"/>
    </w:rPr>
  </w:style>
  <w:style w:type="character" w:customStyle="1" w:styleId="TQGF0">
    <w:name w:val="TQGF 字符"/>
    <w:link w:val="TQGF"/>
    <w:rPr>
      <w:rFonts w:ascii="宋体" w:cs="宋体"/>
      <w:sz w:val="24"/>
      <w:szCs w:val="24"/>
    </w:rPr>
  </w:style>
  <w:style w:type="numbering" w:customStyle="1" w:styleId="54">
    <w:name w:val="无列表5"/>
    <w:next w:val="a4"/>
    <w:uiPriority w:val="99"/>
    <w:semiHidden/>
    <w:unhideWhenUsed/>
  </w:style>
  <w:style w:type="numbering" w:customStyle="1" w:styleId="140">
    <w:name w:val="无列表14"/>
    <w:next w:val="a4"/>
    <w:uiPriority w:val="99"/>
    <w:semiHidden/>
    <w:unhideWhenUsed/>
  </w:style>
  <w:style w:type="table" w:customStyle="1" w:styleId="userdfd3">
    <w:name w:val="userdfd3"/>
    <w:basedOn w:val="a3"/>
    <w:pPr>
      <w:adjustRightInd w:val="0"/>
      <w:snapToGrid w:val="0"/>
      <w:spacing w:beforeLines="30" w:before="30" w:afterLines="30" w:after="30"/>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40">
    <w:name w:val="无列表24"/>
    <w:next w:val="a4"/>
    <w:uiPriority w:val="99"/>
    <w:semiHidden/>
    <w:unhideWhenUsed/>
  </w:style>
  <w:style w:type="numbering" w:customStyle="1" w:styleId="1140">
    <w:name w:val="无列表114"/>
    <w:next w:val="a4"/>
    <w:uiPriority w:val="99"/>
    <w:semiHidden/>
    <w:unhideWhenUsed/>
  </w:style>
  <w:style w:type="table" w:customStyle="1" w:styleId="131">
    <w:name w:val="网格型1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a4"/>
    <w:uiPriority w:val="99"/>
    <w:semiHidden/>
    <w:unhideWhenUsed/>
  </w:style>
  <w:style w:type="numbering" w:customStyle="1" w:styleId="1113">
    <w:name w:val="无列表1113"/>
    <w:next w:val="a4"/>
    <w:uiPriority w:val="99"/>
    <w:semiHidden/>
    <w:unhideWhenUsed/>
  </w:style>
  <w:style w:type="table" w:customStyle="1" w:styleId="1a">
    <w:name w:val="定制网格型1"/>
    <w:basedOn w:val="a3"/>
    <w:next w:val="afb"/>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next w:val="a1"/>
    <w:uiPriority w:val="99"/>
    <w:pPr>
      <w:keepNext/>
      <w:keepLines/>
      <w:widowControl w:val="0"/>
      <w:spacing w:before="300" w:after="300" w:line="241" w:lineRule="auto"/>
      <w:jc w:val="both"/>
    </w:pPr>
    <w:rPr>
      <w:rFonts w:ascii="Times New Roman" w:hAnsi="Times New Roman"/>
      <w:b/>
      <w:bCs/>
      <w:kern w:val="28"/>
      <w:sz w:val="21"/>
      <w:szCs w:val="21"/>
    </w:rPr>
  </w:style>
  <w:style w:type="numbering" w:customStyle="1" w:styleId="64">
    <w:name w:val="无列表6"/>
    <w:next w:val="a4"/>
    <w:uiPriority w:val="99"/>
    <w:semiHidden/>
    <w:unhideWhenUsed/>
  </w:style>
  <w:style w:type="numbering" w:customStyle="1" w:styleId="150">
    <w:name w:val="无列表15"/>
    <w:next w:val="a4"/>
    <w:uiPriority w:val="99"/>
    <w:semiHidden/>
    <w:unhideWhenUsed/>
  </w:style>
  <w:style w:type="table" w:customStyle="1" w:styleId="userdfd4">
    <w:name w:val="userdfd4"/>
    <w:basedOn w:val="a3"/>
    <w:pPr>
      <w:adjustRightInd w:val="0"/>
      <w:snapToGrid w:val="0"/>
      <w:spacing w:beforeLines="30" w:before="30" w:afterLines="30" w:after="30"/>
      <w:contextualSpacing/>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50">
    <w:name w:val="无列表25"/>
    <w:next w:val="a4"/>
    <w:uiPriority w:val="99"/>
    <w:semiHidden/>
    <w:unhideWhenUsed/>
  </w:style>
  <w:style w:type="numbering" w:customStyle="1" w:styleId="115">
    <w:name w:val="无列表115"/>
    <w:next w:val="a4"/>
    <w:uiPriority w:val="99"/>
    <w:semiHidden/>
    <w:unhideWhenUsed/>
  </w:style>
  <w:style w:type="table" w:customStyle="1" w:styleId="141">
    <w:name w:val="网格型1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style>
  <w:style w:type="numbering" w:customStyle="1" w:styleId="1114">
    <w:name w:val="无列表1114"/>
    <w:next w:val="a4"/>
    <w:uiPriority w:val="99"/>
    <w:semiHidden/>
    <w:unhideWhenUsed/>
  </w:style>
  <w:style w:type="table" w:customStyle="1" w:styleId="100">
    <w:name w:val="网格型10"/>
    <w:basedOn w:val="a3"/>
    <w:next w:val="afb"/>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无列表7"/>
    <w:next w:val="a4"/>
    <w:uiPriority w:val="99"/>
    <w:semiHidden/>
    <w:unhideWhenUsed/>
  </w:style>
  <w:style w:type="numbering" w:customStyle="1" w:styleId="160">
    <w:name w:val="无列表16"/>
    <w:next w:val="a4"/>
    <w:uiPriority w:val="99"/>
    <w:semiHidden/>
    <w:unhideWhenUsed/>
  </w:style>
  <w:style w:type="table" w:customStyle="1" w:styleId="userdfd5">
    <w:name w:val="userdfd5"/>
    <w:basedOn w:val="a3"/>
    <w:pPr>
      <w:adjustRightInd w:val="0"/>
      <w:snapToGrid w:val="0"/>
      <w:spacing w:beforeLines="30" w:before="30" w:afterLines="30" w:after="30"/>
      <w:contextualSpacing/>
      <w:jc w:val="both"/>
    </w:pPr>
    <w:rPr>
      <w:rFonts w:ascii="Times New Roman" w:hAnsi="Times New Roman"/>
      <w:sz w:val="21"/>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style>
  <w:style w:type="numbering" w:customStyle="1" w:styleId="260">
    <w:name w:val="无列表26"/>
    <w:next w:val="a4"/>
    <w:uiPriority w:val="99"/>
    <w:semiHidden/>
    <w:unhideWhenUsed/>
  </w:style>
  <w:style w:type="numbering" w:customStyle="1" w:styleId="116">
    <w:name w:val="无列表116"/>
    <w:next w:val="a4"/>
    <w:uiPriority w:val="99"/>
    <w:semiHidden/>
    <w:unhideWhenUsed/>
  </w:style>
  <w:style w:type="table" w:customStyle="1" w:styleId="151">
    <w:name w:val="网格型1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5"/>
    <w:next w:val="a4"/>
    <w:uiPriority w:val="99"/>
    <w:semiHidden/>
    <w:unhideWhenUsed/>
  </w:style>
  <w:style w:type="numbering" w:customStyle="1" w:styleId="1115">
    <w:name w:val="无列表1115"/>
    <w:next w:val="a4"/>
    <w:uiPriority w:val="99"/>
    <w:semiHidden/>
    <w:unhideWhenUsed/>
  </w:style>
  <w:style w:type="table" w:customStyle="1" w:styleId="161">
    <w:name w:val="网格型16"/>
    <w:basedOn w:val="a3"/>
    <w:next w:val="afb"/>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next w:val="af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无格式表格 21"/>
    <w:basedOn w:val="a3"/>
    <w:next w:val="27"/>
    <w:uiPriority w:val="6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d">
    <w:name w:val="纯文本 Char"/>
    <w:aliases w:val="普通文字 Char1, Char Char1,普通文字 Char Char,Char Char, Char Char Char,纯文本111 Char,普通文字111 Char, Char111 Char, Char2 Char Char111 Char, Char2 Char Char Char Char Char Char Char Char111 Char, Char2 Char Char Char Char Char Char Char111 Char, Ch Char"/>
    <w:uiPriority w:val="99"/>
    <w:rPr>
      <w:rFonts w:ascii="Courier New" w:eastAsia="宋体" w:hAnsi="Courier New"/>
      <w:sz w:val="21"/>
      <w:lang w:val="en-US" w:eastAsia="zh-CN" w:bidi="ar-SA"/>
    </w:rPr>
  </w:style>
  <w:style w:type="paragraph" w:styleId="TOC">
    <w:name w:val="TOC Heading"/>
    <w:basedOn w:val="1"/>
    <w:next w:val="a1"/>
    <w:uiPriority w:val="39"/>
    <w:unhideWhenUsed/>
    <w:qFormat/>
    <w:pPr>
      <w:widowControl/>
      <w:spacing w:beforeLines="0" w:before="240" w:afterLines="0" w:after="0" w:line="259" w:lineRule="auto"/>
      <w:jc w:val="left"/>
      <w:outlineLvl w:val="9"/>
    </w:pPr>
    <w:rPr>
      <w:rFonts w:ascii="等线 Light" w:eastAsia="等线 Light" w:hAnsi="等线 Light"/>
      <w:bCs w:val="0"/>
      <w:color w:val="2F5496"/>
      <w:kern w:val="0"/>
      <w:szCs w:val="32"/>
      <w:lang w:eastAsia="en-US"/>
    </w:rPr>
  </w:style>
  <w:style w:type="character" w:customStyle="1" w:styleId="1Char2">
    <w:name w:val="标题 1 Char2"/>
    <w:uiPriority w:val="9"/>
    <w:rPr>
      <w:rFonts w:ascii="Times New Roman" w:eastAsia="黑体" w:hAnsi="Times New Roman" w:cs="Times New Roman"/>
      <w:bCs/>
      <w:kern w:val="44"/>
      <w:sz w:val="32"/>
      <w:szCs w:val="44"/>
    </w:rPr>
  </w:style>
  <w:style w:type="character" w:customStyle="1" w:styleId="2Char1">
    <w:name w:val="标题 2 Char1"/>
    <w:uiPriority w:val="9"/>
    <w:rPr>
      <w:rFonts w:ascii="Times New Roman" w:eastAsia="宋体" w:hAnsi="Times New Roman" w:cs="Times New Roman"/>
      <w:b/>
      <w:bCs/>
      <w:sz w:val="24"/>
      <w:szCs w:val="32"/>
    </w:rPr>
  </w:style>
  <w:style w:type="character" w:customStyle="1" w:styleId="3Char1">
    <w:name w:val="标题 3 Char1"/>
    <w:uiPriority w:val="9"/>
    <w:rPr>
      <w:rFonts w:ascii="Times New Roman" w:eastAsia="宋体" w:hAnsi="Times New Roman" w:cs="Times New Roman"/>
      <w:b/>
      <w:bCs/>
      <w:sz w:val="24"/>
      <w:szCs w:val="32"/>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批注文字 Char1"/>
    <w:uiPriority w:val="99"/>
    <w:rPr>
      <w:rFonts w:ascii="Times New Roman" w:eastAsia="宋体" w:hAnsi="Times New Roman" w:cs="Times New Roman"/>
      <w:sz w:val="24"/>
    </w:rPr>
  </w:style>
  <w:style w:type="character" w:customStyle="1" w:styleId="Char12">
    <w:name w:val="批注主题 Char1"/>
    <w:uiPriority w:val="99"/>
    <w:semiHidden/>
    <w:rPr>
      <w:rFonts w:ascii="Times New Roman" w:eastAsia="宋体" w:hAnsi="Times New Roman" w:cs="Times New Roman"/>
      <w:b/>
      <w:bCs/>
      <w:sz w:val="24"/>
    </w:rPr>
  </w:style>
  <w:style w:type="character" w:customStyle="1" w:styleId="4Char1">
    <w:name w:val="标题 4 Char1"/>
    <w:uiPriority w:val="9"/>
    <w:rPr>
      <w:rFonts w:ascii="Calibri Light" w:eastAsia="宋体" w:hAnsi="Calibri Light" w:cs="Times New Roman"/>
      <w:b/>
      <w:bCs/>
      <w:sz w:val="28"/>
      <w:szCs w:val="28"/>
    </w:rPr>
  </w:style>
  <w:style w:type="character" w:customStyle="1" w:styleId="Char13">
    <w:name w:val="文档结构图 Char1"/>
    <w:uiPriority w:val="99"/>
    <w:semiHidden/>
    <w:rPr>
      <w:rFonts w:ascii="Heiti SC Light" w:eastAsia="Heiti SC Light" w:hAnsi="Times New Roman" w:cs="Times New Roman"/>
      <w:sz w:val="24"/>
      <w:szCs w:val="24"/>
    </w:rPr>
  </w:style>
  <w:style w:type="character" w:customStyle="1" w:styleId="Char14">
    <w:name w:val="脚注文本 Char1"/>
    <w:uiPriority w:val="99"/>
    <w:rPr>
      <w:rFonts w:ascii="Times New Roman" w:eastAsia="宋体" w:hAnsi="Times New Roman" w:cs="Times New Roman"/>
      <w:sz w:val="18"/>
      <w:szCs w:val="18"/>
    </w:rPr>
  </w:style>
  <w:style w:type="character" w:customStyle="1" w:styleId="5Char1">
    <w:name w:val="标题 5 Char1"/>
    <w:uiPriority w:val="9"/>
    <w:rPr>
      <w:rFonts w:ascii="Calibri" w:eastAsia="宋体" w:hAnsi="Calibri" w:cs="Times New Roman"/>
      <w:b/>
      <w:bCs/>
      <w:sz w:val="28"/>
      <w:szCs w:val="28"/>
    </w:rPr>
  </w:style>
  <w:style w:type="character" w:customStyle="1" w:styleId="6Char1">
    <w:name w:val="标题 6 Char1"/>
    <w:uiPriority w:val="9"/>
    <w:rPr>
      <w:rFonts w:ascii="Cambria" w:eastAsia="宋体" w:hAnsi="Cambria" w:cs="Times New Roman"/>
      <w:b/>
      <w:bCs/>
      <w:sz w:val="24"/>
      <w:szCs w:val="24"/>
    </w:rPr>
  </w:style>
  <w:style w:type="character" w:customStyle="1" w:styleId="7Char1">
    <w:name w:val="标题 7 Char1"/>
    <w:uiPriority w:val="9"/>
    <w:rPr>
      <w:rFonts w:ascii="Calibri" w:eastAsia="宋体" w:hAnsi="Calibri" w:cs="Times New Roman"/>
      <w:b/>
      <w:bCs/>
      <w:sz w:val="24"/>
      <w:szCs w:val="24"/>
    </w:rPr>
  </w:style>
  <w:style w:type="character" w:customStyle="1" w:styleId="8Char1">
    <w:name w:val="标题 8 Char1"/>
    <w:uiPriority w:val="9"/>
    <w:rPr>
      <w:rFonts w:ascii="Cambria" w:eastAsia="宋体" w:hAnsi="Cambria" w:cs="Times New Roman"/>
      <w:sz w:val="24"/>
      <w:szCs w:val="24"/>
    </w:rPr>
  </w:style>
  <w:style w:type="character" w:customStyle="1" w:styleId="9Char1">
    <w:name w:val="标题 9 Char1"/>
    <w:uiPriority w:val="9"/>
    <w:rPr>
      <w:rFonts w:ascii="Cambria" w:eastAsia="宋体" w:hAnsi="Cambria" w:cs="Times New Roman"/>
      <w:szCs w:val="21"/>
    </w:rPr>
  </w:style>
  <w:style w:type="character" w:customStyle="1" w:styleId="Char15">
    <w:name w:val="标题 Char1"/>
    <w:uiPriority w:val="10"/>
    <w:rPr>
      <w:rFonts w:ascii="Cambria" w:eastAsia="宋体" w:hAnsi="Cambria" w:cs="Times New Roman"/>
      <w:b/>
      <w:bCs/>
      <w:sz w:val="32"/>
      <w:szCs w:val="32"/>
    </w:rPr>
  </w:style>
  <w:style w:type="character" w:customStyle="1" w:styleId="Char16">
    <w:name w:val="副标题 Char1"/>
    <w:uiPriority w:val="11"/>
    <w:rPr>
      <w:rFonts w:ascii="Cambria" w:eastAsia="宋体" w:hAnsi="Cambria" w:cs="Times New Roman"/>
      <w:b/>
      <w:bCs/>
      <w:kern w:val="28"/>
      <w:sz w:val="32"/>
      <w:szCs w:val="32"/>
    </w:rPr>
  </w:style>
  <w:style w:type="character" w:customStyle="1" w:styleId="Char17">
    <w:name w:val="日期 Char1"/>
    <w:rPr>
      <w:rFonts w:ascii="Times New Roman" w:eastAsia="仿宋_GB2312" w:hAnsi="Times New Roman" w:cs="Times New Roman"/>
      <w:kern w:val="0"/>
      <w:sz w:val="32"/>
      <w:szCs w:val="20"/>
      <w:lang w:val="x-none" w:eastAsia="x-none"/>
    </w:rPr>
  </w:style>
  <w:style w:type="character" w:customStyle="1" w:styleId="HTMLChar1">
    <w:name w:val="HTML 预设格式 Char1"/>
    <w:uiPriority w:val="99"/>
    <w:semiHidden/>
    <w:rPr>
      <w:rFonts w:ascii="Courier" w:eastAsia="宋体" w:hAnsi="Courier" w:cs="Times New Roman"/>
      <w:sz w:val="20"/>
      <w:szCs w:val="20"/>
    </w:rPr>
  </w:style>
  <w:style w:type="character" w:customStyle="1" w:styleId="Char18">
    <w:name w:val="纯文本 Char1"/>
    <w:aliases w:val="纯文本 Char3 Char Char,纯文本 Char2 Char Char1 Char,纯文本 Char Char1 Char Char1 Char,纯文本 Char Char Char Char Char Char1 Char,纯文本 Char1 Char Char Char Char Char1 Char,纯文本 Char Char Char1 Char Char Char1 Char,纯文本 Char1 Char Char1 Char Char Char1 Char"/>
    <w:uiPriority w:val="99"/>
    <w:rPr>
      <w:rFonts w:ascii="宋体" w:eastAsia="宋体" w:hAnsi="Courier New" w:cs="宋体"/>
      <w:kern w:val="0"/>
      <w:sz w:val="20"/>
      <w:szCs w:val="21"/>
      <w:lang w:val="x-none" w:eastAsia="x-none"/>
    </w:rPr>
  </w:style>
  <w:style w:type="paragraph" w:customStyle="1" w:styleId="28">
    <w:name w:val="样式2"/>
    <w:basedOn w:val="41"/>
    <w:pPr>
      <w:spacing w:before="50" w:after="50" w:line="360" w:lineRule="auto"/>
    </w:pPr>
    <w:rPr>
      <w:rFonts w:ascii="Times New Roman" w:hAnsi="Times New Roman"/>
      <w:sz w:val="24"/>
    </w:rPr>
  </w:style>
  <w:style w:type="paragraph" w:customStyle="1" w:styleId="001">
    <w:name w:val="001一级标题"/>
    <w:basedOn w:val="a1"/>
    <w:qFormat/>
    <w:rsid w:val="00886BF0"/>
    <w:pPr>
      <w:keepNext/>
      <w:keepLines/>
      <w:pageBreakBefore/>
      <w:ind w:firstLineChars="0" w:firstLine="0"/>
      <w:jc w:val="center"/>
      <w:outlineLvl w:val="0"/>
    </w:pPr>
    <w:rPr>
      <w:rFonts w:eastAsia="黑体"/>
      <w:b/>
      <w:bCs/>
      <w:sz w:val="32"/>
      <w:szCs w:val="28"/>
      <w:lang w:val="zh-CN"/>
    </w:rPr>
  </w:style>
  <w:style w:type="paragraph" w:customStyle="1" w:styleId="002">
    <w:name w:val="002二级标题"/>
    <w:link w:val="002Char"/>
    <w:qFormat/>
    <w:rsid w:val="00886BF0"/>
    <w:pPr>
      <w:keepNext/>
      <w:keepLines/>
      <w:spacing w:beforeLines="50" w:before="50" w:afterLines="50" w:after="50" w:line="360" w:lineRule="auto"/>
      <w:jc w:val="both"/>
      <w:outlineLvl w:val="1"/>
    </w:pPr>
    <w:rPr>
      <w:rFonts w:ascii="Times New Roman" w:eastAsia="黑体" w:hAnsi="Times New Roman"/>
      <w:b/>
      <w:bCs/>
      <w:kern w:val="2"/>
      <w:sz w:val="28"/>
      <w:szCs w:val="28"/>
    </w:rPr>
  </w:style>
  <w:style w:type="paragraph" w:customStyle="1" w:styleId="003">
    <w:name w:val="003三级标题"/>
    <w:basedOn w:val="002"/>
    <w:link w:val="003Char"/>
    <w:qFormat/>
    <w:rsid w:val="00886BF0"/>
    <w:pPr>
      <w:ind w:firstLineChars="200" w:firstLine="200"/>
      <w:outlineLvl w:val="2"/>
    </w:pPr>
    <w:rPr>
      <w:sz w:val="24"/>
    </w:rPr>
  </w:style>
  <w:style w:type="paragraph" w:customStyle="1" w:styleId="004">
    <w:name w:val="004四级标题"/>
    <w:basedOn w:val="002"/>
    <w:link w:val="004Char"/>
    <w:qFormat/>
    <w:rsid w:val="00397FEB"/>
    <w:pPr>
      <w:ind w:firstLineChars="200" w:firstLine="200"/>
      <w:outlineLvl w:val="3"/>
    </w:pPr>
    <w:rPr>
      <w:rFonts w:eastAsia="宋体"/>
      <w:sz w:val="24"/>
    </w:rPr>
  </w:style>
  <w:style w:type="numbering" w:customStyle="1" w:styleId="82">
    <w:name w:val="无列表8"/>
    <w:next w:val="a4"/>
    <w:uiPriority w:val="99"/>
    <w:semiHidden/>
    <w:unhideWhenUsed/>
    <w:rsid w:val="002B4EAA"/>
  </w:style>
  <w:style w:type="numbering" w:customStyle="1" w:styleId="170">
    <w:name w:val="无列表17"/>
    <w:next w:val="a4"/>
    <w:uiPriority w:val="99"/>
    <w:semiHidden/>
    <w:unhideWhenUsed/>
    <w:rsid w:val="002B4EAA"/>
  </w:style>
  <w:style w:type="paragraph" w:styleId="36">
    <w:name w:val="List 3"/>
    <w:basedOn w:val="a1"/>
    <w:uiPriority w:val="99"/>
    <w:semiHidden/>
    <w:qFormat/>
    <w:rsid w:val="002B4EAA"/>
    <w:pPr>
      <w:spacing w:before="0" w:afterLines="0" w:after="0" w:line="360" w:lineRule="exact"/>
      <w:ind w:left="1260" w:firstLineChars="0" w:hanging="420"/>
    </w:pPr>
    <w:rPr>
      <w:sz w:val="22"/>
      <w:szCs w:val="20"/>
    </w:rPr>
  </w:style>
  <w:style w:type="paragraph" w:styleId="29">
    <w:name w:val="List Number 2"/>
    <w:basedOn w:val="a1"/>
    <w:uiPriority w:val="99"/>
    <w:semiHidden/>
    <w:qFormat/>
    <w:rsid w:val="002B4EAA"/>
    <w:pPr>
      <w:tabs>
        <w:tab w:val="left" w:pos="607"/>
      </w:tabs>
      <w:spacing w:before="0" w:afterLines="0" w:after="0" w:line="360" w:lineRule="exact"/>
      <w:ind w:leftChars="200" w:left="607" w:hangingChars="200" w:hanging="360"/>
    </w:pPr>
    <w:rPr>
      <w:sz w:val="21"/>
      <w:szCs w:val="20"/>
    </w:rPr>
  </w:style>
  <w:style w:type="paragraph" w:styleId="afff0">
    <w:name w:val="List Number"/>
    <w:basedOn w:val="a1"/>
    <w:uiPriority w:val="99"/>
    <w:semiHidden/>
    <w:qFormat/>
    <w:rsid w:val="002B4EAA"/>
    <w:pPr>
      <w:tabs>
        <w:tab w:val="left" w:pos="3338"/>
      </w:tabs>
      <w:spacing w:before="0" w:afterLines="0" w:after="0" w:line="360" w:lineRule="exact"/>
      <w:ind w:left="3338" w:hangingChars="200" w:hanging="360"/>
    </w:pPr>
    <w:rPr>
      <w:sz w:val="21"/>
      <w:szCs w:val="24"/>
    </w:rPr>
  </w:style>
  <w:style w:type="paragraph" w:styleId="afff1">
    <w:name w:val="Salutation"/>
    <w:basedOn w:val="a1"/>
    <w:next w:val="a1"/>
    <w:link w:val="afff2"/>
    <w:uiPriority w:val="99"/>
    <w:semiHidden/>
    <w:qFormat/>
    <w:rsid w:val="002B4EAA"/>
    <w:pPr>
      <w:spacing w:before="0" w:afterLines="0" w:after="0" w:line="360" w:lineRule="exact"/>
      <w:ind w:firstLineChars="0" w:firstLine="0"/>
    </w:pPr>
    <w:rPr>
      <w:sz w:val="21"/>
      <w:szCs w:val="21"/>
    </w:rPr>
  </w:style>
  <w:style w:type="character" w:customStyle="1" w:styleId="afff2">
    <w:name w:val="称呼 字符"/>
    <w:link w:val="afff1"/>
    <w:uiPriority w:val="99"/>
    <w:semiHidden/>
    <w:qFormat/>
    <w:rsid w:val="002B4EAA"/>
    <w:rPr>
      <w:rFonts w:ascii="Times New Roman" w:hAnsi="Times New Roman"/>
      <w:kern w:val="2"/>
      <w:sz w:val="21"/>
      <w:szCs w:val="21"/>
    </w:rPr>
  </w:style>
  <w:style w:type="paragraph" w:styleId="37">
    <w:name w:val="Body Text 3"/>
    <w:basedOn w:val="a1"/>
    <w:link w:val="38"/>
    <w:uiPriority w:val="99"/>
    <w:semiHidden/>
    <w:qFormat/>
    <w:rsid w:val="002B4EAA"/>
    <w:pPr>
      <w:spacing w:before="0" w:afterLines="0" w:after="0" w:line="360" w:lineRule="exact"/>
      <w:ind w:firstLineChars="0" w:firstLine="0"/>
    </w:pPr>
    <w:rPr>
      <w:sz w:val="16"/>
      <w:szCs w:val="16"/>
    </w:rPr>
  </w:style>
  <w:style w:type="character" w:customStyle="1" w:styleId="38">
    <w:name w:val="正文文本 3 字符"/>
    <w:link w:val="37"/>
    <w:uiPriority w:val="99"/>
    <w:semiHidden/>
    <w:qFormat/>
    <w:rsid w:val="002B4EAA"/>
    <w:rPr>
      <w:rFonts w:ascii="Times New Roman" w:hAnsi="Times New Roman"/>
      <w:kern w:val="2"/>
      <w:sz w:val="16"/>
      <w:szCs w:val="16"/>
    </w:rPr>
  </w:style>
  <w:style w:type="paragraph" w:styleId="afff3">
    <w:name w:val="Body Text"/>
    <w:basedOn w:val="a1"/>
    <w:link w:val="afff4"/>
    <w:uiPriority w:val="99"/>
    <w:semiHidden/>
    <w:qFormat/>
    <w:rsid w:val="002B4EAA"/>
    <w:pPr>
      <w:spacing w:before="0" w:after="0"/>
    </w:pPr>
    <w:rPr>
      <w:szCs w:val="24"/>
    </w:rPr>
  </w:style>
  <w:style w:type="character" w:customStyle="1" w:styleId="afff4">
    <w:name w:val="正文文本 字符"/>
    <w:link w:val="afff3"/>
    <w:uiPriority w:val="99"/>
    <w:semiHidden/>
    <w:qFormat/>
    <w:rsid w:val="002B4EAA"/>
    <w:rPr>
      <w:rFonts w:ascii="Times New Roman" w:hAnsi="Times New Roman"/>
      <w:kern w:val="2"/>
      <w:sz w:val="24"/>
      <w:szCs w:val="24"/>
    </w:rPr>
  </w:style>
  <w:style w:type="paragraph" w:styleId="afff5">
    <w:name w:val="Body Text Indent"/>
    <w:basedOn w:val="a1"/>
    <w:link w:val="afff6"/>
    <w:uiPriority w:val="99"/>
    <w:semiHidden/>
    <w:qFormat/>
    <w:rsid w:val="002B4EAA"/>
    <w:pPr>
      <w:spacing w:before="0" w:afterLines="0" w:after="0" w:line="360" w:lineRule="exact"/>
      <w:ind w:leftChars="200" w:left="420" w:firstLineChars="0" w:firstLine="0"/>
    </w:pPr>
    <w:rPr>
      <w:sz w:val="21"/>
      <w:szCs w:val="24"/>
    </w:rPr>
  </w:style>
  <w:style w:type="character" w:customStyle="1" w:styleId="afff6">
    <w:name w:val="正文文本缩进 字符"/>
    <w:link w:val="afff5"/>
    <w:uiPriority w:val="99"/>
    <w:semiHidden/>
    <w:qFormat/>
    <w:rsid w:val="002B4EAA"/>
    <w:rPr>
      <w:rFonts w:ascii="Times New Roman" w:hAnsi="Times New Roman"/>
      <w:kern w:val="2"/>
      <w:sz w:val="21"/>
      <w:szCs w:val="24"/>
    </w:rPr>
  </w:style>
  <w:style w:type="paragraph" w:styleId="2a">
    <w:name w:val="List 2"/>
    <w:basedOn w:val="a1"/>
    <w:uiPriority w:val="99"/>
    <w:semiHidden/>
    <w:qFormat/>
    <w:rsid w:val="002B4EAA"/>
    <w:pPr>
      <w:spacing w:before="0" w:afterLines="0" w:after="0" w:line="360" w:lineRule="exact"/>
      <w:ind w:left="840" w:firstLineChars="0" w:hanging="420"/>
    </w:pPr>
    <w:rPr>
      <w:sz w:val="22"/>
      <w:szCs w:val="20"/>
    </w:rPr>
  </w:style>
  <w:style w:type="paragraph" w:styleId="afff7">
    <w:name w:val="Block Text"/>
    <w:basedOn w:val="a1"/>
    <w:uiPriority w:val="99"/>
    <w:semiHidden/>
    <w:qFormat/>
    <w:rsid w:val="002B4EAA"/>
    <w:pPr>
      <w:adjustRightInd w:val="0"/>
      <w:spacing w:before="0" w:afterLines="0" w:after="0" w:line="360" w:lineRule="exact"/>
      <w:ind w:left="-315" w:right="-334" w:firstLineChars="0" w:firstLine="0"/>
      <w:textAlignment w:val="baseline"/>
    </w:pPr>
    <w:rPr>
      <w:rFonts w:ascii="宋体"/>
      <w:kern w:val="0"/>
      <w:sz w:val="22"/>
      <w:szCs w:val="20"/>
    </w:rPr>
  </w:style>
  <w:style w:type="paragraph" w:styleId="2b">
    <w:name w:val="Body Text Indent 2"/>
    <w:basedOn w:val="a1"/>
    <w:link w:val="217"/>
    <w:uiPriority w:val="99"/>
    <w:semiHidden/>
    <w:qFormat/>
    <w:rsid w:val="002B4EAA"/>
    <w:pPr>
      <w:widowControl/>
      <w:spacing w:beforeLines="0" w:before="0" w:afterLines="0" w:after="0" w:line="480" w:lineRule="auto"/>
      <w:ind w:leftChars="200" w:left="420" w:firstLineChars="0" w:firstLine="0"/>
      <w:jc w:val="left"/>
    </w:pPr>
    <w:rPr>
      <w:kern w:val="0"/>
      <w:szCs w:val="24"/>
      <w:lang w:eastAsia="en-US" w:bidi="en-US"/>
    </w:rPr>
  </w:style>
  <w:style w:type="character" w:customStyle="1" w:styleId="2c">
    <w:name w:val="正文文本缩进 2 字符"/>
    <w:semiHidden/>
    <w:qFormat/>
    <w:rsid w:val="002B4EAA"/>
    <w:rPr>
      <w:rFonts w:ascii="Times New Roman" w:hAnsi="Times New Roman"/>
      <w:kern w:val="2"/>
      <w:sz w:val="24"/>
      <w:szCs w:val="22"/>
    </w:rPr>
  </w:style>
  <w:style w:type="paragraph" w:styleId="39">
    <w:name w:val="Body Text Indent 3"/>
    <w:basedOn w:val="a1"/>
    <w:link w:val="3a"/>
    <w:uiPriority w:val="99"/>
    <w:semiHidden/>
    <w:qFormat/>
    <w:rsid w:val="002B4EAA"/>
    <w:pPr>
      <w:spacing w:before="0" w:afterLines="0" w:after="0" w:line="360" w:lineRule="exact"/>
      <w:ind w:leftChars="200" w:left="420" w:firstLineChars="0" w:firstLine="0"/>
    </w:pPr>
    <w:rPr>
      <w:sz w:val="16"/>
      <w:szCs w:val="16"/>
    </w:rPr>
  </w:style>
  <w:style w:type="character" w:customStyle="1" w:styleId="3a">
    <w:name w:val="正文文本缩进 3 字符"/>
    <w:link w:val="39"/>
    <w:uiPriority w:val="99"/>
    <w:semiHidden/>
    <w:rsid w:val="002B4EAA"/>
    <w:rPr>
      <w:rFonts w:ascii="Times New Roman" w:hAnsi="Times New Roman"/>
      <w:kern w:val="2"/>
      <w:sz w:val="16"/>
      <w:szCs w:val="16"/>
    </w:rPr>
  </w:style>
  <w:style w:type="paragraph" w:styleId="afff8">
    <w:name w:val="Body Text First Indent"/>
    <w:basedOn w:val="afff3"/>
    <w:link w:val="afff9"/>
    <w:uiPriority w:val="99"/>
    <w:semiHidden/>
    <w:qFormat/>
    <w:rsid w:val="002B4EAA"/>
    <w:pPr>
      <w:ind w:firstLine="420"/>
    </w:pPr>
    <w:rPr>
      <w:sz w:val="22"/>
    </w:rPr>
  </w:style>
  <w:style w:type="character" w:customStyle="1" w:styleId="afff9">
    <w:name w:val="正文文本首行缩进 字符"/>
    <w:link w:val="afff8"/>
    <w:uiPriority w:val="99"/>
    <w:semiHidden/>
    <w:rsid w:val="002B4EAA"/>
    <w:rPr>
      <w:rFonts w:ascii="Times New Roman" w:hAnsi="Times New Roman"/>
      <w:kern w:val="2"/>
      <w:sz w:val="22"/>
      <w:szCs w:val="24"/>
    </w:rPr>
  </w:style>
  <w:style w:type="paragraph" w:styleId="2d">
    <w:name w:val="Body Text First Indent 2"/>
    <w:basedOn w:val="afff5"/>
    <w:link w:val="2e"/>
    <w:uiPriority w:val="99"/>
    <w:semiHidden/>
    <w:qFormat/>
    <w:rsid w:val="002B4EAA"/>
    <w:pPr>
      <w:ind w:leftChars="0" w:left="0" w:firstLine="210"/>
    </w:pPr>
    <w:rPr>
      <w:sz w:val="22"/>
    </w:rPr>
  </w:style>
  <w:style w:type="character" w:customStyle="1" w:styleId="2e">
    <w:name w:val="正文文本首行缩进 2 字符"/>
    <w:link w:val="2d"/>
    <w:uiPriority w:val="99"/>
    <w:semiHidden/>
    <w:rsid w:val="002B4EAA"/>
    <w:rPr>
      <w:rFonts w:ascii="Times New Roman" w:hAnsi="Times New Roman"/>
      <w:kern w:val="2"/>
      <w:sz w:val="22"/>
      <w:szCs w:val="24"/>
    </w:rPr>
  </w:style>
  <w:style w:type="table" w:customStyle="1" w:styleId="171">
    <w:name w:val="网格型17"/>
    <w:basedOn w:val="a3"/>
    <w:next w:val="afb"/>
    <w:uiPriority w:val="39"/>
    <w:qFormat/>
    <w:rsid w:val="002B4EAA"/>
    <w:rPr>
      <w:rFonts w:ascii="等线" w:eastAsia="等线" w:hAnsi="等线"/>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标题 6 字符1"/>
    <w:qFormat/>
    <w:rsid w:val="002B4EAA"/>
    <w:rPr>
      <w:rFonts w:ascii="等线 Light" w:eastAsia="等线 Light" w:hAnsi="等线 Light" w:cs="Times New Roman"/>
      <w:b/>
      <w:bCs/>
      <w:sz w:val="24"/>
      <w:szCs w:val="24"/>
    </w:rPr>
  </w:style>
  <w:style w:type="character" w:customStyle="1" w:styleId="711">
    <w:name w:val="标题 7 字符1"/>
    <w:uiPriority w:val="99"/>
    <w:qFormat/>
    <w:rsid w:val="002B4EAA"/>
    <w:rPr>
      <w:b/>
      <w:bCs/>
      <w:sz w:val="24"/>
      <w:szCs w:val="24"/>
    </w:rPr>
  </w:style>
  <w:style w:type="character" w:customStyle="1" w:styleId="810">
    <w:name w:val="标题 8 字符1"/>
    <w:uiPriority w:val="99"/>
    <w:qFormat/>
    <w:rsid w:val="002B4EAA"/>
    <w:rPr>
      <w:rFonts w:ascii="等线 Light" w:eastAsia="等线 Light" w:hAnsi="等线 Light" w:cs="Times New Roman"/>
      <w:sz w:val="24"/>
      <w:szCs w:val="24"/>
    </w:rPr>
  </w:style>
  <w:style w:type="character" w:customStyle="1" w:styleId="910">
    <w:name w:val="标题 9 字符1"/>
    <w:uiPriority w:val="99"/>
    <w:qFormat/>
    <w:rsid w:val="002B4EAA"/>
    <w:rPr>
      <w:rFonts w:ascii="等线 Light" w:eastAsia="等线 Light" w:hAnsi="等线 Light" w:cs="Times New Roman"/>
      <w:szCs w:val="21"/>
    </w:rPr>
  </w:style>
  <w:style w:type="paragraph" w:customStyle="1" w:styleId="afffa">
    <w:name w:val="表格样式"/>
    <w:basedOn w:val="a1"/>
    <w:link w:val="afffb"/>
    <w:semiHidden/>
    <w:qFormat/>
    <w:rsid w:val="002B4EAA"/>
    <w:pPr>
      <w:widowControl/>
      <w:spacing w:beforeLines="0" w:before="0" w:afterLines="0" w:after="0" w:line="240" w:lineRule="auto"/>
      <w:ind w:firstLineChars="0" w:firstLine="0"/>
      <w:jc w:val="center"/>
    </w:pPr>
    <w:rPr>
      <w:b/>
      <w:sz w:val="18"/>
      <w:szCs w:val="18"/>
    </w:rPr>
  </w:style>
  <w:style w:type="character" w:customStyle="1" w:styleId="afffb">
    <w:name w:val="表格样式 字符"/>
    <w:link w:val="afffa"/>
    <w:semiHidden/>
    <w:qFormat/>
    <w:rsid w:val="002B4EAA"/>
    <w:rPr>
      <w:rFonts w:ascii="Times New Roman" w:hAnsi="Times New Roman"/>
      <w:b/>
      <w:kern w:val="2"/>
      <w:sz w:val="18"/>
      <w:szCs w:val="18"/>
    </w:rPr>
  </w:style>
  <w:style w:type="paragraph" w:customStyle="1" w:styleId="DefaultParagraphCharCharCharChar">
    <w:name w:val="Default Paragraph Char Char Char Char"/>
    <w:basedOn w:val="a1"/>
    <w:next w:val="a1"/>
    <w:uiPriority w:val="99"/>
    <w:semiHidden/>
    <w:qFormat/>
    <w:rsid w:val="002B4EAA"/>
    <w:pPr>
      <w:widowControl/>
      <w:spacing w:beforeLines="0" w:before="0" w:afterLines="0" w:after="0"/>
      <w:ind w:firstLineChars="0" w:firstLine="0"/>
      <w:jc w:val="left"/>
    </w:pPr>
    <w:rPr>
      <w:kern w:val="0"/>
      <w:sz w:val="21"/>
      <w:szCs w:val="20"/>
      <w:lang w:eastAsia="en-US"/>
    </w:rPr>
  </w:style>
  <w:style w:type="character" w:customStyle="1" w:styleId="26">
    <w:name w:val="正文2 字符"/>
    <w:link w:val="25"/>
    <w:qFormat/>
    <w:rsid w:val="002B4EAA"/>
    <w:rPr>
      <w:rFonts w:ascii="宋体" w:hAnsi="宋体" w:cs="宋体"/>
      <w:sz w:val="24"/>
    </w:rPr>
  </w:style>
  <w:style w:type="character" w:customStyle="1" w:styleId="aff3">
    <w:name w:val="列表段落 字符"/>
    <w:aliases w:val="列出段落 字符"/>
    <w:link w:val="aff2"/>
    <w:uiPriority w:val="34"/>
    <w:qFormat/>
    <w:rsid w:val="002B4EAA"/>
    <w:rPr>
      <w:kern w:val="2"/>
      <w:sz w:val="21"/>
      <w:szCs w:val="22"/>
    </w:rPr>
  </w:style>
  <w:style w:type="character" w:customStyle="1" w:styleId="3b">
    <w:name w:val="3级标题 字符"/>
    <w:link w:val="3c"/>
    <w:semiHidden/>
    <w:locked/>
    <w:rsid w:val="002B4EAA"/>
    <w:rPr>
      <w:rFonts w:ascii="黑体" w:eastAsia="黑体" w:hAnsi="黑体" w:cs="Arial"/>
      <w:b/>
      <w:bCs/>
      <w:sz w:val="28"/>
      <w:szCs w:val="28"/>
      <w:lang w:bidi="en-US"/>
    </w:rPr>
  </w:style>
  <w:style w:type="paragraph" w:customStyle="1" w:styleId="3c">
    <w:name w:val="3级标题"/>
    <w:basedOn w:val="a1"/>
    <w:link w:val="3b"/>
    <w:semiHidden/>
    <w:qFormat/>
    <w:rsid w:val="002B4EAA"/>
    <w:pPr>
      <w:keepNext/>
      <w:keepLines/>
      <w:widowControl/>
      <w:spacing w:before="0" w:after="0"/>
      <w:ind w:firstLineChars="0" w:firstLine="0"/>
      <w:jc w:val="left"/>
      <w:outlineLvl w:val="2"/>
    </w:pPr>
    <w:rPr>
      <w:rFonts w:ascii="黑体" w:eastAsia="黑体" w:hAnsi="黑体" w:cs="Arial"/>
      <w:b/>
      <w:bCs/>
      <w:kern w:val="0"/>
      <w:sz w:val="28"/>
      <w:szCs w:val="28"/>
      <w:lang w:bidi="en-US"/>
    </w:rPr>
  </w:style>
  <w:style w:type="paragraph" w:customStyle="1" w:styleId="2f">
    <w:name w:val="2级标题"/>
    <w:basedOn w:val="21"/>
    <w:link w:val="2f0"/>
    <w:semiHidden/>
    <w:qFormat/>
    <w:rsid w:val="002B4EAA"/>
  </w:style>
  <w:style w:type="character" w:customStyle="1" w:styleId="2f0">
    <w:name w:val="2级标题 字符"/>
    <w:link w:val="2f"/>
    <w:semiHidden/>
    <w:rsid w:val="002B4EAA"/>
    <w:rPr>
      <w:rFonts w:ascii="Times New Roman" w:hAnsi="Times New Roman"/>
      <w:b/>
      <w:bCs/>
      <w:kern w:val="2"/>
      <w:sz w:val="24"/>
      <w:szCs w:val="32"/>
    </w:rPr>
  </w:style>
  <w:style w:type="character" w:customStyle="1" w:styleId="117">
    <w:name w:val="标题 1 字符1"/>
    <w:uiPriority w:val="99"/>
    <w:semiHidden/>
    <w:rsid w:val="002B4EAA"/>
    <w:rPr>
      <w:rFonts w:ascii="Cambria" w:eastAsia="宋体" w:hAnsi="Cambria"/>
      <w:b/>
      <w:bCs/>
      <w:kern w:val="32"/>
      <w:sz w:val="32"/>
      <w:szCs w:val="32"/>
      <w:lang w:val="en-US" w:eastAsia="en-US" w:bidi="en-US"/>
    </w:rPr>
  </w:style>
  <w:style w:type="character" w:customStyle="1" w:styleId="218">
    <w:name w:val="标题 2 字符1"/>
    <w:semiHidden/>
    <w:rsid w:val="002B4EAA"/>
    <w:rPr>
      <w:rFonts w:eastAsia="黑体" w:cs="Arial"/>
      <w:b/>
      <w:bCs/>
      <w:iCs/>
      <w:color w:val="000000"/>
      <w:sz w:val="32"/>
      <w:szCs w:val="28"/>
      <w:lang w:val="zh-CN" w:eastAsia="zh-CN" w:bidi="en-US"/>
    </w:rPr>
  </w:style>
  <w:style w:type="character" w:customStyle="1" w:styleId="313">
    <w:name w:val="标题 3 字符1"/>
    <w:semiHidden/>
    <w:rsid w:val="002B4EAA"/>
    <w:rPr>
      <w:rFonts w:ascii="Cambria" w:eastAsia="宋体" w:hAnsi="Cambria"/>
      <w:b/>
      <w:bCs/>
      <w:sz w:val="26"/>
      <w:szCs w:val="26"/>
      <w:lang w:val="en-US" w:eastAsia="en-US" w:bidi="en-US"/>
    </w:rPr>
  </w:style>
  <w:style w:type="character" w:customStyle="1" w:styleId="411">
    <w:name w:val="标题 4 字符1"/>
    <w:semiHidden/>
    <w:rsid w:val="002B4EAA"/>
    <w:rPr>
      <w:rFonts w:eastAsia="宋体"/>
      <w:b/>
      <w:bCs/>
      <w:sz w:val="28"/>
      <w:szCs w:val="28"/>
      <w:lang w:val="en-US" w:eastAsia="en-US" w:bidi="en-US"/>
    </w:rPr>
  </w:style>
  <w:style w:type="character" w:customStyle="1" w:styleId="511">
    <w:name w:val="标题 5 字符1"/>
    <w:semiHidden/>
    <w:rsid w:val="002B4EAA"/>
    <w:rPr>
      <w:rFonts w:eastAsia="宋体"/>
      <w:b/>
      <w:bCs/>
      <w:i/>
      <w:iCs/>
      <w:sz w:val="26"/>
      <w:szCs w:val="26"/>
      <w:lang w:val="en-US" w:eastAsia="en-US" w:bidi="en-US"/>
    </w:rPr>
  </w:style>
  <w:style w:type="character" w:customStyle="1" w:styleId="1b">
    <w:name w:val="1级标题 字符"/>
    <w:link w:val="1c"/>
    <w:semiHidden/>
    <w:locked/>
    <w:rsid w:val="002B4EAA"/>
    <w:rPr>
      <w:rFonts w:eastAsia="黑体" w:cs="Arial"/>
      <w:b/>
      <w:bCs/>
      <w:kern w:val="32"/>
      <w:sz w:val="36"/>
      <w:szCs w:val="36"/>
      <w:lang w:bidi="en-US"/>
    </w:rPr>
  </w:style>
  <w:style w:type="paragraph" w:customStyle="1" w:styleId="1c">
    <w:name w:val="1级标题"/>
    <w:basedOn w:val="1"/>
    <w:link w:val="1b"/>
    <w:semiHidden/>
    <w:qFormat/>
    <w:rsid w:val="002B4EAA"/>
    <w:rPr>
      <w:rFonts w:ascii="Calibri" w:hAnsi="Calibri" w:cs="Arial"/>
      <w:b/>
      <w:kern w:val="32"/>
      <w:sz w:val="36"/>
      <w:szCs w:val="36"/>
      <w:lang w:bidi="en-US"/>
    </w:rPr>
  </w:style>
  <w:style w:type="character" w:customStyle="1" w:styleId="afffc">
    <w:name w:val="正文标题 字符"/>
    <w:link w:val="afffd"/>
    <w:semiHidden/>
    <w:locked/>
    <w:rsid w:val="002B4EAA"/>
    <w:rPr>
      <w:b/>
      <w:szCs w:val="24"/>
    </w:rPr>
  </w:style>
  <w:style w:type="paragraph" w:customStyle="1" w:styleId="afffd">
    <w:name w:val="正文标题"/>
    <w:basedOn w:val="a1"/>
    <w:link w:val="afffc"/>
    <w:semiHidden/>
    <w:qFormat/>
    <w:rsid w:val="002B4EAA"/>
    <w:pPr>
      <w:spacing w:before="0" w:after="0"/>
    </w:pPr>
    <w:rPr>
      <w:rFonts w:ascii="Calibri" w:hAnsi="Calibri"/>
      <w:b/>
      <w:kern w:val="0"/>
      <w:sz w:val="20"/>
      <w:szCs w:val="24"/>
    </w:rPr>
  </w:style>
  <w:style w:type="character" w:customStyle="1" w:styleId="SY">
    <w:name w:val="SY正文 字符"/>
    <w:link w:val="SY0"/>
    <w:semiHidden/>
    <w:qFormat/>
    <w:locked/>
    <w:rsid w:val="002B4EAA"/>
    <w:rPr>
      <w:szCs w:val="24"/>
    </w:rPr>
  </w:style>
  <w:style w:type="paragraph" w:customStyle="1" w:styleId="SY0">
    <w:name w:val="SY正文"/>
    <w:basedOn w:val="a1"/>
    <w:link w:val="SY"/>
    <w:semiHidden/>
    <w:qFormat/>
    <w:rsid w:val="002B4EAA"/>
    <w:pPr>
      <w:spacing w:before="0" w:after="0"/>
      <w:ind w:firstLineChars="0" w:firstLine="482"/>
    </w:pPr>
    <w:rPr>
      <w:rFonts w:ascii="Calibri" w:hAnsi="Calibri"/>
      <w:kern w:val="0"/>
      <w:sz w:val="20"/>
      <w:szCs w:val="24"/>
    </w:rPr>
  </w:style>
  <w:style w:type="paragraph" w:customStyle="1" w:styleId="46">
    <w:name w:val="4级标题"/>
    <w:basedOn w:val="41"/>
    <w:next w:val="SY0"/>
    <w:link w:val="47"/>
    <w:semiHidden/>
    <w:qFormat/>
    <w:rsid w:val="002B4EAA"/>
  </w:style>
  <w:style w:type="character" w:customStyle="1" w:styleId="47">
    <w:name w:val="4级标题 字符"/>
    <w:link w:val="46"/>
    <w:semiHidden/>
    <w:rsid w:val="002B4EAA"/>
    <w:rPr>
      <w:rFonts w:ascii="Calibri Light" w:hAnsi="Calibri Light"/>
      <w:b/>
      <w:bCs/>
      <w:kern w:val="2"/>
      <w:sz w:val="28"/>
      <w:szCs w:val="28"/>
    </w:rPr>
  </w:style>
  <w:style w:type="paragraph" w:customStyle="1" w:styleId="z-1">
    <w:name w:val="z-窗体顶端1"/>
    <w:basedOn w:val="a1"/>
    <w:next w:val="a1"/>
    <w:link w:val="z-10"/>
    <w:semiHidden/>
    <w:qFormat/>
    <w:rsid w:val="002B4EAA"/>
    <w:pPr>
      <w:widowControl/>
      <w:pBdr>
        <w:bottom w:val="single" w:sz="6" w:space="1" w:color="auto"/>
      </w:pBdr>
      <w:tabs>
        <w:tab w:val="left" w:pos="987"/>
      </w:tabs>
      <w:spacing w:beforeLines="0" w:before="0" w:afterLines="0" w:after="0" w:line="240" w:lineRule="auto"/>
      <w:ind w:firstLineChars="0" w:firstLine="0"/>
      <w:jc w:val="center"/>
    </w:pPr>
    <w:rPr>
      <w:rFonts w:ascii="Arial" w:hAnsi="Arial"/>
      <w:vanish/>
      <w:kern w:val="0"/>
      <w:sz w:val="16"/>
      <w:szCs w:val="16"/>
      <w:lang w:val="zh-CN"/>
    </w:rPr>
  </w:style>
  <w:style w:type="character" w:customStyle="1" w:styleId="z-10">
    <w:name w:val="z-窗体顶端 字符1"/>
    <w:link w:val="z-1"/>
    <w:semiHidden/>
    <w:rsid w:val="002B4EAA"/>
    <w:rPr>
      <w:rFonts w:ascii="Arial" w:hAnsi="Arial"/>
      <w:vanish/>
      <w:sz w:val="16"/>
      <w:szCs w:val="16"/>
      <w:lang w:val="zh-CN"/>
    </w:rPr>
  </w:style>
  <w:style w:type="character" w:customStyle="1" w:styleId="z-">
    <w:name w:val="z-窗体顶端 字符"/>
    <w:semiHidden/>
    <w:rsid w:val="002B4EAA"/>
    <w:rPr>
      <w:rFonts w:ascii="Arial" w:hAnsi="Arial" w:cs="Arial"/>
      <w:vanish/>
      <w:sz w:val="16"/>
      <w:szCs w:val="16"/>
    </w:rPr>
  </w:style>
  <w:style w:type="paragraph" w:customStyle="1" w:styleId="z-11">
    <w:name w:val="z-窗体底端1"/>
    <w:basedOn w:val="a1"/>
    <w:next w:val="a1"/>
    <w:link w:val="z-12"/>
    <w:semiHidden/>
    <w:qFormat/>
    <w:rsid w:val="002B4EAA"/>
    <w:pPr>
      <w:widowControl/>
      <w:pBdr>
        <w:top w:val="single" w:sz="6" w:space="1" w:color="auto"/>
      </w:pBdr>
      <w:spacing w:beforeLines="0" w:before="0" w:afterLines="0" w:after="0" w:line="240" w:lineRule="auto"/>
      <w:ind w:firstLineChars="0" w:firstLine="0"/>
      <w:jc w:val="center"/>
    </w:pPr>
    <w:rPr>
      <w:rFonts w:ascii="Arial" w:hAnsi="Arial"/>
      <w:vanish/>
      <w:kern w:val="0"/>
      <w:sz w:val="16"/>
      <w:szCs w:val="16"/>
      <w:lang w:val="zh-CN"/>
    </w:rPr>
  </w:style>
  <w:style w:type="character" w:customStyle="1" w:styleId="z-12">
    <w:name w:val="z-窗体底端 字符1"/>
    <w:link w:val="z-11"/>
    <w:semiHidden/>
    <w:rsid w:val="002B4EAA"/>
    <w:rPr>
      <w:rFonts w:ascii="Arial" w:hAnsi="Arial"/>
      <w:vanish/>
      <w:sz w:val="16"/>
      <w:szCs w:val="16"/>
      <w:lang w:val="zh-CN"/>
    </w:rPr>
  </w:style>
  <w:style w:type="character" w:customStyle="1" w:styleId="z-0">
    <w:name w:val="z-窗体底端 字符"/>
    <w:semiHidden/>
    <w:rsid w:val="002B4EAA"/>
    <w:rPr>
      <w:rFonts w:ascii="Arial" w:hAnsi="Arial" w:cs="Arial"/>
      <w:vanish/>
      <w:sz w:val="16"/>
      <w:szCs w:val="16"/>
    </w:rPr>
  </w:style>
  <w:style w:type="paragraph" w:customStyle="1" w:styleId="-14">
    <w:name w:val="彩色底纹 - 强调文字颜色 14"/>
    <w:hidden/>
    <w:uiPriority w:val="99"/>
    <w:semiHidden/>
    <w:qFormat/>
    <w:rsid w:val="002B4EAA"/>
    <w:rPr>
      <w:rFonts w:ascii="Times New Roman" w:hAnsi="Times New Roman"/>
      <w:kern w:val="2"/>
      <w:sz w:val="21"/>
      <w:szCs w:val="24"/>
    </w:rPr>
  </w:style>
  <w:style w:type="paragraph" w:customStyle="1" w:styleId="-112">
    <w:name w:val="彩色底纹 - 强调文字颜色 11"/>
    <w:hidden/>
    <w:uiPriority w:val="99"/>
    <w:semiHidden/>
    <w:qFormat/>
    <w:rsid w:val="002B4EAA"/>
    <w:rPr>
      <w:rFonts w:ascii="Times New Roman" w:hAnsi="Times New Roman"/>
      <w:kern w:val="2"/>
      <w:sz w:val="21"/>
      <w:szCs w:val="24"/>
    </w:rPr>
  </w:style>
  <w:style w:type="paragraph" w:customStyle="1" w:styleId="-32">
    <w:name w:val="浅色列表 - 强调文字颜色 32"/>
    <w:hidden/>
    <w:uiPriority w:val="99"/>
    <w:semiHidden/>
    <w:qFormat/>
    <w:rsid w:val="002B4EAA"/>
    <w:rPr>
      <w:rFonts w:ascii="Times New Roman" w:hAnsi="Times New Roman"/>
      <w:sz w:val="24"/>
      <w:szCs w:val="24"/>
      <w:lang w:eastAsia="en-US" w:bidi="en-US"/>
    </w:rPr>
  </w:style>
  <w:style w:type="paragraph" w:customStyle="1" w:styleId="76">
    <w:name w:val="7"/>
    <w:uiPriority w:val="99"/>
    <w:semiHidden/>
    <w:qFormat/>
    <w:rsid w:val="002B4EAA"/>
    <w:rPr>
      <w:rFonts w:ascii="Times New Roman" w:hAnsi="Times New Roman"/>
      <w:sz w:val="24"/>
      <w:szCs w:val="24"/>
      <w:lang w:eastAsia="en-US" w:bidi="en-US"/>
    </w:rPr>
  </w:style>
  <w:style w:type="paragraph" w:customStyle="1" w:styleId="-120">
    <w:name w:val="彩色底纹 - 强调文字颜色 12"/>
    <w:hidden/>
    <w:uiPriority w:val="99"/>
    <w:semiHidden/>
    <w:qFormat/>
    <w:rsid w:val="002B4EAA"/>
    <w:rPr>
      <w:rFonts w:ascii="Times New Roman" w:hAnsi="Times New Roman"/>
      <w:kern w:val="2"/>
      <w:sz w:val="21"/>
      <w:szCs w:val="24"/>
    </w:rPr>
  </w:style>
  <w:style w:type="paragraph" w:customStyle="1" w:styleId="-13">
    <w:name w:val="彩色底纹 - 强调文字颜色 13"/>
    <w:hidden/>
    <w:uiPriority w:val="99"/>
    <w:semiHidden/>
    <w:qFormat/>
    <w:rsid w:val="002B4EAA"/>
    <w:rPr>
      <w:rFonts w:ascii="Times New Roman" w:hAnsi="Times New Roman"/>
      <w:kern w:val="2"/>
      <w:sz w:val="21"/>
      <w:szCs w:val="24"/>
    </w:rPr>
  </w:style>
  <w:style w:type="paragraph" w:customStyle="1" w:styleId="-16">
    <w:name w:val="彩色底纹 - 强调文字颜色 16"/>
    <w:hidden/>
    <w:uiPriority w:val="62"/>
    <w:unhideWhenUsed/>
    <w:qFormat/>
    <w:rsid w:val="002B4EAA"/>
    <w:rPr>
      <w:rFonts w:ascii="Times New Roman" w:hAnsi="Times New Roman"/>
      <w:sz w:val="24"/>
      <w:szCs w:val="24"/>
      <w:lang w:eastAsia="en-US" w:bidi="en-US"/>
    </w:rPr>
  </w:style>
  <w:style w:type="paragraph" w:customStyle="1" w:styleId="1d">
    <w:name w:val="修订1"/>
    <w:hidden/>
    <w:uiPriority w:val="99"/>
    <w:unhideWhenUsed/>
    <w:qFormat/>
    <w:rsid w:val="002B4EAA"/>
    <w:rPr>
      <w:rFonts w:ascii="Times New Roman" w:hAnsi="Times New Roman"/>
      <w:sz w:val="24"/>
      <w:szCs w:val="24"/>
      <w:lang w:eastAsia="en-US" w:bidi="en-US"/>
    </w:rPr>
  </w:style>
  <w:style w:type="paragraph" w:customStyle="1" w:styleId="1e">
    <w:name w:val="1"/>
    <w:basedOn w:val="a1"/>
    <w:next w:val="a1"/>
    <w:uiPriority w:val="34"/>
    <w:semiHidden/>
    <w:qFormat/>
    <w:rsid w:val="002B4EAA"/>
    <w:pPr>
      <w:widowControl/>
      <w:spacing w:beforeLines="0" w:before="0" w:afterLines="0" w:after="0" w:line="240" w:lineRule="auto"/>
      <w:ind w:firstLine="420"/>
      <w:jc w:val="left"/>
    </w:pPr>
    <w:rPr>
      <w:kern w:val="0"/>
      <w:sz w:val="20"/>
      <w:szCs w:val="20"/>
    </w:rPr>
  </w:style>
  <w:style w:type="paragraph" w:customStyle="1" w:styleId="-311">
    <w:name w:val="浅色列表 - 强调文字颜色 31"/>
    <w:hidden/>
    <w:uiPriority w:val="99"/>
    <w:semiHidden/>
    <w:qFormat/>
    <w:rsid w:val="002B4EAA"/>
    <w:rPr>
      <w:rFonts w:ascii="Times New Roman" w:hAnsi="Times New Roman"/>
      <w:sz w:val="24"/>
      <w:szCs w:val="24"/>
      <w:lang w:eastAsia="en-US" w:bidi="en-US"/>
    </w:rPr>
  </w:style>
  <w:style w:type="paragraph" w:customStyle="1" w:styleId="-15">
    <w:name w:val="彩色底纹 - 强调文字颜色 15"/>
    <w:hidden/>
    <w:uiPriority w:val="62"/>
    <w:unhideWhenUsed/>
    <w:qFormat/>
    <w:rsid w:val="002B4EAA"/>
    <w:rPr>
      <w:rFonts w:ascii="Times New Roman" w:hAnsi="Times New Roman"/>
      <w:sz w:val="24"/>
      <w:szCs w:val="24"/>
      <w:lang w:eastAsia="en-US" w:bidi="en-US"/>
    </w:rPr>
  </w:style>
  <w:style w:type="paragraph" w:customStyle="1" w:styleId="-17">
    <w:name w:val="彩色底纹 - 强调文字颜色 17"/>
    <w:hidden/>
    <w:uiPriority w:val="99"/>
    <w:semiHidden/>
    <w:qFormat/>
    <w:rsid w:val="002B4EAA"/>
    <w:rPr>
      <w:rFonts w:ascii="Times New Roman" w:hAnsi="Times New Roman"/>
      <w:sz w:val="24"/>
      <w:szCs w:val="24"/>
      <w:lang w:eastAsia="en-US" w:bidi="en-US"/>
    </w:rPr>
  </w:style>
  <w:style w:type="character" w:customStyle="1" w:styleId="Chare">
    <w:name w:val="报告正文 Char"/>
    <w:link w:val="afffe"/>
    <w:semiHidden/>
    <w:qFormat/>
    <w:locked/>
    <w:rsid w:val="002B4EAA"/>
  </w:style>
  <w:style w:type="paragraph" w:customStyle="1" w:styleId="afffe">
    <w:name w:val="报告正文"/>
    <w:basedOn w:val="a1"/>
    <w:link w:val="Chare"/>
    <w:semiHidden/>
    <w:qFormat/>
    <w:rsid w:val="002B4EAA"/>
    <w:pPr>
      <w:spacing w:beforeLines="0" w:before="0" w:after="0"/>
      <w:ind w:firstLine="480"/>
      <w:jc w:val="left"/>
    </w:pPr>
    <w:rPr>
      <w:rFonts w:ascii="Calibri" w:hAnsi="Calibri"/>
      <w:kern w:val="0"/>
      <w:sz w:val="20"/>
      <w:szCs w:val="20"/>
    </w:rPr>
  </w:style>
  <w:style w:type="character" w:customStyle="1" w:styleId="Charf">
    <w:name w:val="招股书正文 Char"/>
    <w:link w:val="affff"/>
    <w:semiHidden/>
    <w:locked/>
    <w:rsid w:val="002B4EAA"/>
    <w:rPr>
      <w:szCs w:val="24"/>
      <w:lang w:eastAsia="en-US" w:bidi="en-US"/>
    </w:rPr>
  </w:style>
  <w:style w:type="paragraph" w:customStyle="1" w:styleId="affff">
    <w:name w:val="招股书正文"/>
    <w:basedOn w:val="a1"/>
    <w:link w:val="Charf"/>
    <w:semiHidden/>
    <w:qFormat/>
    <w:rsid w:val="002B4EAA"/>
    <w:pPr>
      <w:snapToGrid w:val="0"/>
      <w:spacing w:before="0" w:after="0"/>
    </w:pPr>
    <w:rPr>
      <w:rFonts w:ascii="Calibri" w:hAnsi="Calibri"/>
      <w:kern w:val="0"/>
      <w:sz w:val="20"/>
      <w:szCs w:val="24"/>
      <w:lang w:eastAsia="en-US" w:bidi="en-US"/>
    </w:rPr>
  </w:style>
  <w:style w:type="table" w:customStyle="1" w:styleId="NOUYABEST">
    <w:name w:val="NOUYA BEST"/>
    <w:basedOn w:val="a3"/>
    <w:uiPriority w:val="99"/>
    <w:semiHidden/>
    <w:rsid w:val="002B4EAA"/>
    <w:rPr>
      <w:rFonts w:ascii="等线" w:eastAsia="等线" w:hAnsi="等线"/>
      <w:sz w:val="21"/>
    </w:rPr>
    <w:tblPr>
      <w:tblBorders>
        <w:top w:val="thinThickSmallGap" w:sz="18" w:space="0" w:color="auto"/>
        <w:bottom w:val="thickThinSmallGap" w:sz="18" w:space="0" w:color="auto"/>
        <w:insideH w:val="single" w:sz="2" w:space="0" w:color="auto"/>
        <w:insideV w:val="single" w:sz="2" w:space="0" w:color="auto"/>
      </w:tblBorders>
    </w:tblPr>
    <w:tblStylePr w:type="firstRow">
      <w:tblPr/>
      <w:tcPr>
        <w:tcBorders>
          <w:top w:val="thinThickSmallGap" w:sz="24" w:space="0" w:color="auto"/>
        </w:tcBorders>
      </w:tcPr>
    </w:tblStylePr>
    <w:tblStylePr w:type="lastRow">
      <w:tblPr/>
      <w:tcPr>
        <w:tcBorders>
          <w:bottom w:val="thickThinSmallGap" w:sz="24" w:space="0" w:color="auto"/>
        </w:tcBorders>
      </w:tcPr>
    </w:tblStylePr>
  </w:style>
  <w:style w:type="paragraph" w:customStyle="1" w:styleId="NY">
    <w:name w:val="NY 正文"/>
    <w:uiPriority w:val="99"/>
    <w:semiHidden/>
    <w:qFormat/>
    <w:rsid w:val="002B4EAA"/>
    <w:pPr>
      <w:spacing w:beforeLines="50" w:afterLines="50" w:line="360" w:lineRule="auto"/>
      <w:ind w:firstLineChars="200" w:firstLine="200"/>
      <w:jc w:val="both"/>
    </w:pPr>
    <w:rPr>
      <w:rFonts w:ascii="Times New Roman" w:hAnsi="Times New Roman"/>
      <w:color w:val="000000"/>
      <w:kern w:val="2"/>
      <w:sz w:val="24"/>
      <w:szCs w:val="24"/>
    </w:rPr>
  </w:style>
  <w:style w:type="paragraph" w:customStyle="1" w:styleId="NY0">
    <w:name w:val="NY 表格字体 小五"/>
    <w:next w:val="a1"/>
    <w:uiPriority w:val="99"/>
    <w:semiHidden/>
    <w:qFormat/>
    <w:rsid w:val="002B4EAA"/>
    <w:rPr>
      <w:rFonts w:ascii="Times New Roman" w:hAnsi="Times New Roman"/>
      <w:color w:val="000000"/>
      <w:kern w:val="2"/>
      <w:sz w:val="18"/>
      <w:szCs w:val="21"/>
    </w:rPr>
  </w:style>
  <w:style w:type="paragraph" w:customStyle="1" w:styleId="NY1">
    <w:name w:val="NY 表格单位"/>
    <w:next w:val="a1"/>
    <w:uiPriority w:val="99"/>
    <w:semiHidden/>
    <w:qFormat/>
    <w:rsid w:val="002B4EAA"/>
    <w:pPr>
      <w:jc w:val="right"/>
    </w:pPr>
    <w:rPr>
      <w:rFonts w:ascii="Times New Roman" w:hAnsi="Times New Roman"/>
      <w:color w:val="000000"/>
      <w:kern w:val="2"/>
      <w:sz w:val="18"/>
      <w:szCs w:val="24"/>
    </w:rPr>
  </w:style>
  <w:style w:type="character" w:customStyle="1" w:styleId="217">
    <w:name w:val="正文文本缩进 2 字符1"/>
    <w:link w:val="2b"/>
    <w:uiPriority w:val="99"/>
    <w:semiHidden/>
    <w:rsid w:val="002B4EAA"/>
    <w:rPr>
      <w:rFonts w:ascii="Times New Roman" w:hAnsi="Times New Roman"/>
      <w:sz w:val="24"/>
      <w:szCs w:val="24"/>
      <w:lang w:eastAsia="en-US" w:bidi="en-US"/>
    </w:rPr>
  </w:style>
  <w:style w:type="character" w:customStyle="1" w:styleId="1f">
    <w:name w:val="文档结构图 字符1"/>
    <w:uiPriority w:val="99"/>
    <w:semiHidden/>
    <w:rsid w:val="002B4EAA"/>
    <w:rPr>
      <w:rFonts w:ascii="Times New Roman" w:eastAsia="宋体" w:hAnsi="Times New Roman" w:cs="Times New Roman"/>
      <w:kern w:val="0"/>
      <w:sz w:val="18"/>
      <w:szCs w:val="24"/>
      <w:shd w:val="clear" w:color="auto" w:fill="000080"/>
      <w:lang w:val="zh-CN" w:eastAsia="en-US" w:bidi="en-US"/>
    </w:rPr>
  </w:style>
  <w:style w:type="paragraph" w:customStyle="1" w:styleId="NY2">
    <w:name w:val="NY 表格注释"/>
    <w:next w:val="a1"/>
    <w:uiPriority w:val="99"/>
    <w:semiHidden/>
    <w:qFormat/>
    <w:rsid w:val="002B4EAA"/>
    <w:pPr>
      <w:jc w:val="both"/>
    </w:pPr>
    <w:rPr>
      <w:rFonts w:ascii="Times New Roman" w:hAnsi="Times New Roman"/>
      <w:kern w:val="2"/>
      <w:sz w:val="18"/>
      <w:szCs w:val="21"/>
    </w:rPr>
  </w:style>
  <w:style w:type="paragraph" w:customStyle="1" w:styleId="NY123">
    <w:name w:val="NY 四级提纲 123"/>
    <w:next w:val="NY"/>
    <w:uiPriority w:val="99"/>
    <w:semiHidden/>
    <w:qFormat/>
    <w:rsid w:val="002B4EAA"/>
    <w:pPr>
      <w:spacing w:beforeLines="100" w:afterLines="100"/>
      <w:ind w:firstLineChars="200" w:firstLine="200"/>
    </w:pPr>
    <w:rPr>
      <w:rFonts w:ascii="Times New Roman" w:hAnsi="Times New Roman"/>
      <w:b/>
      <w:kern w:val="2"/>
      <w:sz w:val="24"/>
      <w:szCs w:val="21"/>
    </w:rPr>
  </w:style>
  <w:style w:type="character" w:customStyle="1" w:styleId="1f0">
    <w:name w:val="脚注文本 字符1"/>
    <w:uiPriority w:val="99"/>
    <w:semiHidden/>
    <w:rsid w:val="002B4EAA"/>
    <w:rPr>
      <w:rFonts w:ascii="Times New Roman" w:eastAsia="宋体" w:hAnsi="Times New Roman" w:cs="Times New Roman"/>
      <w:sz w:val="18"/>
      <w:szCs w:val="18"/>
      <w:lang w:val="zh-CN"/>
    </w:rPr>
  </w:style>
  <w:style w:type="paragraph" w:customStyle="1" w:styleId="NY3">
    <w:name w:val="NY 二级大纲 一二三"/>
    <w:next w:val="a1"/>
    <w:uiPriority w:val="99"/>
    <w:semiHidden/>
    <w:qFormat/>
    <w:rsid w:val="002B4EAA"/>
    <w:pPr>
      <w:spacing w:beforeLines="100" w:afterLines="100"/>
      <w:jc w:val="both"/>
      <w:outlineLvl w:val="1"/>
    </w:pPr>
    <w:rPr>
      <w:rFonts w:ascii="Times New Roman" w:eastAsia="黑体" w:hAnsi="Times New Roman"/>
      <w:b/>
      <w:color w:val="000000"/>
      <w:kern w:val="2"/>
      <w:sz w:val="30"/>
      <w:szCs w:val="24"/>
    </w:rPr>
  </w:style>
  <w:style w:type="paragraph" w:customStyle="1" w:styleId="affff0">
    <w:name w:val="表格第一行"/>
    <w:basedOn w:val="a1"/>
    <w:link w:val="affff1"/>
    <w:semiHidden/>
    <w:qFormat/>
    <w:rsid w:val="002B4EAA"/>
    <w:pPr>
      <w:spacing w:beforeLines="0" w:before="0" w:afterLines="0" w:after="0"/>
      <w:ind w:firstLineChars="0" w:firstLine="0"/>
      <w:jc w:val="center"/>
    </w:pPr>
    <w:rPr>
      <w:rFonts w:ascii="宋体" w:hAnsi="宋体"/>
      <w:b/>
      <w:sz w:val="21"/>
      <w:lang w:val="zh-CN"/>
    </w:rPr>
  </w:style>
  <w:style w:type="character" w:customStyle="1" w:styleId="affff1">
    <w:name w:val="表格第一行字符"/>
    <w:link w:val="affff0"/>
    <w:semiHidden/>
    <w:rsid w:val="002B4EAA"/>
    <w:rPr>
      <w:rFonts w:ascii="宋体" w:hAnsi="宋体"/>
      <w:b/>
      <w:kern w:val="2"/>
      <w:sz w:val="21"/>
      <w:szCs w:val="22"/>
      <w:lang w:val="zh-CN"/>
    </w:rPr>
  </w:style>
  <w:style w:type="paragraph" w:customStyle="1" w:styleId="affff2">
    <w:name w:val="表格 居中文字"/>
    <w:basedOn w:val="a1"/>
    <w:uiPriority w:val="99"/>
    <w:semiHidden/>
    <w:qFormat/>
    <w:rsid w:val="002B4EAA"/>
    <w:pPr>
      <w:spacing w:beforeLines="0" w:before="0" w:afterLines="0" w:after="0"/>
      <w:ind w:firstLineChars="0" w:firstLine="0"/>
      <w:jc w:val="center"/>
    </w:pPr>
    <w:rPr>
      <w:rFonts w:ascii="宋体" w:hAnsi="宋体"/>
      <w:sz w:val="21"/>
    </w:rPr>
  </w:style>
  <w:style w:type="paragraph" w:customStyle="1" w:styleId="NY4">
    <w:name w:val="NY 三级大纲 (一)(二)(三)"/>
    <w:next w:val="a1"/>
    <w:uiPriority w:val="99"/>
    <w:semiHidden/>
    <w:qFormat/>
    <w:rsid w:val="002B4EAA"/>
    <w:pPr>
      <w:spacing w:beforeLines="100" w:afterLines="100"/>
      <w:jc w:val="both"/>
      <w:outlineLvl w:val="2"/>
    </w:pPr>
    <w:rPr>
      <w:rFonts w:ascii="Times New Roman" w:eastAsia="黑体" w:hAnsi="Times New Roman"/>
      <w:b/>
      <w:color w:val="000000"/>
      <w:kern w:val="2"/>
      <w:sz w:val="28"/>
      <w:szCs w:val="24"/>
    </w:rPr>
  </w:style>
  <w:style w:type="character" w:customStyle="1" w:styleId="1f1">
    <w:name w:val="未处理的提及1"/>
    <w:uiPriority w:val="99"/>
    <w:semiHidden/>
    <w:unhideWhenUsed/>
    <w:rsid w:val="002B4EAA"/>
    <w:rPr>
      <w:color w:val="605E5C"/>
      <w:shd w:val="clear" w:color="auto" w:fill="E1DFDD"/>
    </w:rPr>
  </w:style>
  <w:style w:type="table" w:customStyle="1" w:styleId="180">
    <w:name w:val="网格型18"/>
    <w:basedOn w:val="a3"/>
    <w:uiPriority w:val="59"/>
    <w:semiHidden/>
    <w:rsid w:val="002B4EA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
    <w:name w:val="txt1"/>
    <w:semiHidden/>
    <w:rsid w:val="002B4EAA"/>
    <w:rPr>
      <w:rFonts w:ascii="ˎ̥" w:hAnsi="ˎ̥" w:hint="default"/>
      <w:color w:val="000000"/>
      <w:sz w:val="18"/>
      <w:szCs w:val="18"/>
      <w:u w:val="none"/>
    </w:rPr>
  </w:style>
  <w:style w:type="paragraph" w:customStyle="1" w:styleId="affff3">
    <w:name w:val="宋体加粗"/>
    <w:next w:val="NY"/>
    <w:uiPriority w:val="99"/>
    <w:semiHidden/>
    <w:qFormat/>
    <w:rsid w:val="002B4EAA"/>
    <w:pPr>
      <w:spacing w:beforeLines="100" w:afterLines="100"/>
      <w:ind w:firstLineChars="200" w:firstLine="200"/>
    </w:pPr>
    <w:rPr>
      <w:rFonts w:ascii="Times New Roman" w:hAnsi="Times New Roman"/>
      <w:b/>
      <w:kern w:val="2"/>
      <w:sz w:val="24"/>
      <w:szCs w:val="21"/>
    </w:rPr>
  </w:style>
  <w:style w:type="character" w:customStyle="1" w:styleId="z-Char">
    <w:name w:val="z-窗体顶端 Char"/>
    <w:semiHidden/>
    <w:rsid w:val="002B4EAA"/>
    <w:rPr>
      <w:rFonts w:ascii="Arial" w:hAnsi="Arial"/>
      <w:vanish/>
      <w:kern w:val="0"/>
      <w:sz w:val="16"/>
      <w:szCs w:val="16"/>
      <w:lang w:val="zh-CN" w:eastAsia="zh-CN"/>
    </w:rPr>
  </w:style>
  <w:style w:type="character" w:customStyle="1" w:styleId="z-Char0">
    <w:name w:val="z-窗体底端 Char"/>
    <w:semiHidden/>
    <w:rsid w:val="002B4EAA"/>
    <w:rPr>
      <w:rFonts w:ascii="Arial" w:hAnsi="Arial"/>
      <w:vanish/>
      <w:kern w:val="0"/>
      <w:sz w:val="16"/>
      <w:szCs w:val="16"/>
      <w:lang w:val="zh-CN" w:eastAsia="zh-CN"/>
    </w:rPr>
  </w:style>
  <w:style w:type="character" w:customStyle="1" w:styleId="2Char0">
    <w:name w:val="正文文本缩进 2 Char"/>
    <w:semiHidden/>
    <w:rsid w:val="002B4EAA"/>
    <w:rPr>
      <w:kern w:val="0"/>
      <w:szCs w:val="24"/>
      <w:lang w:eastAsia="en-US" w:bidi="en-US"/>
    </w:rPr>
  </w:style>
  <w:style w:type="character" w:customStyle="1" w:styleId="Charf0">
    <w:name w:val="列出段落 Char"/>
    <w:uiPriority w:val="34"/>
    <w:semiHidden/>
    <w:rsid w:val="002B4EAA"/>
    <w:rPr>
      <w:rFonts w:ascii="Calibri" w:hAnsi="Calibri"/>
      <w:sz w:val="21"/>
      <w:szCs w:val="22"/>
    </w:rPr>
  </w:style>
  <w:style w:type="character" w:customStyle="1" w:styleId="1110">
    <w:name w:val="未处理的提及111"/>
    <w:uiPriority w:val="99"/>
    <w:semiHidden/>
    <w:unhideWhenUsed/>
    <w:rsid w:val="002B4EAA"/>
    <w:rPr>
      <w:color w:val="605E5C"/>
      <w:shd w:val="clear" w:color="auto" w:fill="E1DFDD"/>
    </w:rPr>
  </w:style>
  <w:style w:type="character" w:customStyle="1" w:styleId="04Char">
    <w:name w:val="04内文 Char"/>
    <w:link w:val="04"/>
    <w:semiHidden/>
    <w:qFormat/>
    <w:rsid w:val="002B4EAA"/>
  </w:style>
  <w:style w:type="paragraph" w:customStyle="1" w:styleId="04">
    <w:name w:val="04内文"/>
    <w:link w:val="04Char"/>
    <w:semiHidden/>
    <w:qFormat/>
    <w:rsid w:val="002B4EAA"/>
    <w:pPr>
      <w:widowControl w:val="0"/>
      <w:spacing w:beforeLines="50" w:afterLines="50" w:line="360" w:lineRule="auto"/>
      <w:ind w:firstLineChars="200" w:firstLine="200"/>
      <w:jc w:val="both"/>
    </w:pPr>
  </w:style>
  <w:style w:type="character" w:customStyle="1" w:styleId="2f1">
    <w:name w:val="未处理的提及2"/>
    <w:uiPriority w:val="99"/>
    <w:semiHidden/>
    <w:unhideWhenUsed/>
    <w:rsid w:val="002B4EAA"/>
    <w:rPr>
      <w:color w:val="605E5C"/>
      <w:shd w:val="clear" w:color="auto" w:fill="E1DFDD"/>
    </w:rPr>
  </w:style>
  <w:style w:type="paragraph" w:customStyle="1" w:styleId="pagenumber">
    <w:name w:val="pagenumber"/>
    <w:basedOn w:val="a1"/>
    <w:uiPriority w:val="99"/>
    <w:semiHidden/>
    <w:qFormat/>
    <w:rsid w:val="002B4EAA"/>
    <w:pPr>
      <w:widowControl/>
      <w:spacing w:beforeLines="0" w:before="0" w:beforeAutospacing="1" w:afterLines="0" w:after="0" w:afterAutospacing="1" w:line="240" w:lineRule="auto"/>
      <w:ind w:firstLineChars="0" w:firstLine="0"/>
      <w:jc w:val="left"/>
    </w:pPr>
    <w:rPr>
      <w:rFonts w:ascii="宋体" w:hAnsi="宋体" w:cs="宋体"/>
      <w:kern w:val="0"/>
      <w:szCs w:val="24"/>
    </w:rPr>
  </w:style>
  <w:style w:type="paragraph" w:customStyle="1" w:styleId="TOC10">
    <w:name w:val="TOC 标题1"/>
    <w:basedOn w:val="1"/>
    <w:next w:val="a1"/>
    <w:uiPriority w:val="39"/>
    <w:semiHidden/>
    <w:unhideWhenUsed/>
    <w:qFormat/>
    <w:rsid w:val="002B4EAA"/>
  </w:style>
  <w:style w:type="character" w:customStyle="1" w:styleId="3d">
    <w:name w:val="未处理的提及3"/>
    <w:uiPriority w:val="99"/>
    <w:semiHidden/>
    <w:unhideWhenUsed/>
    <w:rsid w:val="002B4EAA"/>
    <w:rPr>
      <w:color w:val="605E5C"/>
      <w:shd w:val="clear" w:color="auto" w:fill="E1DFDD"/>
    </w:rPr>
  </w:style>
  <w:style w:type="character" w:customStyle="1" w:styleId="3110">
    <w:name w:val="未处理的提及311"/>
    <w:uiPriority w:val="99"/>
    <w:semiHidden/>
    <w:unhideWhenUsed/>
    <w:rsid w:val="002B4EAA"/>
    <w:rPr>
      <w:color w:val="605E5C"/>
      <w:shd w:val="clear" w:color="auto" w:fill="E1DFDD"/>
    </w:rPr>
  </w:style>
  <w:style w:type="character" w:customStyle="1" w:styleId="118">
    <w:name w:val="未处理的提及11"/>
    <w:uiPriority w:val="99"/>
    <w:semiHidden/>
    <w:unhideWhenUsed/>
    <w:rsid w:val="002B4EAA"/>
    <w:rPr>
      <w:color w:val="605E5C"/>
      <w:shd w:val="clear" w:color="auto" w:fill="E1DFDD"/>
    </w:rPr>
  </w:style>
  <w:style w:type="character" w:customStyle="1" w:styleId="314">
    <w:name w:val="未处理的提及31"/>
    <w:uiPriority w:val="99"/>
    <w:semiHidden/>
    <w:unhideWhenUsed/>
    <w:rsid w:val="002B4EAA"/>
    <w:rPr>
      <w:color w:val="605E5C"/>
      <w:shd w:val="clear" w:color="auto" w:fill="E1DFDD"/>
    </w:rPr>
  </w:style>
  <w:style w:type="character" w:customStyle="1" w:styleId="48">
    <w:name w:val="未处理的提及4"/>
    <w:uiPriority w:val="99"/>
    <w:semiHidden/>
    <w:unhideWhenUsed/>
    <w:rsid w:val="002B4EAA"/>
    <w:rPr>
      <w:color w:val="605E5C"/>
      <w:shd w:val="clear" w:color="auto" w:fill="E1DFDD"/>
    </w:rPr>
  </w:style>
  <w:style w:type="paragraph" w:customStyle="1" w:styleId="CharCharCharCharCharCharCharCharCharCharCharChar">
    <w:name w:val="Char Char Char Char Char Char Char Char Char Char Char Char"/>
    <w:basedOn w:val="ab"/>
    <w:uiPriority w:val="99"/>
    <w:semiHidden/>
    <w:qFormat/>
    <w:rsid w:val="002B4EAA"/>
    <w:pPr>
      <w:shd w:val="clear" w:color="auto" w:fill="000080"/>
      <w:spacing w:before="0" w:afterLines="0" w:after="0" w:line="360" w:lineRule="exact"/>
      <w:ind w:firstLineChars="0" w:firstLine="0"/>
    </w:pPr>
    <w:rPr>
      <w:rFonts w:ascii="Tahoma" w:eastAsia="宋体" w:hAnsi="Tahoma"/>
    </w:rPr>
  </w:style>
  <w:style w:type="character" w:customStyle="1" w:styleId="1f2">
    <w:name w:val="纯文本 字符1"/>
    <w:uiPriority w:val="99"/>
    <w:semiHidden/>
    <w:qFormat/>
    <w:rsid w:val="002B4EAA"/>
    <w:rPr>
      <w:rFonts w:ascii="宋体" w:eastAsia="宋体" w:hAnsi="Courier New" w:cs="Courier New"/>
      <w:szCs w:val="21"/>
    </w:rPr>
  </w:style>
  <w:style w:type="paragraph" w:customStyle="1" w:styleId="affff4">
    <w:name w:val="正文基本格式"/>
    <w:basedOn w:val="a1"/>
    <w:link w:val="Charf1"/>
    <w:semiHidden/>
    <w:qFormat/>
    <w:rsid w:val="002B4EAA"/>
    <w:pPr>
      <w:tabs>
        <w:tab w:val="left" w:pos="900"/>
        <w:tab w:val="left" w:pos="8119"/>
      </w:tabs>
      <w:spacing w:before="156" w:after="0" w:line="360" w:lineRule="exact"/>
      <w:ind w:firstLine="480"/>
    </w:pPr>
    <w:rPr>
      <w:rFonts w:cs="宋体"/>
      <w:szCs w:val="20"/>
    </w:rPr>
  </w:style>
  <w:style w:type="character" w:customStyle="1" w:styleId="Charf1">
    <w:name w:val="正文基本格式 Char"/>
    <w:link w:val="affff4"/>
    <w:semiHidden/>
    <w:qFormat/>
    <w:rsid w:val="002B4EAA"/>
    <w:rPr>
      <w:rFonts w:ascii="Times New Roman" w:hAnsi="Times New Roman" w:cs="宋体"/>
      <w:kern w:val="2"/>
      <w:sz w:val="24"/>
    </w:rPr>
  </w:style>
  <w:style w:type="paragraph" w:customStyle="1" w:styleId="CharCharCharCharCharCharChar">
    <w:name w:val="Char Char Char Char Char Char Char"/>
    <w:basedOn w:val="a1"/>
    <w:uiPriority w:val="99"/>
    <w:semiHidden/>
    <w:qFormat/>
    <w:rsid w:val="002B4EAA"/>
    <w:pPr>
      <w:tabs>
        <w:tab w:val="left" w:pos="360"/>
      </w:tabs>
      <w:spacing w:before="0" w:afterLines="0" w:after="0" w:line="360" w:lineRule="exact"/>
      <w:ind w:left="360" w:firstLineChars="0" w:hanging="360"/>
    </w:pPr>
    <w:rPr>
      <w:szCs w:val="24"/>
    </w:rPr>
  </w:style>
  <w:style w:type="paragraph" w:customStyle="1" w:styleId="CharCharCharCharCharChar1CharCharChar">
    <w:name w:val="Char Char Char Char Char Char1 Char Char Char"/>
    <w:basedOn w:val="a1"/>
    <w:uiPriority w:val="99"/>
    <w:semiHidden/>
    <w:qFormat/>
    <w:rsid w:val="002B4EAA"/>
    <w:pPr>
      <w:autoSpaceDE w:val="0"/>
      <w:autoSpaceDN w:val="0"/>
      <w:adjustRightInd w:val="0"/>
      <w:spacing w:before="0" w:afterLines="0" w:after="0" w:line="360" w:lineRule="exact"/>
      <w:ind w:firstLineChars="0" w:firstLine="0"/>
      <w:jc w:val="left"/>
      <w:textAlignment w:val="baseline"/>
    </w:pPr>
    <w:rPr>
      <w:rFonts w:eastAsia="方正仿宋简体"/>
      <w:sz w:val="32"/>
      <w:szCs w:val="20"/>
    </w:rPr>
  </w:style>
  <w:style w:type="paragraph" w:customStyle="1" w:styleId="ParaCharCharCharCharCharCharChar">
    <w:name w:val="默认段落字体 Para Char Char Char Char Char Char Char"/>
    <w:basedOn w:val="a1"/>
    <w:uiPriority w:val="99"/>
    <w:semiHidden/>
    <w:qFormat/>
    <w:rsid w:val="002B4EAA"/>
    <w:pPr>
      <w:spacing w:before="0" w:afterLines="0" w:after="0" w:line="360" w:lineRule="exact"/>
      <w:ind w:firstLineChars="0" w:firstLine="0"/>
    </w:pPr>
    <w:rPr>
      <w:rFonts w:ascii="Tahoma" w:hAnsi="Tahoma"/>
      <w:szCs w:val="20"/>
    </w:rPr>
  </w:style>
  <w:style w:type="character" w:customStyle="1" w:styleId="BodyTextChar">
    <w:name w:val="Body Text Char"/>
    <w:link w:val="BodyText1"/>
    <w:semiHidden/>
    <w:qFormat/>
    <w:rsid w:val="002B4EAA"/>
    <w:rPr>
      <w:rFonts w:ascii="Georgia"/>
    </w:rPr>
  </w:style>
  <w:style w:type="paragraph" w:customStyle="1" w:styleId="BodyText1">
    <w:name w:val="Body Text1"/>
    <w:basedOn w:val="a1"/>
    <w:link w:val="BodyTextChar"/>
    <w:semiHidden/>
    <w:qFormat/>
    <w:rsid w:val="002B4EAA"/>
    <w:pPr>
      <w:spacing w:before="0" w:afterLines="0" w:after="0" w:line="360" w:lineRule="exact"/>
      <w:ind w:firstLineChars="0" w:firstLine="0"/>
    </w:pPr>
    <w:rPr>
      <w:rFonts w:ascii="Georgia" w:hAnsi="Calibri"/>
      <w:kern w:val="0"/>
      <w:sz w:val="20"/>
      <w:szCs w:val="20"/>
    </w:rPr>
  </w:style>
  <w:style w:type="paragraph" w:customStyle="1" w:styleId="doc-a2">
    <w:name w:val="doc-a2"/>
    <w:basedOn w:val="a1"/>
    <w:uiPriority w:val="99"/>
    <w:semiHidden/>
    <w:qFormat/>
    <w:rsid w:val="002B4EAA"/>
    <w:pPr>
      <w:widowControl/>
      <w:spacing w:before="225" w:afterLines="0" w:after="0" w:afterAutospacing="1" w:line="450" w:lineRule="atLeast"/>
      <w:ind w:firstLineChars="0" w:firstLine="480"/>
      <w:jc w:val="left"/>
    </w:pPr>
    <w:rPr>
      <w:rFonts w:ascii="微软雅黑" w:eastAsia="微软雅黑" w:hAnsi="微软雅黑" w:cs="宋体"/>
      <w:kern w:val="0"/>
      <w:sz w:val="21"/>
      <w:szCs w:val="21"/>
    </w:rPr>
  </w:style>
  <w:style w:type="paragraph" w:customStyle="1" w:styleId="CharCharCharCharCharChar1CharCharChar1">
    <w:name w:val="Char Char Char Char Char Char1 Char Char Char1"/>
    <w:basedOn w:val="a1"/>
    <w:uiPriority w:val="99"/>
    <w:semiHidden/>
    <w:qFormat/>
    <w:rsid w:val="002B4EAA"/>
    <w:pPr>
      <w:autoSpaceDE w:val="0"/>
      <w:autoSpaceDN w:val="0"/>
      <w:spacing w:before="0" w:afterLines="0" w:after="0" w:line="360" w:lineRule="exact"/>
      <w:ind w:firstLineChars="0" w:firstLine="0"/>
      <w:jc w:val="left"/>
      <w:textAlignment w:val="baseline"/>
    </w:pPr>
    <w:rPr>
      <w:sz w:val="21"/>
      <w:szCs w:val="20"/>
    </w:rPr>
  </w:style>
  <w:style w:type="paragraph" w:customStyle="1" w:styleId="119">
    <w:name w:val="修订11"/>
    <w:hidden/>
    <w:uiPriority w:val="99"/>
    <w:semiHidden/>
    <w:qFormat/>
    <w:rsid w:val="002B4EAA"/>
    <w:pPr>
      <w:spacing w:beforeLines="50" w:line="360" w:lineRule="exact"/>
      <w:jc w:val="both"/>
    </w:pPr>
    <w:rPr>
      <w:rFonts w:ascii="Times New Roman" w:hAnsi="Times New Roman"/>
      <w:kern w:val="2"/>
      <w:sz w:val="21"/>
      <w:szCs w:val="24"/>
    </w:rPr>
  </w:style>
  <w:style w:type="paragraph" w:customStyle="1" w:styleId="Style1">
    <w:name w:val="Style1"/>
    <w:basedOn w:val="1"/>
    <w:uiPriority w:val="99"/>
    <w:semiHidden/>
    <w:qFormat/>
    <w:rsid w:val="002B4EAA"/>
  </w:style>
  <w:style w:type="paragraph" w:customStyle="1" w:styleId="affff5">
    <w:name w:val="正文的样式"/>
    <w:basedOn w:val="a1"/>
    <w:link w:val="Charf2"/>
    <w:semiHidden/>
    <w:qFormat/>
    <w:rsid w:val="002B4EAA"/>
    <w:pPr>
      <w:spacing w:before="0" w:afterLines="0" w:after="0" w:line="360" w:lineRule="exact"/>
      <w:ind w:firstLineChars="0" w:firstLine="0"/>
      <w:jc w:val="left"/>
    </w:pPr>
    <w:rPr>
      <w:rFonts w:ascii="宋体" w:hAnsi="宋体"/>
      <w:sz w:val="20"/>
      <w:szCs w:val="20"/>
    </w:rPr>
  </w:style>
  <w:style w:type="character" w:customStyle="1" w:styleId="1f3">
    <w:name w:val="日期 字符1"/>
    <w:uiPriority w:val="99"/>
    <w:semiHidden/>
    <w:rsid w:val="002B4EAA"/>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b"/>
    <w:uiPriority w:val="99"/>
    <w:semiHidden/>
    <w:qFormat/>
    <w:rsid w:val="002B4EAA"/>
    <w:pPr>
      <w:shd w:val="clear" w:color="auto" w:fill="000080"/>
      <w:spacing w:before="0" w:afterLines="0" w:after="0" w:line="360" w:lineRule="exact"/>
      <w:ind w:firstLineChars="0" w:firstLine="0"/>
    </w:pPr>
    <w:rPr>
      <w:rFonts w:ascii="Tahoma" w:eastAsia="宋体" w:hAnsi="Tahoma"/>
    </w:rPr>
  </w:style>
  <w:style w:type="paragraph" w:customStyle="1" w:styleId="CharCharCharCharCharCharChar1">
    <w:name w:val="Char Char Char Char Char Char Char1"/>
    <w:basedOn w:val="a1"/>
    <w:uiPriority w:val="99"/>
    <w:semiHidden/>
    <w:qFormat/>
    <w:rsid w:val="002B4EAA"/>
    <w:pPr>
      <w:tabs>
        <w:tab w:val="left" w:pos="360"/>
      </w:tabs>
      <w:spacing w:before="0" w:afterLines="0" w:after="0" w:line="360" w:lineRule="exact"/>
      <w:ind w:left="360" w:firstLineChars="0" w:hanging="360"/>
    </w:pPr>
    <w:rPr>
      <w:szCs w:val="24"/>
    </w:rPr>
  </w:style>
  <w:style w:type="character" w:customStyle="1" w:styleId="fontstyle01">
    <w:name w:val="fontstyle01"/>
    <w:semiHidden/>
    <w:qFormat/>
    <w:rsid w:val="002B4EAA"/>
    <w:rPr>
      <w:rFonts w:ascii="宋体" w:eastAsia="宋体" w:hAnsi="宋体" w:hint="eastAsia"/>
      <w:color w:val="000000"/>
      <w:sz w:val="22"/>
      <w:szCs w:val="22"/>
    </w:rPr>
  </w:style>
  <w:style w:type="character" w:customStyle="1" w:styleId="title1">
    <w:name w:val="title1"/>
    <w:semiHidden/>
    <w:rsid w:val="002B4EAA"/>
    <w:rPr>
      <w:rFonts w:ascii="微软雅黑" w:eastAsia="微软雅黑" w:hAnsi="微软雅黑" w:hint="eastAsia"/>
      <w:sz w:val="21"/>
      <w:szCs w:val="21"/>
    </w:rPr>
  </w:style>
  <w:style w:type="paragraph" w:customStyle="1" w:styleId="1f4">
    <w:name w:val="标题1"/>
    <w:basedOn w:val="a1"/>
    <w:uiPriority w:val="99"/>
    <w:semiHidden/>
    <w:qFormat/>
    <w:rsid w:val="002B4EAA"/>
    <w:pPr>
      <w:widowControl/>
      <w:spacing w:beforeLines="0" w:before="0" w:beforeAutospacing="1" w:afterLines="0" w:after="0" w:afterAutospacing="1" w:line="240" w:lineRule="auto"/>
      <w:ind w:firstLineChars="0" w:firstLine="480"/>
      <w:jc w:val="left"/>
    </w:pPr>
    <w:rPr>
      <w:rFonts w:ascii="微软雅黑" w:eastAsia="微软雅黑" w:hAnsi="微软雅黑" w:cs="宋体"/>
      <w:kern w:val="0"/>
      <w:sz w:val="21"/>
      <w:szCs w:val="21"/>
    </w:rPr>
  </w:style>
  <w:style w:type="character" w:customStyle="1" w:styleId="sect2title1">
    <w:name w:val="sect2title1"/>
    <w:semiHidden/>
    <w:qFormat/>
    <w:rsid w:val="002B4EAA"/>
    <w:rPr>
      <w:rFonts w:ascii="微软雅黑" w:eastAsia="微软雅黑" w:hAnsi="微软雅黑" w:hint="eastAsia"/>
      <w:b/>
      <w:bCs/>
      <w:sz w:val="21"/>
      <w:szCs w:val="21"/>
    </w:rPr>
  </w:style>
  <w:style w:type="paragraph" w:customStyle="1" w:styleId="promulgatedate">
    <w:name w:val="promulgatedate"/>
    <w:basedOn w:val="a1"/>
    <w:uiPriority w:val="99"/>
    <w:semiHidden/>
    <w:qFormat/>
    <w:rsid w:val="002B4EAA"/>
    <w:pPr>
      <w:widowControl/>
      <w:spacing w:beforeLines="0" w:before="0" w:afterLines="0" w:after="0" w:line="240" w:lineRule="auto"/>
      <w:ind w:firstLineChars="0" w:firstLine="0"/>
      <w:jc w:val="right"/>
    </w:pPr>
    <w:rPr>
      <w:rFonts w:ascii="宋体" w:hAnsi="宋体" w:cs="宋体"/>
      <w:kern w:val="0"/>
      <w:sz w:val="21"/>
      <w:szCs w:val="21"/>
    </w:rPr>
  </w:style>
  <w:style w:type="paragraph" w:customStyle="1" w:styleId="promulgatesignatory">
    <w:name w:val="promulgatesignatory"/>
    <w:basedOn w:val="a1"/>
    <w:uiPriority w:val="99"/>
    <w:semiHidden/>
    <w:qFormat/>
    <w:rsid w:val="002B4EAA"/>
    <w:pPr>
      <w:widowControl/>
      <w:spacing w:beforeLines="0" w:before="0" w:afterLines="0" w:after="0" w:line="240" w:lineRule="auto"/>
      <w:ind w:firstLineChars="0" w:firstLine="0"/>
      <w:jc w:val="right"/>
    </w:pPr>
    <w:rPr>
      <w:rFonts w:ascii="宋体" w:hAnsi="宋体" w:cs="宋体"/>
      <w:kern w:val="0"/>
      <w:sz w:val="21"/>
      <w:szCs w:val="21"/>
    </w:rPr>
  </w:style>
  <w:style w:type="character" w:customStyle="1" w:styleId="fontstyle21">
    <w:name w:val="fontstyle21"/>
    <w:semiHidden/>
    <w:qFormat/>
    <w:rsid w:val="002B4EAA"/>
    <w:rPr>
      <w:rFonts w:ascii="ArialMT" w:hAnsi="ArialMT" w:hint="default"/>
      <w:color w:val="000000"/>
      <w:sz w:val="20"/>
      <w:szCs w:val="20"/>
    </w:rPr>
  </w:style>
  <w:style w:type="paragraph" w:customStyle="1" w:styleId="TableParagraph">
    <w:name w:val="Table Paragraph"/>
    <w:basedOn w:val="a1"/>
    <w:uiPriority w:val="1"/>
    <w:semiHidden/>
    <w:qFormat/>
    <w:rsid w:val="002B4EAA"/>
    <w:pPr>
      <w:autoSpaceDE w:val="0"/>
      <w:autoSpaceDN w:val="0"/>
      <w:spacing w:beforeLines="0" w:before="0" w:afterLines="0" w:after="0" w:line="259" w:lineRule="auto"/>
      <w:ind w:firstLineChars="0" w:firstLine="0"/>
      <w:jc w:val="left"/>
    </w:pPr>
    <w:rPr>
      <w:rFonts w:ascii="Noto Sans CJK JP Regular" w:eastAsia="Noto Sans CJK JP Regular" w:hAnsi="Noto Sans CJK JP Regular" w:cs="Noto Sans CJK JP Regular"/>
      <w:kern w:val="0"/>
      <w:sz w:val="22"/>
      <w:lang w:eastAsia="en-US"/>
    </w:rPr>
  </w:style>
  <w:style w:type="character" w:customStyle="1" w:styleId="Charf2">
    <w:name w:val="正文的样式 Char"/>
    <w:link w:val="affff5"/>
    <w:semiHidden/>
    <w:qFormat/>
    <w:rsid w:val="002B4EAA"/>
    <w:rPr>
      <w:rFonts w:ascii="宋体" w:hAnsi="宋体"/>
      <w:kern w:val="2"/>
    </w:rPr>
  </w:style>
  <w:style w:type="character" w:customStyle="1" w:styleId="fontstyle11">
    <w:name w:val="fontstyle11"/>
    <w:semiHidden/>
    <w:qFormat/>
    <w:rsid w:val="002B4EAA"/>
    <w:rPr>
      <w:rFonts w:ascii="Arial" w:hAnsi="Arial" w:cs="Arial" w:hint="default"/>
      <w:color w:val="000000"/>
      <w:sz w:val="24"/>
      <w:szCs w:val="24"/>
    </w:rPr>
  </w:style>
  <w:style w:type="character" w:customStyle="1" w:styleId="fontstyle31">
    <w:name w:val="fontstyle31"/>
    <w:semiHidden/>
    <w:qFormat/>
    <w:rsid w:val="002B4EAA"/>
    <w:rPr>
      <w:rFonts w:ascii="Calibri" w:hAnsi="Calibri" w:hint="default"/>
      <w:color w:val="000000"/>
      <w:sz w:val="18"/>
      <w:szCs w:val="18"/>
    </w:rPr>
  </w:style>
  <w:style w:type="paragraph" w:customStyle="1" w:styleId="1f5">
    <w:name w:val="×Ó±êÌâ1"/>
    <w:basedOn w:val="a1"/>
    <w:uiPriority w:val="99"/>
    <w:semiHidden/>
    <w:qFormat/>
    <w:rsid w:val="002B4EAA"/>
    <w:pPr>
      <w:widowControl/>
      <w:tabs>
        <w:tab w:val="left" w:pos="595"/>
      </w:tabs>
      <w:overflowPunct w:val="0"/>
      <w:autoSpaceDE w:val="0"/>
      <w:autoSpaceDN w:val="0"/>
      <w:adjustRightInd w:val="0"/>
      <w:spacing w:beforeLines="0" w:before="0" w:afterLines="0" w:after="0"/>
      <w:ind w:left="-383" w:firstLineChars="0" w:firstLine="0"/>
      <w:textAlignment w:val="baseline"/>
    </w:pPr>
    <w:rPr>
      <w:rFonts w:ascii="Arial Black" w:hAnsi="Arial Black"/>
      <w:b/>
      <w:kern w:val="0"/>
      <w:sz w:val="28"/>
      <w:szCs w:val="20"/>
    </w:rPr>
  </w:style>
  <w:style w:type="character" w:customStyle="1" w:styleId="DefaultChar">
    <w:name w:val="Default Char"/>
    <w:link w:val="Default"/>
    <w:qFormat/>
    <w:rsid w:val="002B4EAA"/>
    <w:rPr>
      <w:rFonts w:ascii="华文中宋" w:eastAsia="华文中宋" w:hAnsi="Times New Roman" w:cs="华文中宋"/>
      <w:color w:val="000000"/>
      <w:sz w:val="24"/>
      <w:szCs w:val="24"/>
    </w:rPr>
  </w:style>
  <w:style w:type="paragraph" w:customStyle="1" w:styleId="66">
    <w:name w:val="6"/>
    <w:uiPriority w:val="99"/>
    <w:semiHidden/>
    <w:qFormat/>
    <w:rsid w:val="002B4EAA"/>
    <w:rPr>
      <w:rFonts w:ascii="Times New Roman" w:hAnsi="Times New Roman"/>
      <w:sz w:val="24"/>
      <w:szCs w:val="24"/>
      <w:lang w:eastAsia="en-US" w:bidi="en-US"/>
    </w:rPr>
  </w:style>
  <w:style w:type="paragraph" w:customStyle="1" w:styleId="2f2">
    <w:name w:val="2"/>
    <w:uiPriority w:val="99"/>
    <w:semiHidden/>
    <w:qFormat/>
    <w:rsid w:val="002B4EAA"/>
    <w:rPr>
      <w:rFonts w:ascii="Times New Roman" w:hAnsi="Times New Roman"/>
      <w:sz w:val="24"/>
      <w:szCs w:val="24"/>
      <w:lang w:eastAsia="en-US" w:bidi="en-US"/>
    </w:rPr>
  </w:style>
  <w:style w:type="character" w:customStyle="1" w:styleId="CharChar27">
    <w:name w:val="Char Char27"/>
    <w:semiHidden/>
    <w:rsid w:val="002B4EAA"/>
    <w:rPr>
      <w:rFonts w:ascii="Times New Roman" w:eastAsia="宋体" w:hAnsi="Times New Roman" w:cs="Times New Roman"/>
      <w:b/>
      <w:bCs/>
      <w:lang w:eastAsia="en-US" w:bidi="en-US"/>
    </w:rPr>
  </w:style>
  <w:style w:type="character" w:customStyle="1" w:styleId="56">
    <w:name w:val="未处理的提及5"/>
    <w:uiPriority w:val="99"/>
    <w:semiHidden/>
    <w:unhideWhenUsed/>
    <w:rsid w:val="002B4EAA"/>
    <w:rPr>
      <w:color w:val="605E5C"/>
      <w:shd w:val="clear" w:color="auto" w:fill="E1DFDD"/>
    </w:rPr>
  </w:style>
  <w:style w:type="paragraph" w:customStyle="1" w:styleId="2f3">
    <w:name w:val="修订2"/>
    <w:hidden/>
    <w:uiPriority w:val="99"/>
    <w:unhideWhenUsed/>
    <w:qFormat/>
    <w:rsid w:val="002B4EAA"/>
    <w:rPr>
      <w:rFonts w:ascii="Times New Roman" w:hAnsi="Times New Roman"/>
      <w:kern w:val="2"/>
      <w:sz w:val="24"/>
      <w:szCs w:val="21"/>
    </w:rPr>
  </w:style>
  <w:style w:type="character" w:customStyle="1" w:styleId="67">
    <w:name w:val="未处理的提及6"/>
    <w:uiPriority w:val="99"/>
    <w:semiHidden/>
    <w:unhideWhenUsed/>
    <w:rsid w:val="002B4EAA"/>
    <w:rPr>
      <w:color w:val="605E5C"/>
      <w:shd w:val="clear" w:color="auto" w:fill="E1DFDD"/>
    </w:rPr>
  </w:style>
  <w:style w:type="character" w:customStyle="1" w:styleId="77">
    <w:name w:val="未处理的提及7"/>
    <w:uiPriority w:val="99"/>
    <w:semiHidden/>
    <w:unhideWhenUsed/>
    <w:rsid w:val="002B4EAA"/>
    <w:rPr>
      <w:color w:val="605E5C"/>
      <w:shd w:val="clear" w:color="auto" w:fill="E1DFDD"/>
    </w:rPr>
  </w:style>
  <w:style w:type="paragraph" w:styleId="affff6">
    <w:name w:val="endnote text"/>
    <w:basedOn w:val="a1"/>
    <w:link w:val="affff7"/>
    <w:uiPriority w:val="99"/>
    <w:semiHidden/>
    <w:unhideWhenUsed/>
    <w:rsid w:val="002B4EAA"/>
    <w:pPr>
      <w:widowControl/>
      <w:snapToGrid w:val="0"/>
      <w:spacing w:before="0" w:after="0"/>
      <w:jc w:val="left"/>
    </w:pPr>
    <w:rPr>
      <w:szCs w:val="21"/>
    </w:rPr>
  </w:style>
  <w:style w:type="character" w:customStyle="1" w:styleId="affff7">
    <w:name w:val="尾注文本 字符"/>
    <w:link w:val="affff6"/>
    <w:uiPriority w:val="99"/>
    <w:semiHidden/>
    <w:rsid w:val="002B4EAA"/>
    <w:rPr>
      <w:rFonts w:ascii="Times New Roman" w:hAnsi="Times New Roman"/>
      <w:kern w:val="2"/>
      <w:sz w:val="24"/>
      <w:szCs w:val="21"/>
    </w:rPr>
  </w:style>
  <w:style w:type="character" w:styleId="affff8">
    <w:name w:val="endnote reference"/>
    <w:uiPriority w:val="99"/>
    <w:semiHidden/>
    <w:unhideWhenUsed/>
    <w:rsid w:val="002B4EAA"/>
    <w:rPr>
      <w:vertAlign w:val="superscript"/>
    </w:rPr>
  </w:style>
  <w:style w:type="character" w:customStyle="1" w:styleId="83">
    <w:name w:val="未处理的提及8"/>
    <w:uiPriority w:val="99"/>
    <w:semiHidden/>
    <w:unhideWhenUsed/>
    <w:rsid w:val="002B4EAA"/>
    <w:rPr>
      <w:color w:val="605E5C"/>
      <w:shd w:val="clear" w:color="auto" w:fill="E1DFDD"/>
    </w:rPr>
  </w:style>
  <w:style w:type="numbering" w:styleId="111111">
    <w:name w:val="Outline List 2"/>
    <w:basedOn w:val="a4"/>
    <w:semiHidden/>
    <w:rsid w:val="002B4EAA"/>
    <w:pPr>
      <w:numPr>
        <w:numId w:val="15"/>
      </w:numPr>
    </w:pPr>
  </w:style>
  <w:style w:type="numbering" w:styleId="1111110">
    <w:name w:val="Outline List 1"/>
    <w:basedOn w:val="a4"/>
    <w:semiHidden/>
    <w:rsid w:val="002B4EAA"/>
    <w:pPr>
      <w:numPr>
        <w:numId w:val="16"/>
      </w:numPr>
    </w:pPr>
  </w:style>
  <w:style w:type="character" w:styleId="HTML1">
    <w:name w:val="HTML Variable"/>
    <w:semiHidden/>
    <w:rsid w:val="002B4EAA"/>
    <w:rPr>
      <w:i/>
      <w:iCs/>
    </w:rPr>
  </w:style>
  <w:style w:type="character" w:styleId="HTML2">
    <w:name w:val="HTML Typewriter"/>
    <w:semiHidden/>
    <w:rsid w:val="002B4EAA"/>
    <w:rPr>
      <w:rFonts w:ascii="Courier New" w:hAnsi="Courier New" w:cs="Courier New"/>
      <w:sz w:val="20"/>
      <w:szCs w:val="20"/>
    </w:rPr>
  </w:style>
  <w:style w:type="character" w:styleId="HTML3">
    <w:name w:val="HTML Code"/>
    <w:semiHidden/>
    <w:rsid w:val="002B4EAA"/>
    <w:rPr>
      <w:rFonts w:ascii="Courier New" w:hAnsi="Courier New" w:cs="Courier New"/>
      <w:sz w:val="20"/>
      <w:szCs w:val="20"/>
    </w:rPr>
  </w:style>
  <w:style w:type="paragraph" w:styleId="HTML4">
    <w:name w:val="HTML Address"/>
    <w:basedOn w:val="a1"/>
    <w:link w:val="HTML5"/>
    <w:semiHidden/>
    <w:rsid w:val="002B4EAA"/>
    <w:pPr>
      <w:widowControl/>
      <w:spacing w:before="0" w:after="0"/>
      <w:jc w:val="left"/>
    </w:pPr>
    <w:rPr>
      <w:i/>
      <w:iCs/>
      <w:szCs w:val="21"/>
    </w:rPr>
  </w:style>
  <w:style w:type="character" w:customStyle="1" w:styleId="HTML5">
    <w:name w:val="HTML 地址 字符"/>
    <w:link w:val="HTML4"/>
    <w:semiHidden/>
    <w:rsid w:val="002B4EAA"/>
    <w:rPr>
      <w:rFonts w:ascii="Times New Roman" w:hAnsi="Times New Roman"/>
      <w:i/>
      <w:iCs/>
      <w:kern w:val="2"/>
      <w:sz w:val="24"/>
      <w:szCs w:val="21"/>
    </w:rPr>
  </w:style>
  <w:style w:type="character" w:styleId="HTML6">
    <w:name w:val="HTML Definition"/>
    <w:semiHidden/>
    <w:rsid w:val="002B4EAA"/>
    <w:rPr>
      <w:i/>
      <w:iCs/>
    </w:rPr>
  </w:style>
  <w:style w:type="character" w:styleId="HTML7">
    <w:name w:val="HTML Keyboard"/>
    <w:semiHidden/>
    <w:rsid w:val="002B4EAA"/>
    <w:rPr>
      <w:rFonts w:ascii="Courier New" w:hAnsi="Courier New" w:cs="Courier New"/>
      <w:sz w:val="20"/>
      <w:szCs w:val="20"/>
    </w:rPr>
  </w:style>
  <w:style w:type="character" w:styleId="HTML8">
    <w:name w:val="HTML Acronym"/>
    <w:basedOn w:val="a2"/>
    <w:semiHidden/>
    <w:rsid w:val="002B4EAA"/>
  </w:style>
  <w:style w:type="character" w:styleId="HTML9">
    <w:name w:val="HTML Sample"/>
    <w:semiHidden/>
    <w:rsid w:val="002B4EAA"/>
    <w:rPr>
      <w:rFonts w:ascii="Courier New" w:hAnsi="Courier New" w:cs="Courier New"/>
    </w:rPr>
  </w:style>
  <w:style w:type="character" w:styleId="HTMLa">
    <w:name w:val="HTML Cite"/>
    <w:semiHidden/>
    <w:rsid w:val="002B4EAA"/>
    <w:rPr>
      <w:i/>
      <w:iCs/>
    </w:rPr>
  </w:style>
  <w:style w:type="table" w:styleId="affff9">
    <w:name w:val="Table Theme"/>
    <w:basedOn w:val="a3"/>
    <w:semiHidden/>
    <w:rsid w:val="002B4EAA"/>
    <w:pPr>
      <w:spacing w:beforeLines="50" w:afterLines="50" w:line="360" w:lineRule="auto"/>
      <w:ind w:firstLineChars="200" w:firstLine="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3"/>
    <w:semiHidden/>
    <w:rsid w:val="002B4EAA"/>
    <w:pPr>
      <w:spacing w:beforeLines="50" w:afterLines="50" w:line="360" w:lineRule="auto"/>
      <w:ind w:firstLineChars="200" w:firstLine="20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semiHidden/>
    <w:rsid w:val="002B4EAA"/>
    <w:pPr>
      <w:spacing w:beforeLines="50" w:afterLines="50" w:line="360" w:lineRule="auto"/>
      <w:ind w:firstLineChars="200" w:firstLine="20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semiHidden/>
    <w:rsid w:val="002B4EAA"/>
    <w:pPr>
      <w:spacing w:beforeLines="50" w:afterLines="50" w:line="360" w:lineRule="auto"/>
      <w:ind w:firstLineChars="200" w:firstLine="200"/>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a">
    <w:name w:val="Table Elegant"/>
    <w:basedOn w:val="a3"/>
    <w:semiHidden/>
    <w:rsid w:val="002B4EAA"/>
    <w:pPr>
      <w:spacing w:beforeLines="50" w:afterLines="50" w:line="360" w:lineRule="auto"/>
      <w:ind w:firstLineChars="200" w:firstLine="200"/>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b">
    <w:name w:val="E-mail Signature"/>
    <w:basedOn w:val="a1"/>
    <w:link w:val="affffc"/>
    <w:semiHidden/>
    <w:rsid w:val="002B4EAA"/>
    <w:pPr>
      <w:widowControl/>
      <w:spacing w:before="0" w:after="0"/>
      <w:jc w:val="left"/>
    </w:pPr>
    <w:rPr>
      <w:szCs w:val="21"/>
    </w:rPr>
  </w:style>
  <w:style w:type="character" w:customStyle="1" w:styleId="affffc">
    <w:name w:val="电子邮件签名 字符"/>
    <w:link w:val="affffb"/>
    <w:semiHidden/>
    <w:rsid w:val="002B4EAA"/>
    <w:rPr>
      <w:rFonts w:ascii="Times New Roman" w:hAnsi="Times New Roman"/>
      <w:kern w:val="2"/>
      <w:sz w:val="24"/>
      <w:szCs w:val="21"/>
    </w:rPr>
  </w:style>
  <w:style w:type="table" w:styleId="1f7">
    <w:name w:val="Table Classic 1"/>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semiHidden/>
    <w:rsid w:val="002B4EAA"/>
    <w:pPr>
      <w:spacing w:beforeLines="50" w:afterLines="50" w:line="360" w:lineRule="auto"/>
      <w:ind w:firstLineChars="200" w:firstLine="20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d">
    <w:name w:val="line number"/>
    <w:basedOn w:val="a2"/>
    <w:semiHidden/>
    <w:rsid w:val="002B4EAA"/>
  </w:style>
  <w:style w:type="paragraph" w:styleId="affffe">
    <w:name w:val="envelope return"/>
    <w:basedOn w:val="a1"/>
    <w:semiHidden/>
    <w:rsid w:val="002B4EAA"/>
    <w:pPr>
      <w:widowControl/>
      <w:snapToGrid w:val="0"/>
      <w:spacing w:before="0" w:after="0"/>
      <w:jc w:val="left"/>
    </w:pPr>
    <w:rPr>
      <w:rFonts w:ascii="Arial" w:hAnsi="Arial" w:cs="Arial"/>
      <w:szCs w:val="21"/>
    </w:rPr>
  </w:style>
  <w:style w:type="table" w:styleId="1f8">
    <w:name w:val="Table Simple 1"/>
    <w:basedOn w:val="a3"/>
    <w:semiHidden/>
    <w:rsid w:val="002B4EAA"/>
    <w:pPr>
      <w:spacing w:beforeLines="50" w:afterLines="50" w:line="360" w:lineRule="auto"/>
      <w:ind w:firstLineChars="200" w:firstLine="200"/>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3"/>
    <w:semiHidden/>
    <w:rsid w:val="002B4EAA"/>
    <w:pPr>
      <w:spacing w:beforeLines="50" w:afterLines="50" w:line="360" w:lineRule="auto"/>
      <w:ind w:firstLineChars="200" w:firstLine="200"/>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
    <w:name w:val="Closing"/>
    <w:basedOn w:val="a1"/>
    <w:link w:val="afffff0"/>
    <w:semiHidden/>
    <w:rsid w:val="002B4EAA"/>
    <w:pPr>
      <w:widowControl/>
      <w:spacing w:before="0" w:after="0"/>
      <w:ind w:leftChars="2100" w:left="100"/>
      <w:jc w:val="left"/>
    </w:pPr>
    <w:rPr>
      <w:szCs w:val="21"/>
    </w:rPr>
  </w:style>
  <w:style w:type="character" w:customStyle="1" w:styleId="afffff0">
    <w:name w:val="结束语 字符"/>
    <w:link w:val="afffff"/>
    <w:semiHidden/>
    <w:rsid w:val="002B4EAA"/>
    <w:rPr>
      <w:rFonts w:ascii="Times New Roman" w:hAnsi="Times New Roman"/>
      <w:kern w:val="2"/>
      <w:sz w:val="24"/>
      <w:szCs w:val="21"/>
    </w:rPr>
  </w:style>
  <w:style w:type="table" w:styleId="1f9">
    <w:name w:val="Table Subtle 1"/>
    <w:basedOn w:val="a3"/>
    <w:semiHidden/>
    <w:rsid w:val="002B4EAA"/>
    <w:pPr>
      <w:spacing w:beforeLines="50" w:afterLines="50" w:line="360" w:lineRule="auto"/>
      <w:ind w:firstLineChars="200" w:firstLine="200"/>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3"/>
    <w:semiHidden/>
    <w:rsid w:val="002B4EAA"/>
    <w:pPr>
      <w:spacing w:beforeLines="50" w:afterLines="50" w:line="360" w:lineRule="auto"/>
      <w:ind w:firstLineChars="200" w:firstLine="20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3D effects 1"/>
    <w:basedOn w:val="a3"/>
    <w:semiHidden/>
    <w:rsid w:val="002B4EAA"/>
    <w:pPr>
      <w:spacing w:beforeLines="50" w:afterLines="50" w:line="360" w:lineRule="auto"/>
      <w:ind w:firstLineChars="200" w:firstLine="200"/>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3"/>
    <w:semiHidden/>
    <w:rsid w:val="002B4EAA"/>
    <w:pPr>
      <w:spacing w:beforeLines="50" w:afterLines="50" w:line="360" w:lineRule="auto"/>
      <w:ind w:firstLineChars="200" w:firstLine="200"/>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3"/>
    <w:semiHidden/>
    <w:rsid w:val="002B4EAA"/>
    <w:pPr>
      <w:spacing w:beforeLines="50" w:afterLines="50" w:line="360" w:lineRule="auto"/>
      <w:ind w:firstLineChars="200" w:firstLine="20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a">
    <w:name w:val="List 4"/>
    <w:basedOn w:val="a1"/>
    <w:semiHidden/>
    <w:rsid w:val="002B4EAA"/>
    <w:pPr>
      <w:widowControl/>
      <w:spacing w:before="0" w:after="0"/>
      <w:ind w:leftChars="600" w:left="100" w:hangingChars="200" w:hanging="200"/>
      <w:jc w:val="left"/>
    </w:pPr>
    <w:rPr>
      <w:szCs w:val="21"/>
    </w:rPr>
  </w:style>
  <w:style w:type="paragraph" w:styleId="57">
    <w:name w:val="List 5"/>
    <w:basedOn w:val="a1"/>
    <w:semiHidden/>
    <w:rsid w:val="002B4EAA"/>
    <w:pPr>
      <w:widowControl/>
      <w:spacing w:before="0" w:after="0"/>
      <w:ind w:leftChars="800" w:left="100" w:hangingChars="200" w:hanging="200"/>
      <w:jc w:val="left"/>
    </w:pPr>
    <w:rPr>
      <w:szCs w:val="21"/>
    </w:rPr>
  </w:style>
  <w:style w:type="paragraph" w:styleId="3">
    <w:name w:val="List Number 3"/>
    <w:basedOn w:val="a1"/>
    <w:semiHidden/>
    <w:rsid w:val="002B4EAA"/>
    <w:pPr>
      <w:widowControl/>
      <w:numPr>
        <w:numId w:val="17"/>
      </w:numPr>
      <w:spacing w:before="0" w:after="0"/>
      <w:jc w:val="left"/>
    </w:pPr>
    <w:rPr>
      <w:szCs w:val="21"/>
    </w:rPr>
  </w:style>
  <w:style w:type="paragraph" w:styleId="4">
    <w:name w:val="List Number 4"/>
    <w:basedOn w:val="a1"/>
    <w:semiHidden/>
    <w:rsid w:val="002B4EAA"/>
    <w:pPr>
      <w:widowControl/>
      <w:numPr>
        <w:numId w:val="18"/>
      </w:numPr>
      <w:spacing w:before="0" w:after="0"/>
      <w:jc w:val="left"/>
    </w:pPr>
    <w:rPr>
      <w:szCs w:val="21"/>
    </w:rPr>
  </w:style>
  <w:style w:type="paragraph" w:styleId="5">
    <w:name w:val="List Number 5"/>
    <w:basedOn w:val="a1"/>
    <w:semiHidden/>
    <w:rsid w:val="002B4EAA"/>
    <w:pPr>
      <w:widowControl/>
      <w:numPr>
        <w:numId w:val="19"/>
      </w:numPr>
      <w:spacing w:before="0" w:after="0"/>
      <w:jc w:val="left"/>
    </w:pPr>
    <w:rPr>
      <w:szCs w:val="21"/>
    </w:rPr>
  </w:style>
  <w:style w:type="paragraph" w:styleId="afffff1">
    <w:name w:val="List Continue"/>
    <w:basedOn w:val="a1"/>
    <w:semiHidden/>
    <w:rsid w:val="002B4EAA"/>
    <w:pPr>
      <w:widowControl/>
      <w:spacing w:before="0" w:after="120"/>
      <w:ind w:leftChars="200" w:left="420"/>
      <w:jc w:val="left"/>
    </w:pPr>
    <w:rPr>
      <w:szCs w:val="21"/>
    </w:rPr>
  </w:style>
  <w:style w:type="paragraph" w:styleId="2f9">
    <w:name w:val="List Continue 2"/>
    <w:basedOn w:val="a1"/>
    <w:semiHidden/>
    <w:rsid w:val="002B4EAA"/>
    <w:pPr>
      <w:widowControl/>
      <w:spacing w:before="0" w:after="120"/>
      <w:ind w:leftChars="400" w:left="840"/>
      <w:jc w:val="left"/>
    </w:pPr>
    <w:rPr>
      <w:szCs w:val="21"/>
    </w:rPr>
  </w:style>
  <w:style w:type="paragraph" w:styleId="3f2">
    <w:name w:val="List Continue 3"/>
    <w:basedOn w:val="a1"/>
    <w:semiHidden/>
    <w:rsid w:val="002B4EAA"/>
    <w:pPr>
      <w:widowControl/>
      <w:spacing w:before="0" w:after="120"/>
      <w:ind w:leftChars="600" w:left="1260"/>
      <w:jc w:val="left"/>
    </w:pPr>
    <w:rPr>
      <w:szCs w:val="21"/>
    </w:rPr>
  </w:style>
  <w:style w:type="paragraph" w:styleId="4b">
    <w:name w:val="List Continue 4"/>
    <w:basedOn w:val="a1"/>
    <w:semiHidden/>
    <w:rsid w:val="002B4EAA"/>
    <w:pPr>
      <w:widowControl/>
      <w:spacing w:before="0" w:after="120"/>
      <w:ind w:leftChars="800" w:left="1680"/>
      <w:jc w:val="left"/>
    </w:pPr>
    <w:rPr>
      <w:szCs w:val="21"/>
    </w:rPr>
  </w:style>
  <w:style w:type="paragraph" w:styleId="58">
    <w:name w:val="List Continue 5"/>
    <w:basedOn w:val="a1"/>
    <w:semiHidden/>
    <w:rsid w:val="002B4EAA"/>
    <w:pPr>
      <w:widowControl/>
      <w:spacing w:before="0" w:after="120"/>
      <w:ind w:leftChars="1000" w:left="2100"/>
      <w:jc w:val="left"/>
    </w:pPr>
    <w:rPr>
      <w:szCs w:val="21"/>
    </w:rPr>
  </w:style>
  <w:style w:type="paragraph" w:styleId="a">
    <w:name w:val="List Bullet"/>
    <w:basedOn w:val="a1"/>
    <w:semiHidden/>
    <w:rsid w:val="002B4EAA"/>
    <w:pPr>
      <w:widowControl/>
      <w:numPr>
        <w:numId w:val="20"/>
      </w:numPr>
      <w:spacing w:before="0" w:after="0"/>
      <w:jc w:val="left"/>
    </w:pPr>
    <w:rPr>
      <w:szCs w:val="21"/>
    </w:rPr>
  </w:style>
  <w:style w:type="paragraph" w:styleId="2">
    <w:name w:val="List Bullet 2"/>
    <w:basedOn w:val="a1"/>
    <w:semiHidden/>
    <w:rsid w:val="002B4EAA"/>
    <w:pPr>
      <w:widowControl/>
      <w:numPr>
        <w:numId w:val="21"/>
      </w:numPr>
      <w:spacing w:before="0" w:after="0"/>
      <w:jc w:val="left"/>
    </w:pPr>
    <w:rPr>
      <w:szCs w:val="21"/>
    </w:rPr>
  </w:style>
  <w:style w:type="paragraph" w:styleId="30">
    <w:name w:val="List Bullet 3"/>
    <w:basedOn w:val="a1"/>
    <w:semiHidden/>
    <w:rsid w:val="002B4EAA"/>
    <w:pPr>
      <w:widowControl/>
      <w:numPr>
        <w:numId w:val="22"/>
      </w:numPr>
      <w:spacing w:before="0" w:after="0"/>
      <w:jc w:val="left"/>
    </w:pPr>
    <w:rPr>
      <w:szCs w:val="21"/>
    </w:rPr>
  </w:style>
  <w:style w:type="paragraph" w:styleId="40">
    <w:name w:val="List Bullet 4"/>
    <w:basedOn w:val="a1"/>
    <w:semiHidden/>
    <w:rsid w:val="002B4EAA"/>
    <w:pPr>
      <w:widowControl/>
      <w:numPr>
        <w:numId w:val="23"/>
      </w:numPr>
      <w:spacing w:before="0" w:after="0"/>
      <w:jc w:val="left"/>
    </w:pPr>
    <w:rPr>
      <w:szCs w:val="21"/>
    </w:rPr>
  </w:style>
  <w:style w:type="paragraph" w:styleId="50">
    <w:name w:val="List Bullet 5"/>
    <w:basedOn w:val="a1"/>
    <w:semiHidden/>
    <w:rsid w:val="002B4EAA"/>
    <w:pPr>
      <w:widowControl/>
      <w:numPr>
        <w:numId w:val="24"/>
      </w:numPr>
      <w:spacing w:before="0" w:after="0"/>
      <w:jc w:val="left"/>
    </w:pPr>
    <w:rPr>
      <w:szCs w:val="21"/>
    </w:rPr>
  </w:style>
  <w:style w:type="table" w:styleId="1fb">
    <w:name w:val="Table List 1"/>
    <w:basedOn w:val="a3"/>
    <w:semiHidden/>
    <w:rsid w:val="002B4EAA"/>
    <w:pPr>
      <w:spacing w:beforeLines="50" w:afterLines="50" w:line="360" w:lineRule="auto"/>
      <w:ind w:firstLineChars="200" w:firstLine="200"/>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List 2"/>
    <w:basedOn w:val="a3"/>
    <w:semiHidden/>
    <w:rsid w:val="002B4EAA"/>
    <w:pPr>
      <w:spacing w:beforeLines="50" w:afterLines="50" w:line="360" w:lineRule="auto"/>
      <w:ind w:firstLineChars="200" w:firstLine="200"/>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rsid w:val="002B4EAA"/>
    <w:pPr>
      <w:spacing w:beforeLines="50" w:afterLines="50" w:line="360" w:lineRule="auto"/>
      <w:ind w:firstLineChars="200" w:firstLine="20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3"/>
    <w:semiHidden/>
    <w:rsid w:val="002B4EAA"/>
    <w:pPr>
      <w:spacing w:beforeLines="50" w:afterLines="50" w:line="360" w:lineRule="auto"/>
      <w:ind w:firstLineChars="200" w:firstLine="200"/>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8">
    <w:name w:val="Table List 7"/>
    <w:basedOn w:val="a3"/>
    <w:semiHidden/>
    <w:rsid w:val="002B4EAA"/>
    <w:pPr>
      <w:spacing w:beforeLines="50" w:afterLines="50" w:line="360" w:lineRule="auto"/>
      <w:ind w:firstLineChars="200" w:firstLine="200"/>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2B4EAA"/>
    <w:pPr>
      <w:spacing w:beforeLines="50" w:afterLines="50" w:line="360" w:lineRule="auto"/>
      <w:ind w:firstLineChars="200" w:firstLine="200"/>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2">
    <w:name w:val="Table Contemporary"/>
    <w:basedOn w:val="a3"/>
    <w:semiHidden/>
    <w:rsid w:val="002B4EAA"/>
    <w:pPr>
      <w:spacing w:beforeLines="50" w:afterLines="50" w:line="360" w:lineRule="auto"/>
      <w:ind w:firstLineChars="200" w:firstLine="200"/>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3">
    <w:name w:val="Signature"/>
    <w:basedOn w:val="a1"/>
    <w:link w:val="afffff4"/>
    <w:semiHidden/>
    <w:rsid w:val="002B4EAA"/>
    <w:pPr>
      <w:widowControl/>
      <w:spacing w:before="0" w:after="0"/>
      <w:ind w:leftChars="2100" w:left="100"/>
      <w:jc w:val="left"/>
    </w:pPr>
    <w:rPr>
      <w:szCs w:val="21"/>
    </w:rPr>
  </w:style>
  <w:style w:type="character" w:customStyle="1" w:styleId="afffff4">
    <w:name w:val="签名 字符"/>
    <w:link w:val="afffff3"/>
    <w:semiHidden/>
    <w:rsid w:val="002B4EAA"/>
    <w:rPr>
      <w:rFonts w:ascii="Times New Roman" w:hAnsi="Times New Roman"/>
      <w:kern w:val="2"/>
      <w:sz w:val="24"/>
      <w:szCs w:val="21"/>
    </w:rPr>
  </w:style>
  <w:style w:type="paragraph" w:styleId="afffff5">
    <w:name w:val="envelope address"/>
    <w:basedOn w:val="a1"/>
    <w:semiHidden/>
    <w:rsid w:val="002B4EAA"/>
    <w:pPr>
      <w:framePr w:w="7920" w:h="1980" w:hRule="exact" w:hSpace="180" w:wrap="auto" w:hAnchor="page" w:xAlign="center" w:yAlign="bottom"/>
      <w:widowControl/>
      <w:snapToGrid w:val="0"/>
      <w:spacing w:before="0" w:after="0"/>
      <w:ind w:leftChars="1400" w:left="100"/>
      <w:jc w:val="left"/>
    </w:pPr>
    <w:rPr>
      <w:rFonts w:ascii="Arial" w:hAnsi="Arial" w:cs="Arial"/>
      <w:szCs w:val="24"/>
    </w:rPr>
  </w:style>
  <w:style w:type="table" w:styleId="1fc">
    <w:name w:val="Table Columns 1"/>
    <w:basedOn w:val="a3"/>
    <w:semiHidden/>
    <w:rsid w:val="002B4EAA"/>
    <w:pPr>
      <w:spacing w:beforeLines="50" w:afterLines="50" w:line="360" w:lineRule="auto"/>
      <w:ind w:firstLineChars="200" w:firstLine="200"/>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3"/>
    <w:semiHidden/>
    <w:rsid w:val="002B4EAA"/>
    <w:pPr>
      <w:spacing w:beforeLines="50" w:afterLines="50" w:line="360" w:lineRule="auto"/>
      <w:ind w:firstLineChars="200" w:firstLine="200"/>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3"/>
    <w:semiHidden/>
    <w:rsid w:val="002B4EAA"/>
    <w:pPr>
      <w:spacing w:beforeLines="50" w:afterLines="50" w:line="360" w:lineRule="auto"/>
      <w:ind w:firstLineChars="200" w:firstLine="200"/>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3"/>
    <w:semiHidden/>
    <w:rsid w:val="002B4EAA"/>
    <w:pPr>
      <w:spacing w:beforeLines="50" w:afterLines="50" w:line="360" w:lineRule="auto"/>
      <w:ind w:firstLineChars="200" w:firstLine="200"/>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3"/>
    <w:semiHidden/>
    <w:rsid w:val="002B4EAA"/>
    <w:pPr>
      <w:spacing w:beforeLines="50" w:afterLines="50" w:line="360" w:lineRule="auto"/>
      <w:ind w:firstLineChars="200" w:firstLine="200"/>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d">
    <w:name w:val="Table Grid 1"/>
    <w:basedOn w:val="a3"/>
    <w:semiHidden/>
    <w:rsid w:val="002B4EAA"/>
    <w:pPr>
      <w:spacing w:beforeLines="50" w:afterLines="50" w:line="360" w:lineRule="auto"/>
      <w:ind w:firstLineChars="200" w:firstLine="20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c">
    <w:name w:val="Table Grid 2"/>
    <w:basedOn w:val="a3"/>
    <w:semiHidden/>
    <w:rsid w:val="002B4EAA"/>
    <w:pPr>
      <w:spacing w:beforeLines="50" w:afterLines="50" w:line="360" w:lineRule="auto"/>
      <w:ind w:firstLineChars="200" w:firstLine="200"/>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3"/>
    <w:semiHidden/>
    <w:rsid w:val="002B4EAA"/>
    <w:pPr>
      <w:spacing w:beforeLines="50" w:afterLines="50" w:line="360" w:lineRule="auto"/>
      <w:ind w:firstLineChars="200" w:firstLine="200"/>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e">
    <w:name w:val="Table Grid 4"/>
    <w:basedOn w:val="a3"/>
    <w:semiHidden/>
    <w:rsid w:val="002B4EAA"/>
    <w:pPr>
      <w:spacing w:beforeLines="50" w:afterLines="50" w:line="360" w:lineRule="auto"/>
      <w:ind w:firstLineChars="200" w:firstLine="200"/>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3"/>
    <w:semiHidden/>
    <w:rsid w:val="002B4EAA"/>
    <w:pPr>
      <w:spacing w:beforeLines="50" w:afterLines="50" w:line="360" w:lineRule="auto"/>
      <w:ind w:firstLineChars="200" w:firstLine="200"/>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3"/>
    <w:semiHidden/>
    <w:rsid w:val="002B4EAA"/>
    <w:pPr>
      <w:spacing w:beforeLines="50" w:afterLines="50" w:line="360" w:lineRule="auto"/>
      <w:ind w:firstLineChars="200" w:firstLine="200"/>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2B4EAA"/>
    <w:pPr>
      <w:spacing w:beforeLines="50" w:afterLines="50" w:line="360" w:lineRule="auto"/>
      <w:ind w:firstLineChars="200" w:firstLine="200"/>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e">
    <w:name w:val="Table Web 1"/>
    <w:basedOn w:val="a3"/>
    <w:semiHidden/>
    <w:rsid w:val="002B4EAA"/>
    <w:pPr>
      <w:spacing w:beforeLines="50" w:afterLines="50" w:line="360" w:lineRule="auto"/>
      <w:ind w:firstLineChars="200" w:firstLine="20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d">
    <w:name w:val="Table Web 2"/>
    <w:basedOn w:val="a3"/>
    <w:semiHidden/>
    <w:rsid w:val="002B4EAA"/>
    <w:pPr>
      <w:spacing w:beforeLines="50" w:afterLines="50" w:line="360" w:lineRule="auto"/>
      <w:ind w:firstLineChars="200" w:firstLine="20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6">
    <w:name w:val="Table Web 3"/>
    <w:basedOn w:val="a3"/>
    <w:semiHidden/>
    <w:rsid w:val="002B4EAA"/>
    <w:pPr>
      <w:spacing w:beforeLines="50" w:afterLines="50" w:line="360" w:lineRule="auto"/>
      <w:ind w:firstLineChars="200" w:firstLine="200"/>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4"/>
    <w:semiHidden/>
    <w:rsid w:val="002B4EAA"/>
    <w:pPr>
      <w:numPr>
        <w:numId w:val="25"/>
      </w:numPr>
    </w:pPr>
  </w:style>
  <w:style w:type="paragraph" w:styleId="afffff6">
    <w:name w:val="Message Header"/>
    <w:basedOn w:val="a1"/>
    <w:link w:val="afffff7"/>
    <w:semiHidden/>
    <w:rsid w:val="002B4EAA"/>
    <w:pPr>
      <w:widowControl/>
      <w:pBdr>
        <w:top w:val="single" w:sz="6" w:space="1" w:color="auto"/>
        <w:left w:val="single" w:sz="6" w:space="1" w:color="auto"/>
        <w:bottom w:val="single" w:sz="6" w:space="1" w:color="auto"/>
        <w:right w:val="single" w:sz="6" w:space="1" w:color="auto"/>
      </w:pBdr>
      <w:shd w:val="pct20" w:color="auto" w:fill="auto"/>
      <w:spacing w:before="0" w:after="0"/>
      <w:ind w:leftChars="500" w:left="1080" w:hangingChars="500" w:hanging="1080"/>
      <w:jc w:val="left"/>
    </w:pPr>
    <w:rPr>
      <w:rFonts w:ascii="Arial" w:hAnsi="Arial" w:cs="Arial"/>
      <w:szCs w:val="24"/>
    </w:rPr>
  </w:style>
  <w:style w:type="character" w:customStyle="1" w:styleId="afffff7">
    <w:name w:val="信息标题 字符"/>
    <w:link w:val="afffff6"/>
    <w:semiHidden/>
    <w:rsid w:val="002B4EAA"/>
    <w:rPr>
      <w:rFonts w:ascii="Arial" w:hAnsi="Arial" w:cs="Arial"/>
      <w:kern w:val="2"/>
      <w:sz w:val="24"/>
      <w:szCs w:val="24"/>
      <w:shd w:val="pct20" w:color="auto" w:fill="auto"/>
    </w:rPr>
  </w:style>
  <w:style w:type="paragraph" w:styleId="2fe">
    <w:name w:val="Body Text 2"/>
    <w:basedOn w:val="a1"/>
    <w:link w:val="2ff"/>
    <w:semiHidden/>
    <w:rsid w:val="002B4EAA"/>
    <w:pPr>
      <w:widowControl/>
      <w:spacing w:before="0" w:after="120" w:line="480" w:lineRule="auto"/>
      <w:jc w:val="left"/>
    </w:pPr>
    <w:rPr>
      <w:szCs w:val="21"/>
    </w:rPr>
  </w:style>
  <w:style w:type="character" w:customStyle="1" w:styleId="2ff">
    <w:name w:val="正文文本 2 字符"/>
    <w:link w:val="2fe"/>
    <w:semiHidden/>
    <w:rsid w:val="002B4EAA"/>
    <w:rPr>
      <w:rFonts w:ascii="Times New Roman" w:hAnsi="Times New Roman"/>
      <w:kern w:val="2"/>
      <w:sz w:val="24"/>
      <w:szCs w:val="21"/>
    </w:rPr>
  </w:style>
  <w:style w:type="paragraph" w:styleId="afffff8">
    <w:name w:val="Note Heading"/>
    <w:basedOn w:val="a1"/>
    <w:next w:val="a1"/>
    <w:link w:val="afffff9"/>
    <w:semiHidden/>
    <w:rsid w:val="002B4EAA"/>
    <w:pPr>
      <w:widowControl/>
      <w:spacing w:before="0" w:after="0"/>
      <w:jc w:val="center"/>
    </w:pPr>
    <w:rPr>
      <w:szCs w:val="21"/>
    </w:rPr>
  </w:style>
  <w:style w:type="character" w:customStyle="1" w:styleId="afffff9">
    <w:name w:val="注释标题 字符"/>
    <w:link w:val="afffff8"/>
    <w:semiHidden/>
    <w:rsid w:val="002B4EAA"/>
    <w:rPr>
      <w:rFonts w:ascii="Times New Roman" w:hAnsi="Times New Roman"/>
      <w:kern w:val="2"/>
      <w:sz w:val="24"/>
      <w:szCs w:val="21"/>
    </w:rPr>
  </w:style>
  <w:style w:type="table" w:styleId="afffffa">
    <w:name w:val="Table Professional"/>
    <w:basedOn w:val="a3"/>
    <w:semiHidden/>
    <w:rsid w:val="002B4EAA"/>
    <w:pPr>
      <w:spacing w:beforeLines="50" w:afterLines="50" w:line="360" w:lineRule="auto"/>
      <w:ind w:firstLineChars="200" w:firstLine="20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005">
    <w:name w:val="005正文"/>
    <w:link w:val="005Char"/>
    <w:rsid w:val="002B4EAA"/>
    <w:pPr>
      <w:widowControl w:val="0"/>
      <w:adjustRightInd w:val="0"/>
      <w:snapToGrid w:val="0"/>
      <w:spacing w:beforeLines="50" w:before="50" w:afterLines="50" w:after="50" w:line="360" w:lineRule="auto"/>
      <w:ind w:firstLineChars="200" w:firstLine="200"/>
      <w:jc w:val="both"/>
    </w:pPr>
    <w:rPr>
      <w:rFonts w:ascii="Times New Roman" w:hAnsi="Times New Roman"/>
      <w:kern w:val="2"/>
      <w:sz w:val="24"/>
      <w:szCs w:val="22"/>
    </w:rPr>
  </w:style>
  <w:style w:type="paragraph" w:customStyle="1" w:styleId="006">
    <w:name w:val="006备注"/>
    <w:rsid w:val="002B4EAA"/>
    <w:pPr>
      <w:widowControl w:val="0"/>
      <w:adjustRightInd w:val="0"/>
      <w:snapToGrid w:val="0"/>
      <w:ind w:firstLineChars="200" w:firstLine="200"/>
      <w:jc w:val="both"/>
    </w:pPr>
    <w:rPr>
      <w:rFonts w:ascii="Times New Roman" w:hAnsi="Times New Roman" w:cs="Arial"/>
      <w:bCs/>
      <w:kern w:val="2"/>
      <w:sz w:val="21"/>
      <w:szCs w:val="22"/>
    </w:rPr>
  </w:style>
  <w:style w:type="paragraph" w:customStyle="1" w:styleId="009">
    <w:name w:val="009单位"/>
    <w:rsid w:val="002B4EAA"/>
    <w:pPr>
      <w:keepNext/>
      <w:widowControl w:val="0"/>
      <w:jc w:val="right"/>
    </w:pPr>
    <w:rPr>
      <w:rFonts w:ascii="Times New Roman" w:hAnsi="Times New Roman"/>
      <w:kern w:val="2"/>
      <w:sz w:val="21"/>
      <w:szCs w:val="22"/>
    </w:rPr>
  </w:style>
  <w:style w:type="character" w:customStyle="1" w:styleId="002Char">
    <w:name w:val="002二级标题 Char"/>
    <w:link w:val="002"/>
    <w:rsid w:val="002B4EAA"/>
    <w:rPr>
      <w:rFonts w:ascii="Times New Roman" w:eastAsia="黑体" w:hAnsi="Times New Roman"/>
      <w:b/>
      <w:bCs/>
      <w:kern w:val="2"/>
      <w:sz w:val="28"/>
      <w:szCs w:val="28"/>
    </w:rPr>
  </w:style>
  <w:style w:type="character" w:customStyle="1" w:styleId="003Char">
    <w:name w:val="003三级标题 Char"/>
    <w:link w:val="003"/>
    <w:qFormat/>
    <w:rsid w:val="002B4EAA"/>
    <w:rPr>
      <w:rFonts w:ascii="Times New Roman" w:eastAsia="黑体" w:hAnsi="Times New Roman"/>
      <w:b/>
      <w:bCs/>
      <w:kern w:val="2"/>
      <w:sz w:val="24"/>
      <w:szCs w:val="28"/>
    </w:rPr>
  </w:style>
  <w:style w:type="character" w:customStyle="1" w:styleId="004Char">
    <w:name w:val="004四级标题 Char"/>
    <w:link w:val="004"/>
    <w:rsid w:val="002B4EAA"/>
    <w:rPr>
      <w:rFonts w:ascii="Times New Roman" w:hAnsi="Times New Roman"/>
      <w:b/>
      <w:bCs/>
      <w:kern w:val="2"/>
      <w:sz w:val="24"/>
      <w:szCs w:val="28"/>
    </w:rPr>
  </w:style>
  <w:style w:type="character" w:customStyle="1" w:styleId="005Char">
    <w:name w:val="005正文 Char"/>
    <w:link w:val="005"/>
    <w:rsid w:val="002B4EAA"/>
    <w:rPr>
      <w:rFonts w:ascii="Times New Roman" w:hAnsi="Times New Roman"/>
      <w:kern w:val="2"/>
      <w:sz w:val="24"/>
      <w:szCs w:val="22"/>
    </w:rPr>
  </w:style>
  <w:style w:type="numbering" w:customStyle="1" w:styleId="20">
    <w:name w:val="当前列表2"/>
    <w:uiPriority w:val="99"/>
    <w:rsid w:val="003B5A2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952">
      <w:bodyDiv w:val="1"/>
      <w:marLeft w:val="0"/>
      <w:marRight w:val="0"/>
      <w:marTop w:val="0"/>
      <w:marBottom w:val="0"/>
      <w:divBdr>
        <w:top w:val="none" w:sz="0" w:space="0" w:color="auto"/>
        <w:left w:val="none" w:sz="0" w:space="0" w:color="auto"/>
        <w:bottom w:val="none" w:sz="0" w:space="0" w:color="auto"/>
        <w:right w:val="none" w:sz="0" w:space="0" w:color="auto"/>
      </w:divBdr>
    </w:div>
    <w:div w:id="272328135">
      <w:bodyDiv w:val="1"/>
      <w:marLeft w:val="0"/>
      <w:marRight w:val="0"/>
      <w:marTop w:val="0"/>
      <w:marBottom w:val="0"/>
      <w:divBdr>
        <w:top w:val="none" w:sz="0" w:space="0" w:color="auto"/>
        <w:left w:val="none" w:sz="0" w:space="0" w:color="auto"/>
        <w:bottom w:val="none" w:sz="0" w:space="0" w:color="auto"/>
        <w:right w:val="none" w:sz="0" w:space="0" w:color="auto"/>
      </w:divBdr>
    </w:div>
    <w:div w:id="410934414">
      <w:bodyDiv w:val="1"/>
      <w:marLeft w:val="0"/>
      <w:marRight w:val="0"/>
      <w:marTop w:val="0"/>
      <w:marBottom w:val="0"/>
      <w:divBdr>
        <w:top w:val="none" w:sz="0" w:space="0" w:color="auto"/>
        <w:left w:val="none" w:sz="0" w:space="0" w:color="auto"/>
        <w:bottom w:val="none" w:sz="0" w:space="0" w:color="auto"/>
        <w:right w:val="none" w:sz="0" w:space="0" w:color="auto"/>
      </w:divBdr>
      <w:divsChild>
        <w:div w:id="1760755979">
          <w:marLeft w:val="0"/>
          <w:marRight w:val="0"/>
          <w:marTop w:val="0"/>
          <w:marBottom w:val="0"/>
          <w:divBdr>
            <w:top w:val="none" w:sz="0" w:space="0" w:color="auto"/>
            <w:left w:val="none" w:sz="0" w:space="0" w:color="auto"/>
            <w:bottom w:val="none" w:sz="0" w:space="0" w:color="auto"/>
            <w:right w:val="none" w:sz="0" w:space="0" w:color="auto"/>
          </w:divBdr>
        </w:div>
      </w:divsChild>
    </w:div>
    <w:div w:id="470099400">
      <w:bodyDiv w:val="1"/>
      <w:marLeft w:val="0"/>
      <w:marRight w:val="0"/>
      <w:marTop w:val="0"/>
      <w:marBottom w:val="0"/>
      <w:divBdr>
        <w:top w:val="none" w:sz="0" w:space="0" w:color="auto"/>
        <w:left w:val="none" w:sz="0" w:space="0" w:color="auto"/>
        <w:bottom w:val="none" w:sz="0" w:space="0" w:color="auto"/>
        <w:right w:val="none" w:sz="0" w:space="0" w:color="auto"/>
      </w:divBdr>
    </w:div>
    <w:div w:id="506479586">
      <w:bodyDiv w:val="1"/>
      <w:marLeft w:val="0"/>
      <w:marRight w:val="0"/>
      <w:marTop w:val="0"/>
      <w:marBottom w:val="0"/>
      <w:divBdr>
        <w:top w:val="none" w:sz="0" w:space="0" w:color="auto"/>
        <w:left w:val="none" w:sz="0" w:space="0" w:color="auto"/>
        <w:bottom w:val="none" w:sz="0" w:space="0" w:color="auto"/>
        <w:right w:val="none" w:sz="0" w:space="0" w:color="auto"/>
      </w:divBdr>
    </w:div>
    <w:div w:id="524754474">
      <w:bodyDiv w:val="1"/>
      <w:marLeft w:val="0"/>
      <w:marRight w:val="0"/>
      <w:marTop w:val="0"/>
      <w:marBottom w:val="0"/>
      <w:divBdr>
        <w:top w:val="none" w:sz="0" w:space="0" w:color="auto"/>
        <w:left w:val="none" w:sz="0" w:space="0" w:color="auto"/>
        <w:bottom w:val="none" w:sz="0" w:space="0" w:color="auto"/>
        <w:right w:val="none" w:sz="0" w:space="0" w:color="auto"/>
      </w:divBdr>
    </w:div>
    <w:div w:id="556204779">
      <w:bodyDiv w:val="1"/>
      <w:marLeft w:val="0"/>
      <w:marRight w:val="0"/>
      <w:marTop w:val="0"/>
      <w:marBottom w:val="0"/>
      <w:divBdr>
        <w:top w:val="none" w:sz="0" w:space="0" w:color="auto"/>
        <w:left w:val="none" w:sz="0" w:space="0" w:color="auto"/>
        <w:bottom w:val="none" w:sz="0" w:space="0" w:color="auto"/>
        <w:right w:val="none" w:sz="0" w:space="0" w:color="auto"/>
      </w:divBdr>
    </w:div>
    <w:div w:id="597298386">
      <w:bodyDiv w:val="1"/>
      <w:marLeft w:val="0"/>
      <w:marRight w:val="0"/>
      <w:marTop w:val="0"/>
      <w:marBottom w:val="0"/>
      <w:divBdr>
        <w:top w:val="none" w:sz="0" w:space="0" w:color="auto"/>
        <w:left w:val="none" w:sz="0" w:space="0" w:color="auto"/>
        <w:bottom w:val="none" w:sz="0" w:space="0" w:color="auto"/>
        <w:right w:val="none" w:sz="0" w:space="0" w:color="auto"/>
      </w:divBdr>
    </w:div>
    <w:div w:id="620527460">
      <w:bodyDiv w:val="1"/>
      <w:marLeft w:val="0"/>
      <w:marRight w:val="0"/>
      <w:marTop w:val="0"/>
      <w:marBottom w:val="0"/>
      <w:divBdr>
        <w:top w:val="none" w:sz="0" w:space="0" w:color="auto"/>
        <w:left w:val="none" w:sz="0" w:space="0" w:color="auto"/>
        <w:bottom w:val="none" w:sz="0" w:space="0" w:color="auto"/>
        <w:right w:val="none" w:sz="0" w:space="0" w:color="auto"/>
      </w:divBdr>
    </w:div>
    <w:div w:id="630012619">
      <w:bodyDiv w:val="1"/>
      <w:marLeft w:val="0"/>
      <w:marRight w:val="0"/>
      <w:marTop w:val="0"/>
      <w:marBottom w:val="0"/>
      <w:divBdr>
        <w:top w:val="none" w:sz="0" w:space="0" w:color="auto"/>
        <w:left w:val="none" w:sz="0" w:space="0" w:color="auto"/>
        <w:bottom w:val="none" w:sz="0" w:space="0" w:color="auto"/>
        <w:right w:val="none" w:sz="0" w:space="0" w:color="auto"/>
      </w:divBdr>
    </w:div>
    <w:div w:id="652102562">
      <w:bodyDiv w:val="1"/>
      <w:marLeft w:val="0"/>
      <w:marRight w:val="0"/>
      <w:marTop w:val="0"/>
      <w:marBottom w:val="0"/>
      <w:divBdr>
        <w:top w:val="none" w:sz="0" w:space="0" w:color="auto"/>
        <w:left w:val="none" w:sz="0" w:space="0" w:color="auto"/>
        <w:bottom w:val="none" w:sz="0" w:space="0" w:color="auto"/>
        <w:right w:val="none" w:sz="0" w:space="0" w:color="auto"/>
      </w:divBdr>
    </w:div>
    <w:div w:id="684091059">
      <w:bodyDiv w:val="1"/>
      <w:marLeft w:val="0"/>
      <w:marRight w:val="0"/>
      <w:marTop w:val="0"/>
      <w:marBottom w:val="0"/>
      <w:divBdr>
        <w:top w:val="none" w:sz="0" w:space="0" w:color="auto"/>
        <w:left w:val="none" w:sz="0" w:space="0" w:color="auto"/>
        <w:bottom w:val="none" w:sz="0" w:space="0" w:color="auto"/>
        <w:right w:val="none" w:sz="0" w:space="0" w:color="auto"/>
      </w:divBdr>
    </w:div>
    <w:div w:id="749275819">
      <w:bodyDiv w:val="1"/>
      <w:marLeft w:val="0"/>
      <w:marRight w:val="0"/>
      <w:marTop w:val="0"/>
      <w:marBottom w:val="0"/>
      <w:divBdr>
        <w:top w:val="none" w:sz="0" w:space="0" w:color="auto"/>
        <w:left w:val="none" w:sz="0" w:space="0" w:color="auto"/>
        <w:bottom w:val="none" w:sz="0" w:space="0" w:color="auto"/>
        <w:right w:val="none" w:sz="0" w:space="0" w:color="auto"/>
      </w:divBdr>
    </w:div>
    <w:div w:id="816413616">
      <w:bodyDiv w:val="1"/>
      <w:marLeft w:val="0"/>
      <w:marRight w:val="0"/>
      <w:marTop w:val="0"/>
      <w:marBottom w:val="0"/>
      <w:divBdr>
        <w:top w:val="none" w:sz="0" w:space="0" w:color="auto"/>
        <w:left w:val="none" w:sz="0" w:space="0" w:color="auto"/>
        <w:bottom w:val="none" w:sz="0" w:space="0" w:color="auto"/>
        <w:right w:val="none" w:sz="0" w:space="0" w:color="auto"/>
      </w:divBdr>
    </w:div>
    <w:div w:id="843399595">
      <w:bodyDiv w:val="1"/>
      <w:marLeft w:val="0"/>
      <w:marRight w:val="0"/>
      <w:marTop w:val="0"/>
      <w:marBottom w:val="0"/>
      <w:divBdr>
        <w:top w:val="none" w:sz="0" w:space="0" w:color="auto"/>
        <w:left w:val="none" w:sz="0" w:space="0" w:color="auto"/>
        <w:bottom w:val="none" w:sz="0" w:space="0" w:color="auto"/>
        <w:right w:val="none" w:sz="0" w:space="0" w:color="auto"/>
      </w:divBdr>
    </w:div>
    <w:div w:id="915675051">
      <w:bodyDiv w:val="1"/>
      <w:marLeft w:val="0"/>
      <w:marRight w:val="0"/>
      <w:marTop w:val="0"/>
      <w:marBottom w:val="0"/>
      <w:divBdr>
        <w:top w:val="none" w:sz="0" w:space="0" w:color="auto"/>
        <w:left w:val="none" w:sz="0" w:space="0" w:color="auto"/>
        <w:bottom w:val="none" w:sz="0" w:space="0" w:color="auto"/>
        <w:right w:val="none" w:sz="0" w:space="0" w:color="auto"/>
      </w:divBdr>
    </w:div>
    <w:div w:id="956640377">
      <w:bodyDiv w:val="1"/>
      <w:marLeft w:val="0"/>
      <w:marRight w:val="0"/>
      <w:marTop w:val="0"/>
      <w:marBottom w:val="0"/>
      <w:divBdr>
        <w:top w:val="none" w:sz="0" w:space="0" w:color="auto"/>
        <w:left w:val="none" w:sz="0" w:space="0" w:color="auto"/>
        <w:bottom w:val="none" w:sz="0" w:space="0" w:color="auto"/>
        <w:right w:val="none" w:sz="0" w:space="0" w:color="auto"/>
      </w:divBdr>
    </w:div>
    <w:div w:id="965349700">
      <w:bodyDiv w:val="1"/>
      <w:marLeft w:val="0"/>
      <w:marRight w:val="0"/>
      <w:marTop w:val="0"/>
      <w:marBottom w:val="0"/>
      <w:divBdr>
        <w:top w:val="none" w:sz="0" w:space="0" w:color="auto"/>
        <w:left w:val="none" w:sz="0" w:space="0" w:color="auto"/>
        <w:bottom w:val="none" w:sz="0" w:space="0" w:color="auto"/>
        <w:right w:val="none" w:sz="0" w:space="0" w:color="auto"/>
      </w:divBdr>
    </w:div>
    <w:div w:id="971404985">
      <w:bodyDiv w:val="1"/>
      <w:marLeft w:val="0"/>
      <w:marRight w:val="0"/>
      <w:marTop w:val="0"/>
      <w:marBottom w:val="0"/>
      <w:divBdr>
        <w:top w:val="none" w:sz="0" w:space="0" w:color="auto"/>
        <w:left w:val="none" w:sz="0" w:space="0" w:color="auto"/>
        <w:bottom w:val="none" w:sz="0" w:space="0" w:color="auto"/>
        <w:right w:val="none" w:sz="0" w:space="0" w:color="auto"/>
      </w:divBdr>
    </w:div>
    <w:div w:id="974407048">
      <w:bodyDiv w:val="1"/>
      <w:marLeft w:val="0"/>
      <w:marRight w:val="0"/>
      <w:marTop w:val="0"/>
      <w:marBottom w:val="0"/>
      <w:divBdr>
        <w:top w:val="none" w:sz="0" w:space="0" w:color="auto"/>
        <w:left w:val="none" w:sz="0" w:space="0" w:color="auto"/>
        <w:bottom w:val="none" w:sz="0" w:space="0" w:color="auto"/>
        <w:right w:val="none" w:sz="0" w:space="0" w:color="auto"/>
      </w:divBdr>
    </w:div>
    <w:div w:id="984745977">
      <w:bodyDiv w:val="1"/>
      <w:marLeft w:val="0"/>
      <w:marRight w:val="0"/>
      <w:marTop w:val="0"/>
      <w:marBottom w:val="0"/>
      <w:divBdr>
        <w:top w:val="none" w:sz="0" w:space="0" w:color="auto"/>
        <w:left w:val="none" w:sz="0" w:space="0" w:color="auto"/>
        <w:bottom w:val="none" w:sz="0" w:space="0" w:color="auto"/>
        <w:right w:val="none" w:sz="0" w:space="0" w:color="auto"/>
      </w:divBdr>
    </w:div>
    <w:div w:id="1079905318">
      <w:bodyDiv w:val="1"/>
      <w:marLeft w:val="0"/>
      <w:marRight w:val="0"/>
      <w:marTop w:val="0"/>
      <w:marBottom w:val="0"/>
      <w:divBdr>
        <w:top w:val="none" w:sz="0" w:space="0" w:color="auto"/>
        <w:left w:val="none" w:sz="0" w:space="0" w:color="auto"/>
        <w:bottom w:val="none" w:sz="0" w:space="0" w:color="auto"/>
        <w:right w:val="none" w:sz="0" w:space="0" w:color="auto"/>
      </w:divBdr>
    </w:div>
    <w:div w:id="1094862213">
      <w:bodyDiv w:val="1"/>
      <w:marLeft w:val="0"/>
      <w:marRight w:val="0"/>
      <w:marTop w:val="0"/>
      <w:marBottom w:val="0"/>
      <w:divBdr>
        <w:top w:val="none" w:sz="0" w:space="0" w:color="auto"/>
        <w:left w:val="none" w:sz="0" w:space="0" w:color="auto"/>
        <w:bottom w:val="none" w:sz="0" w:space="0" w:color="auto"/>
        <w:right w:val="none" w:sz="0" w:space="0" w:color="auto"/>
      </w:divBdr>
    </w:div>
    <w:div w:id="1098525586">
      <w:bodyDiv w:val="1"/>
      <w:marLeft w:val="0"/>
      <w:marRight w:val="0"/>
      <w:marTop w:val="0"/>
      <w:marBottom w:val="0"/>
      <w:divBdr>
        <w:top w:val="none" w:sz="0" w:space="0" w:color="auto"/>
        <w:left w:val="none" w:sz="0" w:space="0" w:color="auto"/>
        <w:bottom w:val="none" w:sz="0" w:space="0" w:color="auto"/>
        <w:right w:val="none" w:sz="0" w:space="0" w:color="auto"/>
      </w:divBdr>
    </w:div>
    <w:div w:id="1132940619">
      <w:bodyDiv w:val="1"/>
      <w:marLeft w:val="0"/>
      <w:marRight w:val="0"/>
      <w:marTop w:val="0"/>
      <w:marBottom w:val="0"/>
      <w:divBdr>
        <w:top w:val="none" w:sz="0" w:space="0" w:color="auto"/>
        <w:left w:val="none" w:sz="0" w:space="0" w:color="auto"/>
        <w:bottom w:val="none" w:sz="0" w:space="0" w:color="auto"/>
        <w:right w:val="none" w:sz="0" w:space="0" w:color="auto"/>
      </w:divBdr>
    </w:div>
    <w:div w:id="1145047645">
      <w:bodyDiv w:val="1"/>
      <w:marLeft w:val="0"/>
      <w:marRight w:val="0"/>
      <w:marTop w:val="0"/>
      <w:marBottom w:val="0"/>
      <w:divBdr>
        <w:top w:val="none" w:sz="0" w:space="0" w:color="auto"/>
        <w:left w:val="none" w:sz="0" w:space="0" w:color="auto"/>
        <w:bottom w:val="none" w:sz="0" w:space="0" w:color="auto"/>
        <w:right w:val="none" w:sz="0" w:space="0" w:color="auto"/>
      </w:divBdr>
    </w:div>
    <w:div w:id="1222445658">
      <w:bodyDiv w:val="1"/>
      <w:marLeft w:val="0"/>
      <w:marRight w:val="0"/>
      <w:marTop w:val="0"/>
      <w:marBottom w:val="0"/>
      <w:divBdr>
        <w:top w:val="none" w:sz="0" w:space="0" w:color="auto"/>
        <w:left w:val="none" w:sz="0" w:space="0" w:color="auto"/>
        <w:bottom w:val="none" w:sz="0" w:space="0" w:color="auto"/>
        <w:right w:val="none" w:sz="0" w:space="0" w:color="auto"/>
      </w:divBdr>
    </w:div>
    <w:div w:id="1315715947">
      <w:bodyDiv w:val="1"/>
      <w:marLeft w:val="0"/>
      <w:marRight w:val="0"/>
      <w:marTop w:val="0"/>
      <w:marBottom w:val="0"/>
      <w:divBdr>
        <w:top w:val="none" w:sz="0" w:space="0" w:color="auto"/>
        <w:left w:val="none" w:sz="0" w:space="0" w:color="auto"/>
        <w:bottom w:val="none" w:sz="0" w:space="0" w:color="auto"/>
        <w:right w:val="none" w:sz="0" w:space="0" w:color="auto"/>
      </w:divBdr>
    </w:div>
    <w:div w:id="1343703167">
      <w:bodyDiv w:val="1"/>
      <w:marLeft w:val="0"/>
      <w:marRight w:val="0"/>
      <w:marTop w:val="0"/>
      <w:marBottom w:val="0"/>
      <w:divBdr>
        <w:top w:val="none" w:sz="0" w:space="0" w:color="auto"/>
        <w:left w:val="none" w:sz="0" w:space="0" w:color="auto"/>
        <w:bottom w:val="none" w:sz="0" w:space="0" w:color="auto"/>
        <w:right w:val="none" w:sz="0" w:space="0" w:color="auto"/>
      </w:divBdr>
    </w:div>
    <w:div w:id="1403912407">
      <w:bodyDiv w:val="1"/>
      <w:marLeft w:val="0"/>
      <w:marRight w:val="0"/>
      <w:marTop w:val="0"/>
      <w:marBottom w:val="0"/>
      <w:divBdr>
        <w:top w:val="none" w:sz="0" w:space="0" w:color="auto"/>
        <w:left w:val="none" w:sz="0" w:space="0" w:color="auto"/>
        <w:bottom w:val="none" w:sz="0" w:space="0" w:color="auto"/>
        <w:right w:val="none" w:sz="0" w:space="0" w:color="auto"/>
      </w:divBdr>
    </w:div>
    <w:div w:id="1430662026">
      <w:bodyDiv w:val="1"/>
      <w:marLeft w:val="0"/>
      <w:marRight w:val="0"/>
      <w:marTop w:val="0"/>
      <w:marBottom w:val="0"/>
      <w:divBdr>
        <w:top w:val="none" w:sz="0" w:space="0" w:color="auto"/>
        <w:left w:val="none" w:sz="0" w:space="0" w:color="auto"/>
        <w:bottom w:val="none" w:sz="0" w:space="0" w:color="auto"/>
        <w:right w:val="none" w:sz="0" w:space="0" w:color="auto"/>
      </w:divBdr>
    </w:div>
    <w:div w:id="1524250417">
      <w:bodyDiv w:val="1"/>
      <w:marLeft w:val="0"/>
      <w:marRight w:val="0"/>
      <w:marTop w:val="0"/>
      <w:marBottom w:val="0"/>
      <w:divBdr>
        <w:top w:val="none" w:sz="0" w:space="0" w:color="auto"/>
        <w:left w:val="none" w:sz="0" w:space="0" w:color="auto"/>
        <w:bottom w:val="none" w:sz="0" w:space="0" w:color="auto"/>
        <w:right w:val="none" w:sz="0" w:space="0" w:color="auto"/>
      </w:divBdr>
    </w:div>
    <w:div w:id="1546984898">
      <w:bodyDiv w:val="1"/>
      <w:marLeft w:val="0"/>
      <w:marRight w:val="0"/>
      <w:marTop w:val="0"/>
      <w:marBottom w:val="0"/>
      <w:divBdr>
        <w:top w:val="none" w:sz="0" w:space="0" w:color="auto"/>
        <w:left w:val="none" w:sz="0" w:space="0" w:color="auto"/>
        <w:bottom w:val="none" w:sz="0" w:space="0" w:color="auto"/>
        <w:right w:val="none" w:sz="0" w:space="0" w:color="auto"/>
      </w:divBdr>
      <w:divsChild>
        <w:div w:id="1430808806">
          <w:marLeft w:val="0"/>
          <w:marRight w:val="0"/>
          <w:marTop w:val="0"/>
          <w:marBottom w:val="0"/>
          <w:divBdr>
            <w:top w:val="none" w:sz="0" w:space="0" w:color="auto"/>
            <w:left w:val="none" w:sz="0" w:space="0" w:color="auto"/>
            <w:bottom w:val="none" w:sz="0" w:space="0" w:color="auto"/>
            <w:right w:val="none" w:sz="0" w:space="0" w:color="auto"/>
          </w:divBdr>
        </w:div>
      </w:divsChild>
    </w:div>
    <w:div w:id="1619797190">
      <w:bodyDiv w:val="1"/>
      <w:marLeft w:val="0"/>
      <w:marRight w:val="0"/>
      <w:marTop w:val="0"/>
      <w:marBottom w:val="0"/>
      <w:divBdr>
        <w:top w:val="none" w:sz="0" w:space="0" w:color="auto"/>
        <w:left w:val="none" w:sz="0" w:space="0" w:color="auto"/>
        <w:bottom w:val="none" w:sz="0" w:space="0" w:color="auto"/>
        <w:right w:val="none" w:sz="0" w:space="0" w:color="auto"/>
      </w:divBdr>
    </w:div>
    <w:div w:id="1722288419">
      <w:bodyDiv w:val="1"/>
      <w:marLeft w:val="0"/>
      <w:marRight w:val="0"/>
      <w:marTop w:val="0"/>
      <w:marBottom w:val="0"/>
      <w:divBdr>
        <w:top w:val="none" w:sz="0" w:space="0" w:color="auto"/>
        <w:left w:val="none" w:sz="0" w:space="0" w:color="auto"/>
        <w:bottom w:val="none" w:sz="0" w:space="0" w:color="auto"/>
        <w:right w:val="none" w:sz="0" w:space="0" w:color="auto"/>
      </w:divBdr>
    </w:div>
    <w:div w:id="1755665416">
      <w:bodyDiv w:val="1"/>
      <w:marLeft w:val="0"/>
      <w:marRight w:val="0"/>
      <w:marTop w:val="0"/>
      <w:marBottom w:val="0"/>
      <w:divBdr>
        <w:top w:val="none" w:sz="0" w:space="0" w:color="auto"/>
        <w:left w:val="none" w:sz="0" w:space="0" w:color="auto"/>
        <w:bottom w:val="none" w:sz="0" w:space="0" w:color="auto"/>
        <w:right w:val="none" w:sz="0" w:space="0" w:color="auto"/>
      </w:divBdr>
    </w:div>
    <w:div w:id="1843353134">
      <w:bodyDiv w:val="1"/>
      <w:marLeft w:val="0"/>
      <w:marRight w:val="0"/>
      <w:marTop w:val="0"/>
      <w:marBottom w:val="0"/>
      <w:divBdr>
        <w:top w:val="none" w:sz="0" w:space="0" w:color="auto"/>
        <w:left w:val="none" w:sz="0" w:space="0" w:color="auto"/>
        <w:bottom w:val="none" w:sz="0" w:space="0" w:color="auto"/>
        <w:right w:val="none" w:sz="0" w:space="0" w:color="auto"/>
      </w:divBdr>
    </w:div>
    <w:div w:id="193516617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2011785030">
      <w:bodyDiv w:val="1"/>
      <w:marLeft w:val="0"/>
      <w:marRight w:val="0"/>
      <w:marTop w:val="0"/>
      <w:marBottom w:val="0"/>
      <w:divBdr>
        <w:top w:val="none" w:sz="0" w:space="0" w:color="auto"/>
        <w:left w:val="none" w:sz="0" w:space="0" w:color="auto"/>
        <w:bottom w:val="none" w:sz="0" w:space="0" w:color="auto"/>
        <w:right w:val="none" w:sz="0" w:space="0" w:color="auto"/>
      </w:divBdr>
    </w:div>
    <w:div w:id="2025983007">
      <w:bodyDiv w:val="1"/>
      <w:marLeft w:val="0"/>
      <w:marRight w:val="0"/>
      <w:marTop w:val="0"/>
      <w:marBottom w:val="0"/>
      <w:divBdr>
        <w:top w:val="none" w:sz="0" w:space="0" w:color="auto"/>
        <w:left w:val="none" w:sz="0" w:space="0" w:color="auto"/>
        <w:bottom w:val="none" w:sz="0" w:space="0" w:color="auto"/>
        <w:right w:val="none" w:sz="0" w:space="0" w:color="auto"/>
      </w:divBdr>
    </w:div>
    <w:div w:id="2096852676">
      <w:bodyDiv w:val="1"/>
      <w:marLeft w:val="0"/>
      <w:marRight w:val="0"/>
      <w:marTop w:val="0"/>
      <w:marBottom w:val="0"/>
      <w:divBdr>
        <w:top w:val="none" w:sz="0" w:space="0" w:color="auto"/>
        <w:left w:val="none" w:sz="0" w:space="0" w:color="auto"/>
        <w:bottom w:val="none" w:sz="0" w:space="0" w:color="auto"/>
        <w:right w:val="none" w:sz="0" w:space="0" w:color="auto"/>
      </w:divBdr>
    </w:div>
    <w:div w:id="2097244425">
      <w:bodyDiv w:val="1"/>
      <w:marLeft w:val="0"/>
      <w:marRight w:val="0"/>
      <w:marTop w:val="0"/>
      <w:marBottom w:val="0"/>
      <w:divBdr>
        <w:top w:val="none" w:sz="0" w:space="0" w:color="auto"/>
        <w:left w:val="none" w:sz="0" w:space="0" w:color="auto"/>
        <w:bottom w:val="none" w:sz="0" w:space="0" w:color="auto"/>
        <w:right w:val="none" w:sz="0" w:space="0" w:color="auto"/>
      </w:divBdr>
    </w:div>
    <w:div w:id="21115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A5F9-01B4-4915-92D1-08A1C521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6845</Words>
  <Characters>39021</Characters>
  <Application>Microsoft Office Word</Application>
  <DocSecurity>0</DocSecurity>
  <Lines>325</Lines>
  <Paragraphs>91</Paragraphs>
  <ScaleCrop>false</ScaleCrop>
  <Company/>
  <LinksUpToDate>false</LinksUpToDate>
  <CharactersWithSpaces>45775</CharactersWithSpaces>
  <SharedDoc>false</SharedDoc>
  <HLinks>
    <vt:vector size="216" baseType="variant">
      <vt:variant>
        <vt:i4>1179700</vt:i4>
      </vt:variant>
      <vt:variant>
        <vt:i4>212</vt:i4>
      </vt:variant>
      <vt:variant>
        <vt:i4>0</vt:i4>
      </vt:variant>
      <vt:variant>
        <vt:i4>5</vt:i4>
      </vt:variant>
      <vt:variant>
        <vt:lpwstr/>
      </vt:variant>
      <vt:variant>
        <vt:lpwstr>_Toc194169742</vt:lpwstr>
      </vt:variant>
      <vt:variant>
        <vt:i4>1179700</vt:i4>
      </vt:variant>
      <vt:variant>
        <vt:i4>206</vt:i4>
      </vt:variant>
      <vt:variant>
        <vt:i4>0</vt:i4>
      </vt:variant>
      <vt:variant>
        <vt:i4>5</vt:i4>
      </vt:variant>
      <vt:variant>
        <vt:lpwstr/>
      </vt:variant>
      <vt:variant>
        <vt:lpwstr>_Toc194169741</vt:lpwstr>
      </vt:variant>
      <vt:variant>
        <vt:i4>1179700</vt:i4>
      </vt:variant>
      <vt:variant>
        <vt:i4>200</vt:i4>
      </vt:variant>
      <vt:variant>
        <vt:i4>0</vt:i4>
      </vt:variant>
      <vt:variant>
        <vt:i4>5</vt:i4>
      </vt:variant>
      <vt:variant>
        <vt:lpwstr/>
      </vt:variant>
      <vt:variant>
        <vt:lpwstr>_Toc194169740</vt:lpwstr>
      </vt:variant>
      <vt:variant>
        <vt:i4>1376308</vt:i4>
      </vt:variant>
      <vt:variant>
        <vt:i4>194</vt:i4>
      </vt:variant>
      <vt:variant>
        <vt:i4>0</vt:i4>
      </vt:variant>
      <vt:variant>
        <vt:i4>5</vt:i4>
      </vt:variant>
      <vt:variant>
        <vt:lpwstr/>
      </vt:variant>
      <vt:variant>
        <vt:lpwstr>_Toc194169739</vt:lpwstr>
      </vt:variant>
      <vt:variant>
        <vt:i4>1376308</vt:i4>
      </vt:variant>
      <vt:variant>
        <vt:i4>188</vt:i4>
      </vt:variant>
      <vt:variant>
        <vt:i4>0</vt:i4>
      </vt:variant>
      <vt:variant>
        <vt:i4>5</vt:i4>
      </vt:variant>
      <vt:variant>
        <vt:lpwstr/>
      </vt:variant>
      <vt:variant>
        <vt:lpwstr>_Toc194169738</vt:lpwstr>
      </vt:variant>
      <vt:variant>
        <vt:i4>1376308</vt:i4>
      </vt:variant>
      <vt:variant>
        <vt:i4>182</vt:i4>
      </vt:variant>
      <vt:variant>
        <vt:i4>0</vt:i4>
      </vt:variant>
      <vt:variant>
        <vt:i4>5</vt:i4>
      </vt:variant>
      <vt:variant>
        <vt:lpwstr/>
      </vt:variant>
      <vt:variant>
        <vt:lpwstr>_Toc194169737</vt:lpwstr>
      </vt:variant>
      <vt:variant>
        <vt:i4>1376308</vt:i4>
      </vt:variant>
      <vt:variant>
        <vt:i4>176</vt:i4>
      </vt:variant>
      <vt:variant>
        <vt:i4>0</vt:i4>
      </vt:variant>
      <vt:variant>
        <vt:i4>5</vt:i4>
      </vt:variant>
      <vt:variant>
        <vt:lpwstr/>
      </vt:variant>
      <vt:variant>
        <vt:lpwstr>_Toc194169736</vt:lpwstr>
      </vt:variant>
      <vt:variant>
        <vt:i4>1376308</vt:i4>
      </vt:variant>
      <vt:variant>
        <vt:i4>170</vt:i4>
      </vt:variant>
      <vt:variant>
        <vt:i4>0</vt:i4>
      </vt:variant>
      <vt:variant>
        <vt:i4>5</vt:i4>
      </vt:variant>
      <vt:variant>
        <vt:lpwstr/>
      </vt:variant>
      <vt:variant>
        <vt:lpwstr>_Toc194169735</vt:lpwstr>
      </vt:variant>
      <vt:variant>
        <vt:i4>1376308</vt:i4>
      </vt:variant>
      <vt:variant>
        <vt:i4>164</vt:i4>
      </vt:variant>
      <vt:variant>
        <vt:i4>0</vt:i4>
      </vt:variant>
      <vt:variant>
        <vt:i4>5</vt:i4>
      </vt:variant>
      <vt:variant>
        <vt:lpwstr/>
      </vt:variant>
      <vt:variant>
        <vt:lpwstr>_Toc194169734</vt:lpwstr>
      </vt:variant>
      <vt:variant>
        <vt:i4>1376308</vt:i4>
      </vt:variant>
      <vt:variant>
        <vt:i4>158</vt:i4>
      </vt:variant>
      <vt:variant>
        <vt:i4>0</vt:i4>
      </vt:variant>
      <vt:variant>
        <vt:i4>5</vt:i4>
      </vt:variant>
      <vt:variant>
        <vt:lpwstr/>
      </vt:variant>
      <vt:variant>
        <vt:lpwstr>_Toc194169733</vt:lpwstr>
      </vt:variant>
      <vt:variant>
        <vt:i4>1376308</vt:i4>
      </vt:variant>
      <vt:variant>
        <vt:i4>152</vt:i4>
      </vt:variant>
      <vt:variant>
        <vt:i4>0</vt:i4>
      </vt:variant>
      <vt:variant>
        <vt:i4>5</vt:i4>
      </vt:variant>
      <vt:variant>
        <vt:lpwstr/>
      </vt:variant>
      <vt:variant>
        <vt:lpwstr>_Toc194169732</vt:lpwstr>
      </vt:variant>
      <vt:variant>
        <vt:i4>1376308</vt:i4>
      </vt:variant>
      <vt:variant>
        <vt:i4>146</vt:i4>
      </vt:variant>
      <vt:variant>
        <vt:i4>0</vt:i4>
      </vt:variant>
      <vt:variant>
        <vt:i4>5</vt:i4>
      </vt:variant>
      <vt:variant>
        <vt:lpwstr/>
      </vt:variant>
      <vt:variant>
        <vt:lpwstr>_Toc194169731</vt:lpwstr>
      </vt:variant>
      <vt:variant>
        <vt:i4>1376308</vt:i4>
      </vt:variant>
      <vt:variant>
        <vt:i4>140</vt:i4>
      </vt:variant>
      <vt:variant>
        <vt:i4>0</vt:i4>
      </vt:variant>
      <vt:variant>
        <vt:i4>5</vt:i4>
      </vt:variant>
      <vt:variant>
        <vt:lpwstr/>
      </vt:variant>
      <vt:variant>
        <vt:lpwstr>_Toc194169730</vt:lpwstr>
      </vt:variant>
      <vt:variant>
        <vt:i4>1310772</vt:i4>
      </vt:variant>
      <vt:variant>
        <vt:i4>134</vt:i4>
      </vt:variant>
      <vt:variant>
        <vt:i4>0</vt:i4>
      </vt:variant>
      <vt:variant>
        <vt:i4>5</vt:i4>
      </vt:variant>
      <vt:variant>
        <vt:lpwstr/>
      </vt:variant>
      <vt:variant>
        <vt:lpwstr>_Toc194169729</vt:lpwstr>
      </vt:variant>
      <vt:variant>
        <vt:i4>1310772</vt:i4>
      </vt:variant>
      <vt:variant>
        <vt:i4>128</vt:i4>
      </vt:variant>
      <vt:variant>
        <vt:i4>0</vt:i4>
      </vt:variant>
      <vt:variant>
        <vt:i4>5</vt:i4>
      </vt:variant>
      <vt:variant>
        <vt:lpwstr/>
      </vt:variant>
      <vt:variant>
        <vt:lpwstr>_Toc194169728</vt:lpwstr>
      </vt:variant>
      <vt:variant>
        <vt:i4>1310772</vt:i4>
      </vt:variant>
      <vt:variant>
        <vt:i4>122</vt:i4>
      </vt:variant>
      <vt:variant>
        <vt:i4>0</vt:i4>
      </vt:variant>
      <vt:variant>
        <vt:i4>5</vt:i4>
      </vt:variant>
      <vt:variant>
        <vt:lpwstr/>
      </vt:variant>
      <vt:variant>
        <vt:lpwstr>_Toc194169727</vt:lpwstr>
      </vt:variant>
      <vt:variant>
        <vt:i4>1310772</vt:i4>
      </vt:variant>
      <vt:variant>
        <vt:i4>116</vt:i4>
      </vt:variant>
      <vt:variant>
        <vt:i4>0</vt:i4>
      </vt:variant>
      <vt:variant>
        <vt:i4>5</vt:i4>
      </vt:variant>
      <vt:variant>
        <vt:lpwstr/>
      </vt:variant>
      <vt:variant>
        <vt:lpwstr>_Toc194169726</vt:lpwstr>
      </vt:variant>
      <vt:variant>
        <vt:i4>1310772</vt:i4>
      </vt:variant>
      <vt:variant>
        <vt:i4>110</vt:i4>
      </vt:variant>
      <vt:variant>
        <vt:i4>0</vt:i4>
      </vt:variant>
      <vt:variant>
        <vt:i4>5</vt:i4>
      </vt:variant>
      <vt:variant>
        <vt:lpwstr/>
      </vt:variant>
      <vt:variant>
        <vt:lpwstr>_Toc194169725</vt:lpwstr>
      </vt:variant>
      <vt:variant>
        <vt:i4>1310772</vt:i4>
      </vt:variant>
      <vt:variant>
        <vt:i4>104</vt:i4>
      </vt:variant>
      <vt:variant>
        <vt:i4>0</vt:i4>
      </vt:variant>
      <vt:variant>
        <vt:i4>5</vt:i4>
      </vt:variant>
      <vt:variant>
        <vt:lpwstr/>
      </vt:variant>
      <vt:variant>
        <vt:lpwstr>_Toc194169724</vt:lpwstr>
      </vt:variant>
      <vt:variant>
        <vt:i4>1310772</vt:i4>
      </vt:variant>
      <vt:variant>
        <vt:i4>98</vt:i4>
      </vt:variant>
      <vt:variant>
        <vt:i4>0</vt:i4>
      </vt:variant>
      <vt:variant>
        <vt:i4>5</vt:i4>
      </vt:variant>
      <vt:variant>
        <vt:lpwstr/>
      </vt:variant>
      <vt:variant>
        <vt:lpwstr>_Toc194169723</vt:lpwstr>
      </vt:variant>
      <vt:variant>
        <vt:i4>1310772</vt:i4>
      </vt:variant>
      <vt:variant>
        <vt:i4>92</vt:i4>
      </vt:variant>
      <vt:variant>
        <vt:i4>0</vt:i4>
      </vt:variant>
      <vt:variant>
        <vt:i4>5</vt:i4>
      </vt:variant>
      <vt:variant>
        <vt:lpwstr/>
      </vt:variant>
      <vt:variant>
        <vt:lpwstr>_Toc194169722</vt:lpwstr>
      </vt:variant>
      <vt:variant>
        <vt:i4>1310772</vt:i4>
      </vt:variant>
      <vt:variant>
        <vt:i4>86</vt:i4>
      </vt:variant>
      <vt:variant>
        <vt:i4>0</vt:i4>
      </vt:variant>
      <vt:variant>
        <vt:i4>5</vt:i4>
      </vt:variant>
      <vt:variant>
        <vt:lpwstr/>
      </vt:variant>
      <vt:variant>
        <vt:lpwstr>_Toc194169721</vt:lpwstr>
      </vt:variant>
      <vt:variant>
        <vt:i4>1310772</vt:i4>
      </vt:variant>
      <vt:variant>
        <vt:i4>80</vt:i4>
      </vt:variant>
      <vt:variant>
        <vt:i4>0</vt:i4>
      </vt:variant>
      <vt:variant>
        <vt:i4>5</vt:i4>
      </vt:variant>
      <vt:variant>
        <vt:lpwstr/>
      </vt:variant>
      <vt:variant>
        <vt:lpwstr>_Toc194169720</vt:lpwstr>
      </vt:variant>
      <vt:variant>
        <vt:i4>1507380</vt:i4>
      </vt:variant>
      <vt:variant>
        <vt:i4>74</vt:i4>
      </vt:variant>
      <vt:variant>
        <vt:i4>0</vt:i4>
      </vt:variant>
      <vt:variant>
        <vt:i4>5</vt:i4>
      </vt:variant>
      <vt:variant>
        <vt:lpwstr/>
      </vt:variant>
      <vt:variant>
        <vt:lpwstr>_Toc194169719</vt:lpwstr>
      </vt:variant>
      <vt:variant>
        <vt:i4>1507380</vt:i4>
      </vt:variant>
      <vt:variant>
        <vt:i4>68</vt:i4>
      </vt:variant>
      <vt:variant>
        <vt:i4>0</vt:i4>
      </vt:variant>
      <vt:variant>
        <vt:i4>5</vt:i4>
      </vt:variant>
      <vt:variant>
        <vt:lpwstr/>
      </vt:variant>
      <vt:variant>
        <vt:lpwstr>_Toc194169718</vt:lpwstr>
      </vt:variant>
      <vt:variant>
        <vt:i4>1507380</vt:i4>
      </vt:variant>
      <vt:variant>
        <vt:i4>62</vt:i4>
      </vt:variant>
      <vt:variant>
        <vt:i4>0</vt:i4>
      </vt:variant>
      <vt:variant>
        <vt:i4>5</vt:i4>
      </vt:variant>
      <vt:variant>
        <vt:lpwstr/>
      </vt:variant>
      <vt:variant>
        <vt:lpwstr>_Toc194169717</vt:lpwstr>
      </vt:variant>
      <vt:variant>
        <vt:i4>1507380</vt:i4>
      </vt:variant>
      <vt:variant>
        <vt:i4>56</vt:i4>
      </vt:variant>
      <vt:variant>
        <vt:i4>0</vt:i4>
      </vt:variant>
      <vt:variant>
        <vt:i4>5</vt:i4>
      </vt:variant>
      <vt:variant>
        <vt:lpwstr/>
      </vt:variant>
      <vt:variant>
        <vt:lpwstr>_Toc194169716</vt:lpwstr>
      </vt:variant>
      <vt:variant>
        <vt:i4>1507380</vt:i4>
      </vt:variant>
      <vt:variant>
        <vt:i4>50</vt:i4>
      </vt:variant>
      <vt:variant>
        <vt:i4>0</vt:i4>
      </vt:variant>
      <vt:variant>
        <vt:i4>5</vt:i4>
      </vt:variant>
      <vt:variant>
        <vt:lpwstr/>
      </vt:variant>
      <vt:variant>
        <vt:lpwstr>_Toc194169715</vt:lpwstr>
      </vt:variant>
      <vt:variant>
        <vt:i4>1507380</vt:i4>
      </vt:variant>
      <vt:variant>
        <vt:i4>44</vt:i4>
      </vt:variant>
      <vt:variant>
        <vt:i4>0</vt:i4>
      </vt:variant>
      <vt:variant>
        <vt:i4>5</vt:i4>
      </vt:variant>
      <vt:variant>
        <vt:lpwstr/>
      </vt:variant>
      <vt:variant>
        <vt:lpwstr>_Toc194169714</vt:lpwstr>
      </vt:variant>
      <vt:variant>
        <vt:i4>1507380</vt:i4>
      </vt:variant>
      <vt:variant>
        <vt:i4>38</vt:i4>
      </vt:variant>
      <vt:variant>
        <vt:i4>0</vt:i4>
      </vt:variant>
      <vt:variant>
        <vt:i4>5</vt:i4>
      </vt:variant>
      <vt:variant>
        <vt:lpwstr/>
      </vt:variant>
      <vt:variant>
        <vt:lpwstr>_Toc194169713</vt:lpwstr>
      </vt:variant>
      <vt:variant>
        <vt:i4>1507380</vt:i4>
      </vt:variant>
      <vt:variant>
        <vt:i4>32</vt:i4>
      </vt:variant>
      <vt:variant>
        <vt:i4>0</vt:i4>
      </vt:variant>
      <vt:variant>
        <vt:i4>5</vt:i4>
      </vt:variant>
      <vt:variant>
        <vt:lpwstr/>
      </vt:variant>
      <vt:variant>
        <vt:lpwstr>_Toc194169712</vt:lpwstr>
      </vt:variant>
      <vt:variant>
        <vt:i4>1507380</vt:i4>
      </vt:variant>
      <vt:variant>
        <vt:i4>26</vt:i4>
      </vt:variant>
      <vt:variant>
        <vt:i4>0</vt:i4>
      </vt:variant>
      <vt:variant>
        <vt:i4>5</vt:i4>
      </vt:variant>
      <vt:variant>
        <vt:lpwstr/>
      </vt:variant>
      <vt:variant>
        <vt:lpwstr>_Toc194169711</vt:lpwstr>
      </vt:variant>
      <vt:variant>
        <vt:i4>1507380</vt:i4>
      </vt:variant>
      <vt:variant>
        <vt:i4>20</vt:i4>
      </vt:variant>
      <vt:variant>
        <vt:i4>0</vt:i4>
      </vt:variant>
      <vt:variant>
        <vt:i4>5</vt:i4>
      </vt:variant>
      <vt:variant>
        <vt:lpwstr/>
      </vt:variant>
      <vt:variant>
        <vt:lpwstr>_Toc194169710</vt:lpwstr>
      </vt:variant>
      <vt:variant>
        <vt:i4>1441844</vt:i4>
      </vt:variant>
      <vt:variant>
        <vt:i4>14</vt:i4>
      </vt:variant>
      <vt:variant>
        <vt:i4>0</vt:i4>
      </vt:variant>
      <vt:variant>
        <vt:i4>5</vt:i4>
      </vt:variant>
      <vt:variant>
        <vt:lpwstr/>
      </vt:variant>
      <vt:variant>
        <vt:lpwstr>_Toc194169709</vt:lpwstr>
      </vt:variant>
      <vt:variant>
        <vt:i4>1441844</vt:i4>
      </vt:variant>
      <vt:variant>
        <vt:i4>8</vt:i4>
      </vt:variant>
      <vt:variant>
        <vt:i4>0</vt:i4>
      </vt:variant>
      <vt:variant>
        <vt:i4>5</vt:i4>
      </vt:variant>
      <vt:variant>
        <vt:lpwstr/>
      </vt:variant>
      <vt:variant>
        <vt:lpwstr>_Toc194169708</vt:lpwstr>
      </vt:variant>
      <vt:variant>
        <vt:i4>1441844</vt:i4>
      </vt:variant>
      <vt:variant>
        <vt:i4>2</vt:i4>
      </vt:variant>
      <vt:variant>
        <vt:i4>0</vt:i4>
      </vt:variant>
      <vt:variant>
        <vt:i4>5</vt:i4>
      </vt:variant>
      <vt:variant>
        <vt:lpwstr/>
      </vt:variant>
      <vt:variant>
        <vt:lpwstr>_Toc194169707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QH</cp:lastModifiedBy>
  <cp:revision>5</cp:revision>
  <cp:lastPrinted>2022-03-16T01:17:00Z</cp:lastPrinted>
  <dcterms:created xsi:type="dcterms:W3CDTF">2025-04-02T08:22:00Z</dcterms:created>
  <dcterms:modified xsi:type="dcterms:W3CDTF">2025-04-02T09:45:00Z</dcterms:modified>
</cp:coreProperties>
</file>