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0A3D06D">
      <w:pPr>
        <w:widowControl/>
        <w:snapToGrid w:val="0"/>
        <w:spacing w:before="100" w:beforeAutospacing="1" w:after="375"/>
        <w:jc w:val="center"/>
        <w:rPr>
          <w:rFonts w:cs="宋体"/>
          <w:b/>
          <w:bCs/>
          <w:kern w:val="0"/>
          <w:sz w:val="22"/>
          <w:szCs w:val="22"/>
        </w:rPr>
      </w:pPr>
    </w:p>
    <w:p w14:paraId="677FCD72">
      <w:pPr>
        <w:widowControl/>
        <w:snapToGrid w:val="0"/>
        <w:spacing w:before="100" w:beforeAutospacing="1" w:after="375"/>
        <w:jc w:val="center"/>
        <w:rPr>
          <w:rFonts w:cs="宋体"/>
          <w:b/>
          <w:bCs/>
          <w:kern w:val="0"/>
          <w:sz w:val="22"/>
          <w:szCs w:val="22"/>
        </w:rPr>
      </w:pPr>
    </w:p>
    <w:p w14:paraId="2CF9852D">
      <w:pPr>
        <w:widowControl/>
        <w:snapToGrid w:val="0"/>
        <w:spacing w:before="100" w:beforeAutospacing="1" w:after="375"/>
        <w:rPr>
          <w:rFonts w:cs="宋体"/>
          <w:b/>
          <w:bCs/>
          <w:kern w:val="0"/>
          <w:sz w:val="22"/>
          <w:szCs w:val="22"/>
        </w:rPr>
      </w:pPr>
    </w:p>
    <w:p w14:paraId="7B76E55D">
      <w:pPr>
        <w:widowControl/>
        <w:snapToGrid w:val="0"/>
        <w:spacing w:before="100" w:beforeAutospacing="1" w:after="375"/>
        <w:jc w:val="center"/>
        <w:rPr>
          <w:rFonts w:cs="宋体"/>
          <w:b/>
          <w:bCs/>
          <w:kern w:val="0"/>
          <w:sz w:val="22"/>
          <w:szCs w:val="22"/>
        </w:rPr>
      </w:pPr>
    </w:p>
    <w:p w14:paraId="1B4A0EB5">
      <w:pPr>
        <w:pStyle w:val="2"/>
        <w:spacing w:before="156" w:after="156"/>
        <w:rPr>
          <w:rFonts w:cs="宋体"/>
          <w:sz w:val="22"/>
          <w:szCs w:val="22"/>
        </w:rPr>
      </w:pPr>
    </w:p>
    <w:p w14:paraId="0322FB37">
      <w:pPr>
        <w:ind w:firstLine="480"/>
        <w:jc w:val="center"/>
        <w:rPr>
          <w:rFonts w:cs="宋体"/>
        </w:rPr>
      </w:pPr>
      <w:r>
        <w:rPr>
          <w:rFonts w:hint="eastAsia" w:cs="宋体"/>
        </w:rPr>
        <w:drawing>
          <wp:inline distT="0" distB="0" distL="0" distR="0">
            <wp:extent cx="4749800" cy="1040765"/>
            <wp:effectExtent l="0" t="0" r="0" b="63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12" cstate="print"/>
                    <a:stretch>
                      <a:fillRect/>
                    </a:stretch>
                  </pic:blipFill>
                  <pic:spPr>
                    <a:xfrm>
                      <a:off x="0" y="0"/>
                      <a:ext cx="4955238" cy="1086032"/>
                    </a:xfrm>
                    <a:prstGeom prst="rect">
                      <a:avLst/>
                    </a:prstGeom>
                  </pic:spPr>
                </pic:pic>
              </a:graphicData>
            </a:graphic>
          </wp:inline>
        </w:drawing>
      </w:r>
    </w:p>
    <w:p w14:paraId="700C2F11">
      <w:pPr>
        <w:spacing w:before="312" w:beforeLines="100" w:after="312" w:afterLines="100"/>
        <w:ind w:firstLine="723"/>
        <w:jc w:val="center"/>
        <w:rPr>
          <w:rFonts w:cs="宋体"/>
          <w:b/>
          <w:bCs/>
          <w:sz w:val="36"/>
          <w:szCs w:val="36"/>
        </w:rPr>
      </w:pPr>
      <w:r>
        <w:rPr>
          <w:rFonts w:hint="eastAsia" w:cs="宋体"/>
          <w:b/>
          <w:bCs/>
          <w:sz w:val="36"/>
          <w:szCs w:val="36"/>
        </w:rPr>
        <w:t>福建广生堂药业股份有限公司</w:t>
      </w:r>
    </w:p>
    <w:p w14:paraId="1E7680F6">
      <w:pPr>
        <w:spacing w:before="312" w:beforeLines="100" w:after="312" w:afterLines="100"/>
        <w:ind w:firstLine="723"/>
        <w:jc w:val="center"/>
        <w:rPr>
          <w:rFonts w:cs="宋体"/>
          <w:b/>
          <w:bCs/>
          <w:sz w:val="36"/>
          <w:szCs w:val="36"/>
        </w:rPr>
      </w:pPr>
      <w:r>
        <w:rPr>
          <w:rFonts w:hint="eastAsia" w:cs="宋体"/>
          <w:b/>
          <w:bCs/>
          <w:sz w:val="36"/>
          <w:szCs w:val="36"/>
        </w:rPr>
        <w:t>2024年度监事会工作报告</w:t>
      </w:r>
    </w:p>
    <w:p w14:paraId="433E296B">
      <w:pPr>
        <w:widowControl/>
        <w:snapToGrid w:val="0"/>
        <w:spacing w:before="100" w:beforeAutospacing="1" w:after="375"/>
        <w:jc w:val="center"/>
        <w:rPr>
          <w:rFonts w:cs="宋体"/>
          <w:b/>
          <w:bCs/>
          <w:kern w:val="0"/>
          <w:sz w:val="22"/>
          <w:szCs w:val="22"/>
        </w:rPr>
      </w:pPr>
    </w:p>
    <w:p w14:paraId="42C7D5B9">
      <w:pPr>
        <w:widowControl/>
        <w:snapToGrid w:val="0"/>
        <w:spacing w:before="100" w:beforeAutospacing="1" w:after="375"/>
        <w:jc w:val="center"/>
        <w:rPr>
          <w:rFonts w:cs="宋体"/>
          <w:b/>
          <w:bCs/>
          <w:kern w:val="0"/>
          <w:sz w:val="22"/>
          <w:szCs w:val="22"/>
        </w:rPr>
      </w:pPr>
    </w:p>
    <w:p w14:paraId="075EEA9C">
      <w:pPr>
        <w:widowControl/>
        <w:snapToGrid w:val="0"/>
        <w:spacing w:before="100" w:beforeAutospacing="1" w:after="375"/>
        <w:rPr>
          <w:rFonts w:cs="宋体"/>
          <w:b/>
          <w:bCs/>
          <w:kern w:val="0"/>
          <w:sz w:val="22"/>
          <w:szCs w:val="22"/>
        </w:rPr>
      </w:pPr>
    </w:p>
    <w:p w14:paraId="5F5B1253">
      <w:pPr>
        <w:widowControl/>
        <w:snapToGrid w:val="0"/>
        <w:spacing w:before="100" w:beforeAutospacing="1" w:after="375"/>
        <w:ind w:firstLine="723"/>
        <w:jc w:val="center"/>
        <w:rPr>
          <w:rFonts w:cs="宋体"/>
          <w:b/>
          <w:bCs/>
          <w:kern w:val="0"/>
          <w:sz w:val="36"/>
          <w:szCs w:val="36"/>
        </w:rPr>
      </w:pPr>
      <w:r>
        <w:rPr>
          <w:rFonts w:hint="eastAsia" w:cs="宋体"/>
          <w:b/>
          <w:bCs/>
          <w:kern w:val="0"/>
          <w:sz w:val="36"/>
          <w:szCs w:val="36"/>
        </w:rPr>
        <w:t>2025年4月</w:t>
      </w:r>
    </w:p>
    <w:p w14:paraId="43DAE812">
      <w:pPr>
        <w:ind w:firstLine="723"/>
        <w:rPr>
          <w:rFonts w:cs="宋体"/>
          <w:b/>
          <w:bCs/>
          <w:kern w:val="0"/>
          <w:sz w:val="36"/>
          <w:szCs w:val="36"/>
        </w:rPr>
      </w:pPr>
      <w:r>
        <w:rPr>
          <w:rFonts w:hint="eastAsia" w:cs="宋体"/>
          <w:b/>
          <w:bCs/>
          <w:kern w:val="0"/>
          <w:sz w:val="36"/>
          <w:szCs w:val="36"/>
        </w:rPr>
        <w:br w:type="page"/>
      </w:r>
    </w:p>
    <w:p w14:paraId="4005E649">
      <w:pPr>
        <w:ind w:firstLine="480"/>
      </w:pPr>
      <w:r>
        <w:rPr>
          <w:rFonts w:hint="eastAsia"/>
        </w:rPr>
        <w:t>2024年，福建广生堂药业股份有限公司（以下简称“公司”）监事会根据《中华人民共和国公司法》（以下简称“</w:t>
      </w:r>
      <w:r>
        <w:rPr>
          <w:rFonts w:hint="eastAsia"/>
          <w:lang w:eastAsia="zh-CN"/>
        </w:rPr>
        <w:t>《</w:t>
      </w:r>
      <w:r>
        <w:rPr>
          <w:rFonts w:hint="eastAsia"/>
        </w:rPr>
        <w:t>公司法</w:t>
      </w:r>
      <w:r>
        <w:rPr>
          <w:rFonts w:hint="eastAsia"/>
          <w:lang w:eastAsia="zh-CN"/>
        </w:rPr>
        <w:t>》</w:t>
      </w:r>
      <w:r>
        <w:rPr>
          <w:rFonts w:hint="eastAsia"/>
        </w:rPr>
        <w:t>”）《中华人民共和国证券法》（以下简称“《</w:t>
      </w:r>
      <w:r>
        <w:rPr>
          <w:rFonts w:hint="eastAsia"/>
          <w:lang w:val="en-US" w:eastAsia="zh-CN"/>
        </w:rPr>
        <w:t>证券法</w:t>
      </w:r>
      <w:r>
        <w:rPr>
          <w:rFonts w:hint="eastAsia"/>
        </w:rPr>
        <w:t>》”）以及其</w:t>
      </w:r>
      <w:r>
        <w:rPr>
          <w:rFonts w:hint="eastAsia"/>
          <w:lang w:val="en-US" w:eastAsia="zh-CN"/>
        </w:rPr>
        <w:t>他</w:t>
      </w:r>
      <w:r>
        <w:rPr>
          <w:rFonts w:hint="eastAsia"/>
        </w:rPr>
        <w:t>法律、法规、规章和《公司章程》《监事会议事规则》的规定，本着对公司全体股东负责的原则，依法履行职责，通过列席董事会、股东大会，对公司生产经营活动、重大事项、财务状况及董事会、高级管理人员履行职责情况等进行监督，在维护公司利益、股东合法权益、改善公司治理结构等工作中，发挥了应有的作用。现将2024年度监事会履职情况报告如下：</w:t>
      </w:r>
    </w:p>
    <w:p w14:paraId="3D606000">
      <w:pPr>
        <w:pStyle w:val="2"/>
        <w:spacing w:before="156" w:after="156"/>
      </w:pPr>
      <w:r>
        <w:rPr>
          <w:rFonts w:hint="eastAsia"/>
        </w:rPr>
        <w:t>一、监事会会议召开情况</w:t>
      </w:r>
    </w:p>
    <w:p w14:paraId="354FC5E7">
      <w:pPr>
        <w:ind w:firstLine="480"/>
      </w:pPr>
      <w:r>
        <w:rPr>
          <w:rFonts w:hint="eastAsia"/>
        </w:rPr>
        <w:t>公司监事会设监事3名，其中职工代表监事1名，监事会的人数及人员构成符合法律、法规的要求。报告期内，公司监事会共召开了9次会议，所有议案均获得全票通过，会议召集、召开程序符合《公司法》《公司章程》及《监事会议事规则》等法律、法规、规定性文件的规定，具体情况如下：</w:t>
      </w:r>
    </w:p>
    <w:tbl>
      <w:tblPr>
        <w:tblStyle w:val="11"/>
        <w:tblW w:w="8420" w:type="dxa"/>
        <w:jc w:val="center"/>
        <w:tblLayout w:type="autofit"/>
        <w:tblCellMar>
          <w:top w:w="0" w:type="dxa"/>
          <w:left w:w="108" w:type="dxa"/>
          <w:bottom w:w="0" w:type="dxa"/>
          <w:right w:w="108" w:type="dxa"/>
        </w:tblCellMar>
      </w:tblPr>
      <w:tblGrid>
        <w:gridCol w:w="1680"/>
        <w:gridCol w:w="1430"/>
        <w:gridCol w:w="5310"/>
      </w:tblGrid>
      <w:tr w14:paraId="33B7FAA2">
        <w:tblPrEx>
          <w:tblCellMar>
            <w:top w:w="0" w:type="dxa"/>
            <w:left w:w="108" w:type="dxa"/>
            <w:bottom w:w="0" w:type="dxa"/>
            <w:right w:w="108" w:type="dxa"/>
          </w:tblCellMar>
        </w:tblPrEx>
        <w:trPr>
          <w:trHeight w:val="240" w:hRule="atLeast"/>
          <w:jc w:val="center"/>
        </w:trPr>
        <w:tc>
          <w:tcPr>
            <w:tcW w:w="168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506809F5">
            <w:pPr>
              <w:widowControl/>
              <w:spacing w:line="240" w:lineRule="auto"/>
              <w:ind w:firstLine="0" w:firstLineChars="0"/>
              <w:jc w:val="center"/>
              <w:textAlignment w:val="center"/>
              <w:rPr>
                <w:rFonts w:cs="宋体"/>
                <w:b/>
                <w:bCs/>
                <w:color w:val="000000"/>
                <w:sz w:val="18"/>
                <w:szCs w:val="18"/>
              </w:rPr>
            </w:pPr>
            <w:r>
              <w:rPr>
                <w:rFonts w:hint="eastAsia" w:cs="宋体"/>
                <w:b/>
                <w:bCs/>
                <w:color w:val="000000"/>
                <w:kern w:val="0"/>
                <w:sz w:val="18"/>
                <w:szCs w:val="18"/>
                <w:lang w:bidi="ar"/>
              </w:rPr>
              <w:t>会议名称</w:t>
            </w:r>
          </w:p>
        </w:tc>
        <w:tc>
          <w:tcPr>
            <w:tcW w:w="143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4252CA14">
            <w:pPr>
              <w:widowControl/>
              <w:spacing w:line="240" w:lineRule="auto"/>
              <w:ind w:firstLine="0" w:firstLineChars="0"/>
              <w:jc w:val="center"/>
              <w:textAlignment w:val="center"/>
              <w:rPr>
                <w:rFonts w:cs="宋体"/>
                <w:b/>
                <w:bCs/>
                <w:color w:val="000000"/>
                <w:sz w:val="18"/>
                <w:szCs w:val="18"/>
              </w:rPr>
            </w:pPr>
            <w:r>
              <w:rPr>
                <w:rFonts w:hint="eastAsia" w:cs="宋体"/>
                <w:b/>
                <w:bCs/>
                <w:color w:val="000000"/>
                <w:kern w:val="0"/>
                <w:sz w:val="18"/>
                <w:szCs w:val="18"/>
                <w:lang w:bidi="ar"/>
              </w:rPr>
              <w:t>时间</w:t>
            </w:r>
          </w:p>
        </w:tc>
        <w:tc>
          <w:tcPr>
            <w:tcW w:w="531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7D1F4571">
            <w:pPr>
              <w:widowControl/>
              <w:spacing w:line="240" w:lineRule="auto"/>
              <w:ind w:firstLine="0" w:firstLineChars="0"/>
              <w:jc w:val="center"/>
              <w:textAlignment w:val="center"/>
              <w:rPr>
                <w:rFonts w:cs="宋体"/>
                <w:b/>
                <w:bCs/>
                <w:color w:val="000000"/>
                <w:sz w:val="18"/>
                <w:szCs w:val="18"/>
              </w:rPr>
            </w:pPr>
            <w:r>
              <w:rPr>
                <w:rFonts w:hint="eastAsia" w:cs="宋体"/>
                <w:b/>
                <w:bCs/>
                <w:color w:val="000000"/>
                <w:kern w:val="0"/>
                <w:sz w:val="18"/>
                <w:szCs w:val="18"/>
                <w:lang w:bidi="ar"/>
              </w:rPr>
              <w:t>议案名称</w:t>
            </w:r>
          </w:p>
        </w:tc>
      </w:tr>
      <w:tr w14:paraId="3127922A">
        <w:tblPrEx>
          <w:tblCellMar>
            <w:top w:w="0" w:type="dxa"/>
            <w:left w:w="108" w:type="dxa"/>
            <w:bottom w:w="0" w:type="dxa"/>
            <w:right w:w="108" w:type="dxa"/>
          </w:tblCellMar>
        </w:tblPrEx>
        <w:trPr>
          <w:trHeight w:val="480" w:hRule="atLeast"/>
          <w:jc w:val="center"/>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F8FC">
            <w:pPr>
              <w:widowControl/>
              <w:spacing w:line="240" w:lineRule="auto"/>
              <w:ind w:firstLine="0" w:firstLineChars="0"/>
              <w:jc w:val="center"/>
              <w:textAlignment w:val="center"/>
              <w:rPr>
                <w:rFonts w:cs="宋体"/>
                <w:color w:val="000000"/>
                <w:sz w:val="18"/>
                <w:szCs w:val="18"/>
              </w:rPr>
            </w:pPr>
            <w:r>
              <w:rPr>
                <w:rFonts w:hint="eastAsia" w:cs="宋体"/>
                <w:color w:val="000000"/>
                <w:kern w:val="0"/>
                <w:sz w:val="18"/>
                <w:szCs w:val="18"/>
                <w:lang w:bidi="ar"/>
              </w:rPr>
              <w:t>第四届监事会第二十五次会议</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B71B">
            <w:pPr>
              <w:widowControl/>
              <w:spacing w:line="240" w:lineRule="auto"/>
              <w:ind w:firstLine="0" w:firstLineChars="0"/>
              <w:jc w:val="center"/>
              <w:textAlignment w:val="center"/>
              <w:rPr>
                <w:rFonts w:cs="宋体"/>
                <w:color w:val="000000"/>
                <w:sz w:val="18"/>
                <w:szCs w:val="18"/>
              </w:rPr>
            </w:pPr>
            <w:r>
              <w:rPr>
                <w:rFonts w:hint="eastAsia" w:cs="宋体"/>
                <w:color w:val="000000"/>
                <w:kern w:val="0"/>
                <w:sz w:val="18"/>
                <w:szCs w:val="18"/>
                <w:lang w:bidi="ar"/>
              </w:rPr>
              <w:t>2024年1月9日</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85A9">
            <w:pPr>
              <w:widowControl/>
              <w:spacing w:line="240" w:lineRule="auto"/>
              <w:ind w:firstLine="0" w:firstLineChars="0"/>
              <w:textAlignment w:val="center"/>
              <w:rPr>
                <w:rFonts w:cs="宋体"/>
                <w:color w:val="000000"/>
                <w:sz w:val="18"/>
                <w:szCs w:val="18"/>
              </w:rPr>
            </w:pPr>
            <w:r>
              <w:rPr>
                <w:rFonts w:hint="eastAsia" w:cs="宋体"/>
                <w:color w:val="000000"/>
                <w:kern w:val="0"/>
                <w:sz w:val="18"/>
                <w:szCs w:val="18"/>
                <w:lang w:bidi="ar"/>
              </w:rPr>
              <w:t>《关于对外投资设立控股子公司暨关联交易的议案》</w:t>
            </w:r>
          </w:p>
        </w:tc>
      </w:tr>
      <w:tr w14:paraId="0DFC49D7">
        <w:tblPrEx>
          <w:tblCellMar>
            <w:top w:w="0" w:type="dxa"/>
            <w:left w:w="108" w:type="dxa"/>
            <w:bottom w:w="0" w:type="dxa"/>
            <w:right w:w="108" w:type="dxa"/>
          </w:tblCellMar>
        </w:tblPrEx>
        <w:trPr>
          <w:trHeight w:val="240" w:hRule="atLeast"/>
          <w:jc w:val="center"/>
        </w:trPr>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1F3311">
            <w:pPr>
              <w:widowControl/>
              <w:spacing w:line="240" w:lineRule="auto"/>
              <w:ind w:firstLine="0" w:firstLineChars="0"/>
              <w:jc w:val="center"/>
              <w:textAlignment w:val="center"/>
              <w:rPr>
                <w:rFonts w:cs="宋体"/>
                <w:color w:val="000000"/>
                <w:sz w:val="18"/>
                <w:szCs w:val="18"/>
              </w:rPr>
            </w:pPr>
            <w:r>
              <w:rPr>
                <w:rFonts w:hint="eastAsia" w:cs="宋体"/>
                <w:color w:val="000000"/>
                <w:kern w:val="0"/>
                <w:sz w:val="18"/>
                <w:szCs w:val="18"/>
                <w:lang w:bidi="ar"/>
              </w:rPr>
              <w:t>第四届监事会第二十六次会议</w:t>
            </w: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F6FCE7">
            <w:pPr>
              <w:widowControl/>
              <w:spacing w:line="240" w:lineRule="auto"/>
              <w:ind w:firstLine="0" w:firstLineChars="0"/>
              <w:jc w:val="center"/>
              <w:textAlignment w:val="center"/>
              <w:rPr>
                <w:rFonts w:cs="宋体"/>
                <w:color w:val="000000"/>
                <w:sz w:val="18"/>
                <w:szCs w:val="18"/>
              </w:rPr>
            </w:pPr>
            <w:r>
              <w:rPr>
                <w:rFonts w:hint="eastAsia" w:cs="宋体"/>
                <w:color w:val="000000"/>
                <w:kern w:val="0"/>
                <w:sz w:val="18"/>
                <w:szCs w:val="18"/>
                <w:lang w:bidi="ar"/>
              </w:rPr>
              <w:t>2024年3月29日</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E8B5">
            <w:pPr>
              <w:widowControl/>
              <w:spacing w:line="240" w:lineRule="auto"/>
              <w:ind w:firstLine="0" w:firstLineChars="0"/>
              <w:jc w:val="left"/>
              <w:textAlignment w:val="center"/>
              <w:rPr>
                <w:rFonts w:cs="宋体"/>
                <w:color w:val="000000"/>
                <w:sz w:val="18"/>
                <w:szCs w:val="18"/>
              </w:rPr>
            </w:pPr>
            <w:r>
              <w:rPr>
                <w:rFonts w:hint="eastAsia" w:cs="宋体"/>
                <w:color w:val="000000"/>
                <w:kern w:val="0"/>
                <w:sz w:val="18"/>
                <w:szCs w:val="18"/>
                <w:lang w:bidi="ar"/>
              </w:rPr>
              <w:t>《关于公司会计估计变更的议案》</w:t>
            </w:r>
          </w:p>
        </w:tc>
      </w:tr>
      <w:tr w14:paraId="2512DE96">
        <w:tblPrEx>
          <w:tblCellMar>
            <w:top w:w="0" w:type="dxa"/>
            <w:left w:w="108" w:type="dxa"/>
            <w:bottom w:w="0" w:type="dxa"/>
            <w:right w:w="108" w:type="dxa"/>
          </w:tblCellMar>
        </w:tblPrEx>
        <w:trPr>
          <w:trHeight w:val="240" w:hRule="atLeast"/>
          <w:jc w:val="center"/>
        </w:trPr>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967BE">
            <w:pPr>
              <w:widowControl/>
              <w:spacing w:line="240" w:lineRule="auto"/>
              <w:ind w:firstLine="0" w:firstLineChars="0"/>
              <w:jc w:val="center"/>
              <w:rPr>
                <w:rFonts w:cs="宋体"/>
                <w:color w:val="000000"/>
                <w:sz w:val="18"/>
                <w:szCs w:val="18"/>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DA50F">
            <w:pPr>
              <w:widowControl/>
              <w:spacing w:line="240" w:lineRule="auto"/>
              <w:ind w:firstLine="0" w:firstLineChars="0"/>
              <w:jc w:val="center"/>
              <w:rPr>
                <w:rFonts w:cs="宋体"/>
                <w:color w:val="000000"/>
                <w:sz w:val="18"/>
                <w:szCs w:val="18"/>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23C4">
            <w:pPr>
              <w:widowControl/>
              <w:spacing w:line="240" w:lineRule="auto"/>
              <w:ind w:firstLine="0" w:firstLineChars="0"/>
              <w:jc w:val="left"/>
              <w:textAlignment w:val="center"/>
              <w:rPr>
                <w:rFonts w:cs="宋体"/>
                <w:color w:val="000000"/>
                <w:sz w:val="18"/>
                <w:szCs w:val="18"/>
              </w:rPr>
            </w:pPr>
            <w:r>
              <w:rPr>
                <w:rFonts w:hint="eastAsia" w:cs="宋体"/>
                <w:color w:val="000000"/>
                <w:kern w:val="0"/>
                <w:sz w:val="18"/>
                <w:szCs w:val="18"/>
                <w:lang w:bidi="ar"/>
              </w:rPr>
              <w:t>《关于终止部分&lt;技术服务合同&gt;暨关联交易的议案》</w:t>
            </w:r>
          </w:p>
        </w:tc>
      </w:tr>
      <w:tr w14:paraId="09DAAFB5">
        <w:tblPrEx>
          <w:tblCellMar>
            <w:top w:w="0" w:type="dxa"/>
            <w:left w:w="108" w:type="dxa"/>
            <w:bottom w:w="0" w:type="dxa"/>
            <w:right w:w="108" w:type="dxa"/>
          </w:tblCellMar>
        </w:tblPrEx>
        <w:trPr>
          <w:trHeight w:val="240" w:hRule="atLeast"/>
          <w:jc w:val="center"/>
        </w:trPr>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F1E5CD">
            <w:pPr>
              <w:widowControl/>
              <w:spacing w:line="240" w:lineRule="auto"/>
              <w:ind w:firstLine="0" w:firstLineChars="0"/>
              <w:jc w:val="center"/>
              <w:textAlignment w:val="center"/>
              <w:rPr>
                <w:rFonts w:cs="宋体"/>
                <w:color w:val="000000"/>
                <w:sz w:val="18"/>
                <w:szCs w:val="18"/>
              </w:rPr>
            </w:pPr>
            <w:r>
              <w:rPr>
                <w:rFonts w:hint="eastAsia" w:cs="宋体"/>
                <w:color w:val="000000"/>
                <w:kern w:val="0"/>
                <w:sz w:val="18"/>
                <w:szCs w:val="18"/>
                <w:lang w:bidi="ar"/>
              </w:rPr>
              <w:t>第四届监事会第二十七次会议</w:t>
            </w: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09C3FC">
            <w:pPr>
              <w:widowControl/>
              <w:spacing w:line="240" w:lineRule="auto"/>
              <w:ind w:firstLine="0" w:firstLineChars="0"/>
              <w:jc w:val="center"/>
              <w:textAlignment w:val="center"/>
              <w:rPr>
                <w:rFonts w:cs="宋体"/>
                <w:color w:val="000000"/>
                <w:sz w:val="18"/>
                <w:szCs w:val="18"/>
              </w:rPr>
            </w:pPr>
            <w:r>
              <w:rPr>
                <w:rFonts w:hint="eastAsia" w:cs="宋体"/>
                <w:color w:val="000000"/>
                <w:kern w:val="0"/>
                <w:sz w:val="18"/>
                <w:szCs w:val="18"/>
                <w:lang w:bidi="ar"/>
              </w:rPr>
              <w:t>2024年4月18日</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8492">
            <w:pPr>
              <w:widowControl/>
              <w:spacing w:line="240" w:lineRule="auto"/>
              <w:ind w:firstLine="0" w:firstLineChars="0"/>
              <w:jc w:val="left"/>
              <w:textAlignment w:val="center"/>
              <w:rPr>
                <w:rFonts w:cs="宋体"/>
                <w:color w:val="000000"/>
                <w:sz w:val="18"/>
                <w:szCs w:val="18"/>
              </w:rPr>
            </w:pPr>
            <w:r>
              <w:rPr>
                <w:rFonts w:hint="eastAsia" w:cs="宋体"/>
                <w:color w:val="000000"/>
                <w:kern w:val="0"/>
                <w:sz w:val="18"/>
                <w:szCs w:val="18"/>
                <w:lang w:bidi="ar"/>
              </w:rPr>
              <w:t>《关于&lt;2023年度监事会工作报告&gt;的议案》</w:t>
            </w:r>
          </w:p>
        </w:tc>
      </w:tr>
      <w:tr w14:paraId="55C2DC72">
        <w:tblPrEx>
          <w:tblCellMar>
            <w:top w:w="0" w:type="dxa"/>
            <w:left w:w="108" w:type="dxa"/>
            <w:bottom w:w="0" w:type="dxa"/>
            <w:right w:w="108" w:type="dxa"/>
          </w:tblCellMar>
        </w:tblPrEx>
        <w:trPr>
          <w:trHeight w:val="240" w:hRule="atLeast"/>
          <w:jc w:val="center"/>
        </w:trPr>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35DFD">
            <w:pPr>
              <w:widowControl/>
              <w:spacing w:line="240" w:lineRule="auto"/>
              <w:ind w:firstLine="0" w:firstLineChars="0"/>
              <w:jc w:val="center"/>
              <w:rPr>
                <w:rFonts w:cs="宋体"/>
                <w:color w:val="000000"/>
                <w:sz w:val="18"/>
                <w:szCs w:val="18"/>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98555">
            <w:pPr>
              <w:widowControl/>
              <w:spacing w:line="240" w:lineRule="auto"/>
              <w:ind w:firstLine="0" w:firstLineChars="0"/>
              <w:jc w:val="center"/>
              <w:rPr>
                <w:rFonts w:cs="宋体"/>
                <w:color w:val="000000"/>
                <w:sz w:val="18"/>
                <w:szCs w:val="18"/>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E03A">
            <w:pPr>
              <w:widowControl/>
              <w:spacing w:line="240" w:lineRule="auto"/>
              <w:ind w:firstLine="0" w:firstLineChars="0"/>
              <w:jc w:val="left"/>
              <w:textAlignment w:val="center"/>
              <w:rPr>
                <w:rFonts w:cs="宋体"/>
                <w:color w:val="000000"/>
                <w:sz w:val="18"/>
                <w:szCs w:val="18"/>
              </w:rPr>
            </w:pPr>
            <w:r>
              <w:rPr>
                <w:rFonts w:hint="eastAsia" w:cs="宋体"/>
                <w:color w:val="000000"/>
                <w:kern w:val="0"/>
                <w:sz w:val="18"/>
                <w:szCs w:val="18"/>
                <w:lang w:bidi="ar"/>
              </w:rPr>
              <w:t>《关于&lt;2023年年度报告&gt;及其摘要的议案》</w:t>
            </w:r>
          </w:p>
        </w:tc>
      </w:tr>
      <w:tr w14:paraId="3B5777B4">
        <w:tblPrEx>
          <w:tblCellMar>
            <w:top w:w="0" w:type="dxa"/>
            <w:left w:w="108" w:type="dxa"/>
            <w:bottom w:w="0" w:type="dxa"/>
            <w:right w:w="108" w:type="dxa"/>
          </w:tblCellMar>
        </w:tblPrEx>
        <w:trPr>
          <w:trHeight w:val="240" w:hRule="atLeast"/>
          <w:jc w:val="center"/>
        </w:trPr>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FF747">
            <w:pPr>
              <w:widowControl/>
              <w:spacing w:line="240" w:lineRule="auto"/>
              <w:ind w:firstLine="0" w:firstLineChars="0"/>
              <w:jc w:val="center"/>
              <w:rPr>
                <w:rFonts w:cs="宋体"/>
                <w:color w:val="000000"/>
                <w:sz w:val="18"/>
                <w:szCs w:val="18"/>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E2DEB">
            <w:pPr>
              <w:widowControl/>
              <w:spacing w:line="240" w:lineRule="auto"/>
              <w:ind w:firstLine="0" w:firstLineChars="0"/>
              <w:jc w:val="center"/>
              <w:rPr>
                <w:rFonts w:cs="宋体"/>
                <w:color w:val="000000"/>
                <w:sz w:val="18"/>
                <w:szCs w:val="18"/>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6304">
            <w:pPr>
              <w:widowControl/>
              <w:spacing w:line="240" w:lineRule="auto"/>
              <w:ind w:firstLine="0" w:firstLineChars="0"/>
              <w:jc w:val="left"/>
              <w:textAlignment w:val="center"/>
              <w:rPr>
                <w:rFonts w:cs="宋体"/>
                <w:color w:val="000000"/>
                <w:sz w:val="18"/>
                <w:szCs w:val="18"/>
              </w:rPr>
            </w:pPr>
            <w:r>
              <w:rPr>
                <w:rFonts w:hint="eastAsia" w:cs="宋体"/>
                <w:color w:val="000000"/>
                <w:kern w:val="0"/>
                <w:sz w:val="18"/>
                <w:szCs w:val="18"/>
                <w:lang w:bidi="ar"/>
              </w:rPr>
              <w:t>《关于&lt;2023年度审计报告&gt;的议案》</w:t>
            </w:r>
          </w:p>
        </w:tc>
      </w:tr>
      <w:tr w14:paraId="57CCD9FA">
        <w:tblPrEx>
          <w:tblCellMar>
            <w:top w:w="0" w:type="dxa"/>
            <w:left w:w="108" w:type="dxa"/>
            <w:bottom w:w="0" w:type="dxa"/>
            <w:right w:w="108" w:type="dxa"/>
          </w:tblCellMar>
        </w:tblPrEx>
        <w:trPr>
          <w:trHeight w:val="240" w:hRule="atLeast"/>
          <w:jc w:val="center"/>
        </w:trPr>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819C5">
            <w:pPr>
              <w:widowControl/>
              <w:spacing w:line="240" w:lineRule="auto"/>
              <w:ind w:firstLine="0" w:firstLineChars="0"/>
              <w:jc w:val="center"/>
              <w:rPr>
                <w:rFonts w:cs="宋体"/>
                <w:color w:val="000000"/>
                <w:sz w:val="18"/>
                <w:szCs w:val="18"/>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16B30">
            <w:pPr>
              <w:widowControl/>
              <w:spacing w:line="240" w:lineRule="auto"/>
              <w:ind w:firstLine="0" w:firstLineChars="0"/>
              <w:jc w:val="center"/>
              <w:rPr>
                <w:rFonts w:cs="宋体"/>
                <w:color w:val="000000"/>
                <w:sz w:val="18"/>
                <w:szCs w:val="18"/>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9FB5C">
            <w:pPr>
              <w:widowControl/>
              <w:spacing w:line="240" w:lineRule="auto"/>
              <w:ind w:firstLine="0" w:firstLineChars="0"/>
              <w:jc w:val="left"/>
              <w:textAlignment w:val="center"/>
              <w:rPr>
                <w:rFonts w:cs="宋体"/>
                <w:color w:val="000000"/>
                <w:sz w:val="18"/>
                <w:szCs w:val="18"/>
              </w:rPr>
            </w:pPr>
            <w:r>
              <w:rPr>
                <w:rFonts w:hint="eastAsia" w:cs="宋体"/>
                <w:color w:val="000000"/>
                <w:kern w:val="0"/>
                <w:sz w:val="18"/>
                <w:szCs w:val="18"/>
                <w:lang w:bidi="ar"/>
              </w:rPr>
              <w:t>《关于&lt;2023年度财务决算报告&gt;的议案》</w:t>
            </w:r>
          </w:p>
        </w:tc>
      </w:tr>
      <w:tr w14:paraId="13BB9368">
        <w:tblPrEx>
          <w:tblCellMar>
            <w:top w:w="0" w:type="dxa"/>
            <w:left w:w="108" w:type="dxa"/>
            <w:bottom w:w="0" w:type="dxa"/>
            <w:right w:w="108" w:type="dxa"/>
          </w:tblCellMar>
        </w:tblPrEx>
        <w:trPr>
          <w:trHeight w:val="240" w:hRule="atLeast"/>
          <w:jc w:val="center"/>
        </w:trPr>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338B0">
            <w:pPr>
              <w:widowControl/>
              <w:spacing w:line="240" w:lineRule="auto"/>
              <w:ind w:firstLine="0" w:firstLineChars="0"/>
              <w:jc w:val="center"/>
              <w:rPr>
                <w:rFonts w:cs="宋体"/>
                <w:color w:val="000000"/>
                <w:sz w:val="18"/>
                <w:szCs w:val="18"/>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2B539">
            <w:pPr>
              <w:widowControl/>
              <w:spacing w:line="240" w:lineRule="auto"/>
              <w:ind w:firstLine="0" w:firstLineChars="0"/>
              <w:jc w:val="center"/>
              <w:rPr>
                <w:rFonts w:cs="宋体"/>
                <w:color w:val="000000"/>
                <w:sz w:val="18"/>
                <w:szCs w:val="18"/>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F3CB">
            <w:pPr>
              <w:widowControl/>
              <w:spacing w:line="240" w:lineRule="auto"/>
              <w:ind w:firstLine="0" w:firstLineChars="0"/>
              <w:jc w:val="left"/>
              <w:textAlignment w:val="center"/>
              <w:rPr>
                <w:rFonts w:cs="宋体"/>
                <w:color w:val="000000"/>
                <w:sz w:val="18"/>
                <w:szCs w:val="18"/>
              </w:rPr>
            </w:pPr>
            <w:r>
              <w:rPr>
                <w:rFonts w:hint="eastAsia" w:cs="宋体"/>
                <w:color w:val="000000"/>
                <w:kern w:val="0"/>
                <w:sz w:val="18"/>
                <w:szCs w:val="18"/>
                <w:lang w:bidi="ar"/>
              </w:rPr>
              <w:t>《关于&lt;2023年度内部控制自我评价报告&gt;的议案》</w:t>
            </w:r>
          </w:p>
        </w:tc>
      </w:tr>
      <w:tr w14:paraId="7AEEFDBC">
        <w:tblPrEx>
          <w:tblCellMar>
            <w:top w:w="0" w:type="dxa"/>
            <w:left w:w="108" w:type="dxa"/>
            <w:bottom w:w="0" w:type="dxa"/>
            <w:right w:w="108" w:type="dxa"/>
          </w:tblCellMar>
        </w:tblPrEx>
        <w:trPr>
          <w:trHeight w:val="240" w:hRule="atLeast"/>
          <w:jc w:val="center"/>
        </w:trPr>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2BC66">
            <w:pPr>
              <w:widowControl/>
              <w:spacing w:line="240" w:lineRule="auto"/>
              <w:ind w:firstLine="0" w:firstLineChars="0"/>
              <w:jc w:val="center"/>
              <w:rPr>
                <w:rFonts w:cs="宋体"/>
                <w:color w:val="000000"/>
                <w:sz w:val="18"/>
                <w:szCs w:val="18"/>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250B2">
            <w:pPr>
              <w:widowControl/>
              <w:spacing w:line="240" w:lineRule="auto"/>
              <w:ind w:firstLine="0" w:firstLineChars="0"/>
              <w:jc w:val="center"/>
              <w:rPr>
                <w:rFonts w:cs="宋体"/>
                <w:color w:val="000000"/>
                <w:sz w:val="18"/>
                <w:szCs w:val="18"/>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ACFB">
            <w:pPr>
              <w:widowControl/>
              <w:spacing w:line="240" w:lineRule="auto"/>
              <w:ind w:firstLine="0" w:firstLineChars="0"/>
              <w:jc w:val="left"/>
              <w:textAlignment w:val="center"/>
              <w:rPr>
                <w:rFonts w:cs="宋体"/>
                <w:color w:val="000000"/>
                <w:sz w:val="18"/>
                <w:szCs w:val="18"/>
              </w:rPr>
            </w:pPr>
            <w:r>
              <w:rPr>
                <w:rFonts w:hint="eastAsia" w:cs="宋体"/>
                <w:color w:val="000000"/>
                <w:kern w:val="0"/>
                <w:sz w:val="18"/>
                <w:szCs w:val="18"/>
                <w:lang w:bidi="ar"/>
              </w:rPr>
              <w:t>《关于续聘公司2024年度会计师事务所的议案》</w:t>
            </w:r>
          </w:p>
        </w:tc>
      </w:tr>
      <w:tr w14:paraId="370ED841">
        <w:tblPrEx>
          <w:tblCellMar>
            <w:top w:w="0" w:type="dxa"/>
            <w:left w:w="108" w:type="dxa"/>
            <w:bottom w:w="0" w:type="dxa"/>
            <w:right w:w="108" w:type="dxa"/>
          </w:tblCellMar>
        </w:tblPrEx>
        <w:trPr>
          <w:trHeight w:val="240" w:hRule="atLeast"/>
          <w:jc w:val="center"/>
        </w:trPr>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90C5C">
            <w:pPr>
              <w:widowControl/>
              <w:spacing w:line="240" w:lineRule="auto"/>
              <w:ind w:firstLine="0" w:firstLineChars="0"/>
              <w:jc w:val="center"/>
              <w:rPr>
                <w:rFonts w:cs="宋体"/>
                <w:color w:val="000000"/>
                <w:sz w:val="18"/>
                <w:szCs w:val="18"/>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BF106">
            <w:pPr>
              <w:widowControl/>
              <w:spacing w:line="240" w:lineRule="auto"/>
              <w:ind w:firstLine="0" w:firstLineChars="0"/>
              <w:jc w:val="center"/>
              <w:rPr>
                <w:rFonts w:cs="宋体"/>
                <w:color w:val="000000"/>
                <w:sz w:val="18"/>
                <w:szCs w:val="18"/>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5795">
            <w:pPr>
              <w:widowControl/>
              <w:spacing w:line="240" w:lineRule="auto"/>
              <w:ind w:firstLine="0" w:firstLineChars="0"/>
              <w:jc w:val="left"/>
              <w:textAlignment w:val="center"/>
              <w:rPr>
                <w:rFonts w:cs="宋体"/>
                <w:color w:val="000000"/>
                <w:sz w:val="18"/>
                <w:szCs w:val="18"/>
              </w:rPr>
            </w:pPr>
            <w:r>
              <w:rPr>
                <w:rFonts w:hint="eastAsia" w:cs="宋体"/>
                <w:color w:val="000000"/>
                <w:kern w:val="0"/>
                <w:sz w:val="18"/>
                <w:szCs w:val="18"/>
                <w:lang w:bidi="ar"/>
              </w:rPr>
              <w:t>《关于2023年度利润分配预案的议案》</w:t>
            </w:r>
          </w:p>
        </w:tc>
      </w:tr>
      <w:tr w14:paraId="296DC872">
        <w:tblPrEx>
          <w:tblCellMar>
            <w:top w:w="0" w:type="dxa"/>
            <w:left w:w="108" w:type="dxa"/>
            <w:bottom w:w="0" w:type="dxa"/>
            <w:right w:w="108" w:type="dxa"/>
          </w:tblCellMar>
        </w:tblPrEx>
        <w:trPr>
          <w:trHeight w:val="240" w:hRule="atLeast"/>
          <w:jc w:val="center"/>
        </w:trPr>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B0962">
            <w:pPr>
              <w:widowControl/>
              <w:spacing w:line="240" w:lineRule="auto"/>
              <w:ind w:firstLine="0" w:firstLineChars="0"/>
              <w:jc w:val="center"/>
              <w:rPr>
                <w:rFonts w:cs="宋体"/>
                <w:color w:val="000000"/>
                <w:sz w:val="18"/>
                <w:szCs w:val="18"/>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3D14A">
            <w:pPr>
              <w:widowControl/>
              <w:spacing w:line="240" w:lineRule="auto"/>
              <w:ind w:firstLine="0" w:firstLineChars="0"/>
              <w:jc w:val="center"/>
              <w:rPr>
                <w:rFonts w:cs="宋体"/>
                <w:color w:val="000000"/>
                <w:sz w:val="18"/>
                <w:szCs w:val="18"/>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D1CF">
            <w:pPr>
              <w:widowControl/>
              <w:spacing w:line="240" w:lineRule="auto"/>
              <w:ind w:firstLine="0" w:firstLineChars="0"/>
              <w:jc w:val="left"/>
              <w:textAlignment w:val="center"/>
              <w:rPr>
                <w:rFonts w:cs="宋体"/>
                <w:color w:val="000000"/>
                <w:sz w:val="18"/>
                <w:szCs w:val="18"/>
              </w:rPr>
            </w:pPr>
            <w:r>
              <w:rPr>
                <w:rFonts w:hint="eastAsia" w:cs="宋体"/>
                <w:color w:val="000000"/>
                <w:kern w:val="0"/>
                <w:sz w:val="18"/>
                <w:szCs w:val="18"/>
                <w:lang w:bidi="ar"/>
              </w:rPr>
              <w:t>《关于监事2023年度薪酬确认及2024年度薪酬方案的议案》</w:t>
            </w:r>
          </w:p>
        </w:tc>
      </w:tr>
      <w:tr w14:paraId="582A6705">
        <w:tblPrEx>
          <w:tblCellMar>
            <w:top w:w="0" w:type="dxa"/>
            <w:left w:w="108" w:type="dxa"/>
            <w:bottom w:w="0" w:type="dxa"/>
            <w:right w:w="108" w:type="dxa"/>
          </w:tblCellMar>
        </w:tblPrEx>
        <w:trPr>
          <w:trHeight w:val="240" w:hRule="atLeast"/>
          <w:jc w:val="center"/>
        </w:trPr>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F7382">
            <w:pPr>
              <w:widowControl/>
              <w:spacing w:line="240" w:lineRule="auto"/>
              <w:ind w:firstLine="0" w:firstLineChars="0"/>
              <w:jc w:val="center"/>
              <w:rPr>
                <w:rFonts w:cs="宋体"/>
                <w:color w:val="000000"/>
                <w:sz w:val="18"/>
                <w:szCs w:val="18"/>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F47FA">
            <w:pPr>
              <w:widowControl/>
              <w:spacing w:line="240" w:lineRule="auto"/>
              <w:ind w:firstLine="0" w:firstLineChars="0"/>
              <w:jc w:val="center"/>
              <w:rPr>
                <w:rFonts w:cs="宋体"/>
                <w:color w:val="000000"/>
                <w:sz w:val="18"/>
                <w:szCs w:val="18"/>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FE23">
            <w:pPr>
              <w:widowControl/>
              <w:spacing w:line="240" w:lineRule="auto"/>
              <w:ind w:firstLine="0" w:firstLineChars="0"/>
              <w:jc w:val="left"/>
              <w:textAlignment w:val="center"/>
              <w:rPr>
                <w:rFonts w:cs="宋体"/>
                <w:color w:val="000000"/>
                <w:sz w:val="18"/>
                <w:szCs w:val="18"/>
              </w:rPr>
            </w:pPr>
            <w:r>
              <w:rPr>
                <w:rFonts w:hint="eastAsia" w:cs="宋体"/>
                <w:color w:val="000000"/>
                <w:kern w:val="0"/>
                <w:sz w:val="18"/>
                <w:szCs w:val="18"/>
                <w:lang w:bidi="ar"/>
              </w:rPr>
              <w:t>《关于2024年度银行贷款额度及担保事项的议案》</w:t>
            </w:r>
          </w:p>
        </w:tc>
      </w:tr>
      <w:tr w14:paraId="7CBB7310">
        <w:tblPrEx>
          <w:tblCellMar>
            <w:top w:w="0" w:type="dxa"/>
            <w:left w:w="108" w:type="dxa"/>
            <w:bottom w:w="0" w:type="dxa"/>
            <w:right w:w="108" w:type="dxa"/>
          </w:tblCellMar>
        </w:tblPrEx>
        <w:trPr>
          <w:trHeight w:val="240" w:hRule="atLeast"/>
          <w:jc w:val="center"/>
        </w:trPr>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F10A4">
            <w:pPr>
              <w:widowControl/>
              <w:spacing w:line="240" w:lineRule="auto"/>
              <w:ind w:firstLine="0" w:firstLineChars="0"/>
              <w:jc w:val="center"/>
              <w:rPr>
                <w:rFonts w:cs="宋体"/>
                <w:color w:val="000000"/>
                <w:sz w:val="18"/>
                <w:szCs w:val="18"/>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E5E03">
            <w:pPr>
              <w:widowControl/>
              <w:spacing w:line="240" w:lineRule="auto"/>
              <w:ind w:firstLine="0" w:firstLineChars="0"/>
              <w:jc w:val="center"/>
              <w:rPr>
                <w:rFonts w:cs="宋体"/>
                <w:color w:val="000000"/>
                <w:sz w:val="18"/>
                <w:szCs w:val="18"/>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6B70">
            <w:pPr>
              <w:widowControl/>
              <w:spacing w:line="240" w:lineRule="auto"/>
              <w:ind w:firstLine="0" w:firstLineChars="0"/>
              <w:jc w:val="left"/>
              <w:textAlignment w:val="center"/>
              <w:rPr>
                <w:rFonts w:cs="宋体"/>
                <w:color w:val="000000"/>
                <w:sz w:val="18"/>
                <w:szCs w:val="18"/>
              </w:rPr>
            </w:pPr>
            <w:r>
              <w:rPr>
                <w:rFonts w:hint="eastAsia" w:cs="宋体"/>
                <w:color w:val="000000"/>
                <w:kern w:val="0"/>
                <w:sz w:val="18"/>
                <w:szCs w:val="18"/>
                <w:lang w:bidi="ar"/>
              </w:rPr>
              <w:t>《关于&lt;2023年度募集资金存放与使用情况的专项报告&gt;的议案》</w:t>
            </w:r>
          </w:p>
        </w:tc>
      </w:tr>
      <w:tr w14:paraId="71EA6A96">
        <w:tblPrEx>
          <w:tblCellMar>
            <w:top w:w="0" w:type="dxa"/>
            <w:left w:w="108" w:type="dxa"/>
            <w:bottom w:w="0" w:type="dxa"/>
            <w:right w:w="108" w:type="dxa"/>
          </w:tblCellMar>
        </w:tblPrEx>
        <w:trPr>
          <w:trHeight w:val="240" w:hRule="atLeast"/>
          <w:jc w:val="center"/>
        </w:trPr>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A22AD">
            <w:pPr>
              <w:widowControl/>
              <w:spacing w:line="240" w:lineRule="auto"/>
              <w:ind w:firstLine="0" w:firstLineChars="0"/>
              <w:jc w:val="center"/>
              <w:rPr>
                <w:rFonts w:cs="宋体"/>
                <w:color w:val="000000"/>
                <w:sz w:val="18"/>
                <w:szCs w:val="18"/>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1160C">
            <w:pPr>
              <w:widowControl/>
              <w:spacing w:line="240" w:lineRule="auto"/>
              <w:ind w:firstLine="0" w:firstLineChars="0"/>
              <w:jc w:val="center"/>
              <w:rPr>
                <w:rFonts w:cs="宋体"/>
                <w:color w:val="000000"/>
                <w:sz w:val="18"/>
                <w:szCs w:val="18"/>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A3F9">
            <w:pPr>
              <w:widowControl/>
              <w:spacing w:line="240" w:lineRule="auto"/>
              <w:ind w:firstLine="0" w:firstLineChars="0"/>
              <w:jc w:val="left"/>
              <w:textAlignment w:val="center"/>
              <w:rPr>
                <w:rFonts w:cs="宋体"/>
                <w:color w:val="000000"/>
                <w:sz w:val="18"/>
                <w:szCs w:val="18"/>
              </w:rPr>
            </w:pPr>
            <w:r>
              <w:rPr>
                <w:rFonts w:hint="eastAsia" w:cs="宋体"/>
                <w:color w:val="000000"/>
                <w:kern w:val="0"/>
                <w:sz w:val="18"/>
                <w:szCs w:val="18"/>
                <w:lang w:bidi="ar"/>
              </w:rPr>
              <w:t>《关于&lt;2024年第一季度报告&gt;的议案》</w:t>
            </w:r>
          </w:p>
        </w:tc>
      </w:tr>
      <w:tr w14:paraId="6FC87747">
        <w:tblPrEx>
          <w:tblCellMar>
            <w:top w:w="0" w:type="dxa"/>
            <w:left w:w="108" w:type="dxa"/>
            <w:bottom w:w="0" w:type="dxa"/>
            <w:right w:w="108" w:type="dxa"/>
          </w:tblCellMar>
        </w:tblPrEx>
        <w:trPr>
          <w:trHeight w:val="240" w:hRule="atLeast"/>
          <w:jc w:val="center"/>
        </w:trPr>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7E23F">
            <w:pPr>
              <w:widowControl/>
              <w:spacing w:line="240" w:lineRule="auto"/>
              <w:ind w:firstLine="0" w:firstLineChars="0"/>
              <w:jc w:val="center"/>
              <w:rPr>
                <w:rFonts w:cs="宋体"/>
                <w:color w:val="000000"/>
                <w:sz w:val="18"/>
                <w:szCs w:val="18"/>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F5823">
            <w:pPr>
              <w:widowControl/>
              <w:spacing w:line="240" w:lineRule="auto"/>
              <w:ind w:firstLine="0" w:firstLineChars="0"/>
              <w:jc w:val="center"/>
              <w:rPr>
                <w:rFonts w:cs="宋体"/>
                <w:color w:val="000000"/>
                <w:sz w:val="18"/>
                <w:szCs w:val="18"/>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51AF9">
            <w:pPr>
              <w:widowControl/>
              <w:spacing w:line="240" w:lineRule="auto"/>
              <w:ind w:firstLine="0" w:firstLineChars="0"/>
              <w:jc w:val="left"/>
              <w:textAlignment w:val="center"/>
              <w:rPr>
                <w:rFonts w:cs="宋体"/>
                <w:color w:val="000000"/>
                <w:sz w:val="18"/>
                <w:szCs w:val="18"/>
              </w:rPr>
            </w:pPr>
            <w:r>
              <w:rPr>
                <w:rFonts w:hint="eastAsia" w:cs="宋体"/>
                <w:color w:val="000000"/>
                <w:kern w:val="0"/>
                <w:sz w:val="18"/>
                <w:szCs w:val="18"/>
                <w:lang w:bidi="ar"/>
              </w:rPr>
              <w:t>《关于购买董事、监事及高级管理人员责任保险的议案》</w:t>
            </w:r>
          </w:p>
        </w:tc>
      </w:tr>
      <w:tr w14:paraId="1F21C456">
        <w:tblPrEx>
          <w:tblCellMar>
            <w:top w:w="0" w:type="dxa"/>
            <w:left w:w="108" w:type="dxa"/>
            <w:bottom w:w="0" w:type="dxa"/>
            <w:right w:w="108" w:type="dxa"/>
          </w:tblCellMar>
        </w:tblPrEx>
        <w:trPr>
          <w:trHeight w:val="480" w:hRule="atLeast"/>
          <w:jc w:val="center"/>
        </w:trPr>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94E12A">
            <w:pPr>
              <w:widowControl/>
              <w:spacing w:line="240" w:lineRule="auto"/>
              <w:ind w:firstLine="0" w:firstLineChars="0"/>
              <w:jc w:val="center"/>
              <w:textAlignment w:val="center"/>
              <w:rPr>
                <w:rFonts w:cs="宋体"/>
                <w:color w:val="000000"/>
                <w:sz w:val="18"/>
                <w:szCs w:val="18"/>
              </w:rPr>
            </w:pPr>
            <w:r>
              <w:rPr>
                <w:rFonts w:hint="eastAsia" w:cs="宋体"/>
                <w:color w:val="000000"/>
                <w:kern w:val="0"/>
                <w:sz w:val="18"/>
                <w:szCs w:val="18"/>
                <w:lang w:bidi="ar"/>
              </w:rPr>
              <w:t>第四届监事会第二十八次会议</w:t>
            </w: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8F0A90">
            <w:pPr>
              <w:widowControl/>
              <w:spacing w:line="240" w:lineRule="auto"/>
              <w:ind w:firstLine="0" w:firstLineChars="0"/>
              <w:jc w:val="center"/>
              <w:textAlignment w:val="center"/>
              <w:rPr>
                <w:rFonts w:cs="宋体"/>
                <w:color w:val="000000"/>
                <w:sz w:val="18"/>
                <w:szCs w:val="18"/>
              </w:rPr>
            </w:pPr>
            <w:r>
              <w:rPr>
                <w:rFonts w:hint="eastAsia" w:cs="宋体"/>
                <w:color w:val="000000"/>
                <w:kern w:val="0"/>
                <w:sz w:val="18"/>
                <w:szCs w:val="18"/>
                <w:lang w:bidi="ar"/>
              </w:rPr>
              <w:t>2024年6月7日</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E4FE">
            <w:pPr>
              <w:widowControl/>
              <w:spacing w:line="240" w:lineRule="auto"/>
              <w:ind w:firstLine="0" w:firstLineChars="0"/>
              <w:jc w:val="left"/>
              <w:textAlignment w:val="center"/>
              <w:rPr>
                <w:rFonts w:cs="宋体"/>
                <w:color w:val="000000"/>
                <w:sz w:val="18"/>
                <w:szCs w:val="18"/>
              </w:rPr>
            </w:pPr>
            <w:r>
              <w:rPr>
                <w:rFonts w:hint="eastAsia" w:cs="宋体"/>
                <w:color w:val="000000"/>
                <w:kern w:val="0"/>
                <w:sz w:val="18"/>
                <w:szCs w:val="18"/>
                <w:lang w:bidi="ar"/>
              </w:rPr>
              <w:t>《关于提名第五届监事会非职工代表监事候选人的议案》（包含2个子议案，逐项表决）</w:t>
            </w:r>
          </w:p>
        </w:tc>
      </w:tr>
      <w:tr w14:paraId="432B111F">
        <w:tblPrEx>
          <w:tblCellMar>
            <w:top w:w="0" w:type="dxa"/>
            <w:left w:w="108" w:type="dxa"/>
            <w:bottom w:w="0" w:type="dxa"/>
            <w:right w:w="108" w:type="dxa"/>
          </w:tblCellMar>
        </w:tblPrEx>
        <w:trPr>
          <w:trHeight w:val="240" w:hRule="atLeast"/>
          <w:jc w:val="center"/>
        </w:trPr>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5DC79">
            <w:pPr>
              <w:widowControl/>
              <w:spacing w:line="240" w:lineRule="auto"/>
              <w:ind w:firstLine="0" w:firstLineChars="0"/>
              <w:jc w:val="center"/>
              <w:rPr>
                <w:rFonts w:cs="宋体"/>
                <w:color w:val="000000"/>
                <w:sz w:val="18"/>
                <w:szCs w:val="18"/>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807DD">
            <w:pPr>
              <w:widowControl/>
              <w:spacing w:line="240" w:lineRule="auto"/>
              <w:ind w:firstLine="0" w:firstLineChars="0"/>
              <w:jc w:val="center"/>
              <w:rPr>
                <w:rFonts w:cs="宋体"/>
                <w:color w:val="000000"/>
                <w:sz w:val="18"/>
                <w:szCs w:val="18"/>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9782">
            <w:pPr>
              <w:widowControl/>
              <w:spacing w:line="240" w:lineRule="auto"/>
              <w:ind w:firstLine="0" w:firstLineChars="0"/>
              <w:jc w:val="left"/>
              <w:textAlignment w:val="center"/>
              <w:rPr>
                <w:rFonts w:cs="宋体"/>
                <w:color w:val="000000"/>
                <w:sz w:val="18"/>
                <w:szCs w:val="18"/>
              </w:rPr>
            </w:pPr>
            <w:r>
              <w:rPr>
                <w:rFonts w:hint="eastAsia" w:cs="宋体"/>
                <w:color w:val="000000"/>
                <w:kern w:val="0"/>
                <w:sz w:val="18"/>
                <w:szCs w:val="18"/>
                <w:lang w:bidi="ar"/>
              </w:rPr>
              <w:t>1、提名史保明先生为第五届监事会非职工代表监事候选人</w:t>
            </w:r>
          </w:p>
        </w:tc>
      </w:tr>
      <w:tr w14:paraId="4811F02E">
        <w:tblPrEx>
          <w:tblCellMar>
            <w:top w:w="0" w:type="dxa"/>
            <w:left w:w="108" w:type="dxa"/>
            <w:bottom w:w="0" w:type="dxa"/>
            <w:right w:w="108" w:type="dxa"/>
          </w:tblCellMar>
        </w:tblPrEx>
        <w:trPr>
          <w:trHeight w:val="240" w:hRule="atLeast"/>
          <w:jc w:val="center"/>
        </w:trPr>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CA342">
            <w:pPr>
              <w:widowControl/>
              <w:spacing w:line="240" w:lineRule="auto"/>
              <w:ind w:firstLine="0" w:firstLineChars="0"/>
              <w:jc w:val="center"/>
              <w:rPr>
                <w:rFonts w:cs="宋体"/>
                <w:color w:val="000000"/>
                <w:sz w:val="18"/>
                <w:szCs w:val="18"/>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00261">
            <w:pPr>
              <w:widowControl/>
              <w:spacing w:line="240" w:lineRule="auto"/>
              <w:ind w:firstLine="0" w:firstLineChars="0"/>
              <w:jc w:val="center"/>
              <w:rPr>
                <w:rFonts w:cs="宋体"/>
                <w:color w:val="000000"/>
                <w:sz w:val="18"/>
                <w:szCs w:val="18"/>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1030">
            <w:pPr>
              <w:widowControl/>
              <w:spacing w:line="240" w:lineRule="auto"/>
              <w:ind w:firstLine="0" w:firstLineChars="0"/>
              <w:jc w:val="left"/>
              <w:textAlignment w:val="center"/>
              <w:rPr>
                <w:rFonts w:cs="宋体"/>
                <w:color w:val="000000"/>
                <w:sz w:val="18"/>
                <w:szCs w:val="18"/>
              </w:rPr>
            </w:pPr>
            <w:r>
              <w:rPr>
                <w:rFonts w:hint="eastAsia" w:cs="宋体"/>
                <w:color w:val="000000"/>
                <w:kern w:val="0"/>
                <w:sz w:val="18"/>
                <w:szCs w:val="18"/>
                <w:lang w:bidi="ar"/>
              </w:rPr>
              <w:t>2、提名郭晓阳先生为第五届监事会非职工代表监事候选人</w:t>
            </w:r>
          </w:p>
        </w:tc>
      </w:tr>
      <w:tr w14:paraId="1A6AFCC3">
        <w:tblPrEx>
          <w:tblCellMar>
            <w:top w:w="0" w:type="dxa"/>
            <w:left w:w="108" w:type="dxa"/>
            <w:bottom w:w="0" w:type="dxa"/>
            <w:right w:w="108" w:type="dxa"/>
          </w:tblCellMar>
        </w:tblPrEx>
        <w:trPr>
          <w:trHeight w:val="480" w:hRule="atLeast"/>
          <w:jc w:val="center"/>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0088">
            <w:pPr>
              <w:widowControl/>
              <w:spacing w:line="240" w:lineRule="auto"/>
              <w:ind w:firstLine="0" w:firstLineChars="0"/>
              <w:jc w:val="center"/>
              <w:textAlignment w:val="center"/>
              <w:rPr>
                <w:rFonts w:cs="宋体"/>
                <w:color w:val="000000"/>
                <w:sz w:val="18"/>
                <w:szCs w:val="18"/>
              </w:rPr>
            </w:pPr>
            <w:r>
              <w:rPr>
                <w:rFonts w:hint="eastAsia" w:cs="宋体"/>
                <w:color w:val="000000"/>
                <w:kern w:val="0"/>
                <w:sz w:val="18"/>
                <w:szCs w:val="18"/>
                <w:lang w:bidi="ar"/>
              </w:rPr>
              <w:t>第五届监事会第一次会议</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49DB">
            <w:pPr>
              <w:widowControl/>
              <w:spacing w:line="240" w:lineRule="auto"/>
              <w:ind w:firstLine="0" w:firstLineChars="0"/>
              <w:jc w:val="center"/>
              <w:textAlignment w:val="center"/>
              <w:rPr>
                <w:rFonts w:cs="宋体"/>
                <w:color w:val="000000"/>
                <w:sz w:val="18"/>
                <w:szCs w:val="18"/>
              </w:rPr>
            </w:pPr>
            <w:r>
              <w:rPr>
                <w:rFonts w:hint="eastAsia" w:cs="宋体"/>
                <w:color w:val="000000"/>
                <w:kern w:val="0"/>
                <w:sz w:val="18"/>
                <w:szCs w:val="18"/>
                <w:lang w:bidi="ar"/>
              </w:rPr>
              <w:t>2024年6月24日</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387E">
            <w:pPr>
              <w:widowControl/>
              <w:spacing w:line="240" w:lineRule="auto"/>
              <w:ind w:firstLine="0" w:firstLineChars="0"/>
              <w:jc w:val="left"/>
              <w:textAlignment w:val="center"/>
              <w:rPr>
                <w:rFonts w:cs="宋体"/>
                <w:color w:val="000000"/>
                <w:sz w:val="18"/>
                <w:szCs w:val="18"/>
              </w:rPr>
            </w:pPr>
            <w:r>
              <w:rPr>
                <w:rFonts w:hint="eastAsia" w:cs="宋体"/>
                <w:color w:val="000000"/>
                <w:kern w:val="0"/>
                <w:sz w:val="18"/>
                <w:szCs w:val="18"/>
                <w:lang w:bidi="ar"/>
              </w:rPr>
              <w:t>《关于选举公司第五届监事会主席的议案》</w:t>
            </w:r>
          </w:p>
        </w:tc>
      </w:tr>
      <w:tr w14:paraId="5B22E567">
        <w:tblPrEx>
          <w:tblCellMar>
            <w:top w:w="0" w:type="dxa"/>
            <w:left w:w="108" w:type="dxa"/>
            <w:bottom w:w="0" w:type="dxa"/>
            <w:right w:w="108" w:type="dxa"/>
          </w:tblCellMar>
        </w:tblPrEx>
        <w:trPr>
          <w:trHeight w:val="480" w:hRule="atLeast"/>
          <w:jc w:val="center"/>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8728">
            <w:pPr>
              <w:widowControl/>
              <w:spacing w:line="240" w:lineRule="auto"/>
              <w:ind w:firstLine="0" w:firstLineChars="0"/>
              <w:jc w:val="center"/>
              <w:textAlignment w:val="center"/>
              <w:rPr>
                <w:rFonts w:cs="宋体"/>
                <w:color w:val="000000"/>
                <w:sz w:val="18"/>
                <w:szCs w:val="18"/>
              </w:rPr>
            </w:pPr>
            <w:r>
              <w:rPr>
                <w:rFonts w:hint="eastAsia" w:cs="宋体"/>
                <w:color w:val="000000"/>
                <w:kern w:val="0"/>
                <w:sz w:val="18"/>
                <w:szCs w:val="18"/>
                <w:lang w:bidi="ar"/>
              </w:rPr>
              <w:t>第五届监事会第二次会议</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B37D">
            <w:pPr>
              <w:widowControl/>
              <w:spacing w:line="240" w:lineRule="auto"/>
              <w:ind w:firstLine="0" w:firstLineChars="0"/>
              <w:jc w:val="center"/>
              <w:textAlignment w:val="center"/>
              <w:rPr>
                <w:rFonts w:cs="宋体"/>
                <w:color w:val="000000"/>
                <w:sz w:val="18"/>
                <w:szCs w:val="18"/>
              </w:rPr>
            </w:pPr>
            <w:r>
              <w:rPr>
                <w:rFonts w:hint="eastAsia" w:cs="宋体"/>
                <w:color w:val="000000"/>
                <w:kern w:val="0"/>
                <w:sz w:val="18"/>
                <w:szCs w:val="18"/>
                <w:lang w:bidi="ar"/>
              </w:rPr>
              <w:t>2024年7月30日</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B7D3">
            <w:pPr>
              <w:widowControl/>
              <w:spacing w:line="240" w:lineRule="auto"/>
              <w:ind w:firstLine="0" w:firstLineChars="0"/>
              <w:jc w:val="left"/>
              <w:textAlignment w:val="center"/>
              <w:rPr>
                <w:rFonts w:cs="宋体"/>
                <w:color w:val="000000"/>
                <w:sz w:val="18"/>
                <w:szCs w:val="18"/>
              </w:rPr>
            </w:pPr>
            <w:r>
              <w:rPr>
                <w:rFonts w:hint="eastAsia" w:cs="宋体"/>
                <w:color w:val="000000"/>
                <w:kern w:val="0"/>
                <w:sz w:val="18"/>
                <w:szCs w:val="18"/>
                <w:lang w:bidi="ar"/>
              </w:rPr>
              <w:t>《关于部分募投项目结项并将节余募集资金永久补充流动资金的议案》</w:t>
            </w:r>
          </w:p>
        </w:tc>
      </w:tr>
      <w:tr w14:paraId="3876A132">
        <w:tblPrEx>
          <w:tblCellMar>
            <w:top w:w="0" w:type="dxa"/>
            <w:left w:w="108" w:type="dxa"/>
            <w:bottom w:w="0" w:type="dxa"/>
            <w:right w:w="108" w:type="dxa"/>
          </w:tblCellMar>
        </w:tblPrEx>
        <w:trPr>
          <w:trHeight w:val="240" w:hRule="atLeast"/>
          <w:jc w:val="center"/>
        </w:trPr>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C792C2">
            <w:pPr>
              <w:widowControl/>
              <w:spacing w:line="240" w:lineRule="auto"/>
              <w:ind w:firstLine="0" w:firstLineChars="0"/>
              <w:jc w:val="center"/>
              <w:textAlignment w:val="center"/>
              <w:rPr>
                <w:rFonts w:cs="宋体"/>
                <w:color w:val="000000"/>
                <w:sz w:val="18"/>
                <w:szCs w:val="18"/>
              </w:rPr>
            </w:pPr>
            <w:r>
              <w:rPr>
                <w:rFonts w:hint="eastAsia" w:cs="宋体"/>
                <w:color w:val="000000"/>
                <w:kern w:val="0"/>
                <w:sz w:val="18"/>
                <w:szCs w:val="18"/>
                <w:lang w:bidi="ar"/>
              </w:rPr>
              <w:t>第五届监事会第三次会议</w:t>
            </w: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55FD5C">
            <w:pPr>
              <w:widowControl/>
              <w:spacing w:line="240" w:lineRule="auto"/>
              <w:ind w:firstLine="0" w:firstLineChars="0"/>
              <w:jc w:val="center"/>
              <w:textAlignment w:val="center"/>
              <w:rPr>
                <w:rFonts w:cs="宋体"/>
                <w:color w:val="000000"/>
                <w:sz w:val="18"/>
                <w:szCs w:val="18"/>
              </w:rPr>
            </w:pPr>
            <w:r>
              <w:rPr>
                <w:rFonts w:hint="eastAsia" w:cs="宋体"/>
                <w:color w:val="000000"/>
                <w:kern w:val="0"/>
                <w:sz w:val="18"/>
                <w:szCs w:val="18"/>
                <w:lang w:bidi="ar"/>
              </w:rPr>
              <w:t>2024年8月27日</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586F2">
            <w:pPr>
              <w:widowControl/>
              <w:spacing w:line="240" w:lineRule="auto"/>
              <w:ind w:firstLine="0" w:firstLineChars="0"/>
              <w:jc w:val="left"/>
              <w:textAlignment w:val="center"/>
              <w:rPr>
                <w:rFonts w:cs="宋体"/>
                <w:color w:val="000000"/>
                <w:sz w:val="18"/>
                <w:szCs w:val="18"/>
              </w:rPr>
            </w:pPr>
            <w:r>
              <w:rPr>
                <w:rFonts w:hint="eastAsia" w:cs="宋体"/>
                <w:color w:val="000000"/>
                <w:kern w:val="0"/>
                <w:sz w:val="18"/>
                <w:szCs w:val="18"/>
                <w:lang w:bidi="ar"/>
              </w:rPr>
              <w:t>《关于&lt;2024年半年度报告&gt;及其摘要的议案》</w:t>
            </w:r>
          </w:p>
        </w:tc>
      </w:tr>
      <w:tr w14:paraId="410D74AD">
        <w:tblPrEx>
          <w:tblCellMar>
            <w:top w:w="0" w:type="dxa"/>
            <w:left w:w="108" w:type="dxa"/>
            <w:bottom w:w="0" w:type="dxa"/>
            <w:right w:w="108" w:type="dxa"/>
          </w:tblCellMar>
        </w:tblPrEx>
        <w:trPr>
          <w:trHeight w:val="480" w:hRule="atLeast"/>
          <w:jc w:val="center"/>
        </w:trPr>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2C63E">
            <w:pPr>
              <w:widowControl/>
              <w:spacing w:line="240" w:lineRule="auto"/>
              <w:ind w:firstLine="0" w:firstLineChars="0"/>
              <w:jc w:val="center"/>
              <w:rPr>
                <w:rFonts w:cs="宋体"/>
                <w:color w:val="000000"/>
                <w:sz w:val="18"/>
                <w:szCs w:val="18"/>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C1282">
            <w:pPr>
              <w:widowControl/>
              <w:spacing w:line="240" w:lineRule="auto"/>
              <w:ind w:firstLine="0" w:firstLineChars="0"/>
              <w:jc w:val="center"/>
              <w:rPr>
                <w:rFonts w:cs="宋体"/>
                <w:color w:val="000000"/>
                <w:sz w:val="18"/>
                <w:szCs w:val="18"/>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0B32">
            <w:pPr>
              <w:widowControl/>
              <w:spacing w:line="240" w:lineRule="auto"/>
              <w:ind w:firstLine="0" w:firstLineChars="0"/>
              <w:jc w:val="left"/>
              <w:textAlignment w:val="center"/>
              <w:rPr>
                <w:rFonts w:cs="宋体"/>
                <w:color w:val="000000"/>
                <w:sz w:val="18"/>
                <w:szCs w:val="18"/>
              </w:rPr>
            </w:pPr>
            <w:r>
              <w:rPr>
                <w:rFonts w:hint="eastAsia" w:cs="宋体"/>
                <w:color w:val="000000"/>
                <w:kern w:val="0"/>
                <w:sz w:val="18"/>
                <w:szCs w:val="18"/>
                <w:lang w:bidi="ar"/>
              </w:rPr>
              <w:t>《关于&lt;2024年半年度募集资金存放与使用情况的专项报告&gt;的议案》</w:t>
            </w:r>
          </w:p>
        </w:tc>
      </w:tr>
      <w:tr w14:paraId="53A6E3A3">
        <w:tblPrEx>
          <w:tblCellMar>
            <w:top w:w="0" w:type="dxa"/>
            <w:left w:w="108" w:type="dxa"/>
            <w:bottom w:w="0" w:type="dxa"/>
            <w:right w:w="108" w:type="dxa"/>
          </w:tblCellMar>
        </w:tblPrEx>
        <w:trPr>
          <w:trHeight w:val="240" w:hRule="atLeast"/>
          <w:jc w:val="center"/>
        </w:trPr>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41DFD3">
            <w:pPr>
              <w:widowControl/>
              <w:spacing w:line="240" w:lineRule="auto"/>
              <w:ind w:firstLine="0" w:firstLineChars="0"/>
              <w:jc w:val="center"/>
              <w:textAlignment w:val="center"/>
              <w:rPr>
                <w:rFonts w:cs="宋体"/>
                <w:color w:val="000000"/>
                <w:sz w:val="18"/>
                <w:szCs w:val="18"/>
              </w:rPr>
            </w:pPr>
            <w:r>
              <w:rPr>
                <w:rFonts w:hint="eastAsia" w:cs="宋体"/>
                <w:color w:val="000000"/>
                <w:kern w:val="0"/>
                <w:sz w:val="18"/>
                <w:szCs w:val="18"/>
                <w:lang w:bidi="ar"/>
              </w:rPr>
              <w:t>第五届监事会第四次会议</w:t>
            </w: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34665D">
            <w:pPr>
              <w:widowControl/>
              <w:spacing w:line="240" w:lineRule="auto"/>
              <w:ind w:firstLine="0" w:firstLineChars="0"/>
              <w:jc w:val="center"/>
              <w:textAlignment w:val="center"/>
              <w:rPr>
                <w:rFonts w:cs="宋体"/>
                <w:color w:val="000000"/>
                <w:sz w:val="18"/>
                <w:szCs w:val="18"/>
              </w:rPr>
            </w:pPr>
            <w:r>
              <w:rPr>
                <w:rFonts w:hint="eastAsia" w:cs="宋体"/>
                <w:color w:val="000000"/>
                <w:kern w:val="0"/>
                <w:sz w:val="18"/>
                <w:szCs w:val="18"/>
                <w:lang w:bidi="ar"/>
              </w:rPr>
              <w:t>2024年10月24日</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C6EA">
            <w:pPr>
              <w:widowControl/>
              <w:spacing w:line="240" w:lineRule="auto"/>
              <w:ind w:firstLine="0" w:firstLineChars="0"/>
              <w:jc w:val="left"/>
              <w:textAlignment w:val="center"/>
              <w:rPr>
                <w:rFonts w:cs="宋体"/>
                <w:color w:val="000000"/>
                <w:sz w:val="18"/>
                <w:szCs w:val="18"/>
              </w:rPr>
            </w:pPr>
            <w:r>
              <w:rPr>
                <w:rFonts w:hint="eastAsia" w:cs="宋体"/>
                <w:color w:val="000000"/>
                <w:kern w:val="0"/>
                <w:sz w:val="18"/>
                <w:szCs w:val="18"/>
                <w:lang w:bidi="ar"/>
              </w:rPr>
              <w:t>《关于&lt;2024年第三季度报告&gt;的议案》</w:t>
            </w:r>
          </w:p>
        </w:tc>
      </w:tr>
      <w:tr w14:paraId="26E3CBFF">
        <w:tblPrEx>
          <w:tblCellMar>
            <w:top w:w="0" w:type="dxa"/>
            <w:left w:w="108" w:type="dxa"/>
            <w:bottom w:w="0" w:type="dxa"/>
            <w:right w:w="108" w:type="dxa"/>
          </w:tblCellMar>
        </w:tblPrEx>
        <w:trPr>
          <w:trHeight w:val="240" w:hRule="atLeast"/>
          <w:jc w:val="center"/>
        </w:trPr>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7BBE2">
            <w:pPr>
              <w:widowControl/>
              <w:spacing w:line="240" w:lineRule="auto"/>
              <w:ind w:firstLine="0" w:firstLineChars="0"/>
              <w:jc w:val="center"/>
              <w:rPr>
                <w:rFonts w:cs="宋体"/>
                <w:color w:val="000000"/>
                <w:sz w:val="18"/>
                <w:szCs w:val="18"/>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F9482">
            <w:pPr>
              <w:widowControl/>
              <w:spacing w:line="240" w:lineRule="auto"/>
              <w:ind w:firstLine="0" w:firstLineChars="0"/>
              <w:jc w:val="center"/>
              <w:rPr>
                <w:rFonts w:cs="宋体"/>
                <w:color w:val="000000"/>
                <w:sz w:val="18"/>
                <w:szCs w:val="18"/>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1D0A">
            <w:pPr>
              <w:widowControl/>
              <w:spacing w:line="240" w:lineRule="auto"/>
              <w:ind w:firstLine="0" w:firstLineChars="0"/>
              <w:jc w:val="left"/>
              <w:textAlignment w:val="center"/>
              <w:rPr>
                <w:rFonts w:cs="宋体"/>
                <w:color w:val="000000"/>
                <w:sz w:val="18"/>
                <w:szCs w:val="18"/>
              </w:rPr>
            </w:pPr>
            <w:r>
              <w:rPr>
                <w:rFonts w:hint="eastAsia" w:cs="宋体"/>
                <w:color w:val="000000"/>
                <w:kern w:val="0"/>
                <w:sz w:val="18"/>
                <w:szCs w:val="18"/>
                <w:lang w:bidi="ar"/>
              </w:rPr>
              <w:t>《关于拟设立海外办事处的议案》</w:t>
            </w:r>
          </w:p>
        </w:tc>
      </w:tr>
      <w:tr w14:paraId="2FA27FC9">
        <w:tblPrEx>
          <w:tblCellMar>
            <w:top w:w="0" w:type="dxa"/>
            <w:left w:w="108" w:type="dxa"/>
            <w:bottom w:w="0" w:type="dxa"/>
            <w:right w:w="108" w:type="dxa"/>
          </w:tblCellMar>
        </w:tblPrEx>
        <w:trPr>
          <w:trHeight w:val="240" w:hRule="atLeast"/>
          <w:jc w:val="center"/>
        </w:trPr>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15B46E">
            <w:pPr>
              <w:widowControl/>
              <w:spacing w:line="240" w:lineRule="auto"/>
              <w:ind w:firstLine="0" w:firstLineChars="0"/>
              <w:jc w:val="center"/>
              <w:textAlignment w:val="center"/>
              <w:rPr>
                <w:rFonts w:cs="宋体"/>
                <w:color w:val="000000"/>
                <w:sz w:val="18"/>
                <w:szCs w:val="18"/>
              </w:rPr>
            </w:pPr>
            <w:r>
              <w:rPr>
                <w:rFonts w:hint="eastAsia" w:cs="宋体"/>
                <w:color w:val="000000"/>
                <w:kern w:val="0"/>
                <w:sz w:val="18"/>
                <w:szCs w:val="18"/>
                <w:lang w:bidi="ar"/>
              </w:rPr>
              <w:t>第五届监事会第五次会议</w:t>
            </w: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B79BAE">
            <w:pPr>
              <w:widowControl/>
              <w:spacing w:line="240" w:lineRule="auto"/>
              <w:ind w:firstLine="0" w:firstLineChars="0"/>
              <w:jc w:val="center"/>
              <w:textAlignment w:val="center"/>
              <w:rPr>
                <w:rFonts w:cs="宋体"/>
                <w:color w:val="000000"/>
                <w:sz w:val="18"/>
                <w:szCs w:val="18"/>
              </w:rPr>
            </w:pPr>
            <w:r>
              <w:rPr>
                <w:rFonts w:hint="eastAsia" w:cs="宋体"/>
                <w:color w:val="000000"/>
                <w:kern w:val="0"/>
                <w:sz w:val="18"/>
                <w:szCs w:val="18"/>
                <w:lang w:bidi="ar"/>
              </w:rPr>
              <w:t>2024年11月22日</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3323">
            <w:pPr>
              <w:widowControl/>
              <w:spacing w:line="240" w:lineRule="auto"/>
              <w:ind w:firstLine="0" w:firstLineChars="0"/>
              <w:jc w:val="left"/>
              <w:textAlignment w:val="center"/>
              <w:rPr>
                <w:rFonts w:cs="宋体"/>
                <w:color w:val="000000"/>
                <w:sz w:val="18"/>
                <w:szCs w:val="18"/>
              </w:rPr>
            </w:pPr>
            <w:r>
              <w:rPr>
                <w:rFonts w:hint="eastAsia" w:cs="宋体"/>
                <w:color w:val="000000"/>
                <w:kern w:val="0"/>
                <w:sz w:val="18"/>
                <w:szCs w:val="18"/>
                <w:lang w:bidi="ar"/>
              </w:rPr>
              <w:t>《关于补选第五届监事会非职工代表监事的议案》</w:t>
            </w:r>
          </w:p>
        </w:tc>
      </w:tr>
      <w:tr w14:paraId="00A5FF2D">
        <w:tblPrEx>
          <w:tblCellMar>
            <w:top w:w="0" w:type="dxa"/>
            <w:left w:w="108" w:type="dxa"/>
            <w:bottom w:w="0" w:type="dxa"/>
            <w:right w:w="108" w:type="dxa"/>
          </w:tblCellMar>
        </w:tblPrEx>
        <w:trPr>
          <w:trHeight w:val="240" w:hRule="atLeast"/>
          <w:jc w:val="center"/>
        </w:trPr>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D1318">
            <w:pPr>
              <w:widowControl/>
              <w:spacing w:line="240" w:lineRule="auto"/>
              <w:ind w:firstLine="0" w:firstLineChars="0"/>
              <w:jc w:val="center"/>
              <w:rPr>
                <w:rFonts w:cs="宋体"/>
                <w:color w:val="000000"/>
                <w:sz w:val="18"/>
                <w:szCs w:val="18"/>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247B9">
            <w:pPr>
              <w:widowControl/>
              <w:spacing w:line="240" w:lineRule="auto"/>
              <w:ind w:firstLine="0" w:firstLineChars="0"/>
              <w:jc w:val="center"/>
              <w:rPr>
                <w:rFonts w:cs="宋体"/>
                <w:color w:val="000000"/>
                <w:sz w:val="18"/>
                <w:szCs w:val="18"/>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7368">
            <w:pPr>
              <w:widowControl/>
              <w:spacing w:line="240" w:lineRule="auto"/>
              <w:ind w:firstLine="0" w:firstLineChars="0"/>
              <w:jc w:val="left"/>
              <w:textAlignment w:val="center"/>
              <w:rPr>
                <w:rFonts w:cs="宋体"/>
                <w:color w:val="000000"/>
                <w:sz w:val="18"/>
                <w:szCs w:val="18"/>
              </w:rPr>
            </w:pPr>
            <w:r>
              <w:rPr>
                <w:rFonts w:hint="eastAsia" w:cs="宋体"/>
                <w:color w:val="000000"/>
                <w:kern w:val="0"/>
                <w:sz w:val="18"/>
                <w:szCs w:val="18"/>
                <w:lang w:bidi="ar"/>
              </w:rPr>
              <w:t>《关于聘任会计师事务所的议案》</w:t>
            </w:r>
          </w:p>
        </w:tc>
      </w:tr>
    </w:tbl>
    <w:p w14:paraId="7B3B2322">
      <w:pPr>
        <w:pStyle w:val="2"/>
        <w:spacing w:before="156" w:after="156"/>
      </w:pPr>
      <w:r>
        <w:rPr>
          <w:rFonts w:hint="eastAsia"/>
        </w:rPr>
        <w:t>二、监事会对公司报告期内有关事项的意见</w:t>
      </w:r>
    </w:p>
    <w:p w14:paraId="26BFBBA0">
      <w:pPr>
        <w:ind w:firstLine="480"/>
      </w:pPr>
      <w:r>
        <w:rPr>
          <w:rFonts w:hint="eastAsia"/>
        </w:rPr>
        <w:t>2024年，在公司全体股东的大力支持下以及在董事会和经营层的积极配合下，监事会列席了董事会和股东大会会议，对公司决策程序和公司董事、高级管理人员履行职责情况进行了必要的监督和审查，对公司的依法运作、财务状况、关联交易、内部控制等方面进行全面监督，较好地发挥了监事会内部监督制衡的作用。根据检查结果，对报告期内公司有关情况发表如下意见：</w:t>
      </w:r>
    </w:p>
    <w:p w14:paraId="248DBA46">
      <w:pPr>
        <w:pStyle w:val="3"/>
        <w:keepNext w:val="0"/>
        <w:keepLines w:val="0"/>
        <w:widowControl w:val="0"/>
        <w:ind w:firstLine="482"/>
        <w:rPr>
          <w:rFonts w:cs="宋体"/>
          <w:szCs w:val="22"/>
        </w:rPr>
      </w:pPr>
      <w:r>
        <w:rPr>
          <w:rFonts w:hint="eastAsia" w:cs="宋体"/>
          <w:szCs w:val="22"/>
        </w:rPr>
        <w:t>（一）依法运作情况</w:t>
      </w:r>
    </w:p>
    <w:p w14:paraId="6C2FDE67">
      <w:pPr>
        <w:ind w:firstLine="480"/>
      </w:pPr>
      <w:r>
        <w:rPr>
          <w:rFonts w:hint="eastAsia"/>
        </w:rPr>
        <w:t>报告期内，监事会积极列席董事会会议和股东大会，对股东大会、董事会的召集召开程序的合规性及决议事项进行了审核，对董事会对股东大会决议的执行情况及董事和高级管理人员履行职责情况进行了全过程的监督和检查。监事会认为：报告期内，公司董事会能够严格按照《公司法》《证券法》以及《公司章程》等法律、法规和规范性文件的要求，依法规范运作，持续改善管理结构，相关决策程序合法合规。公司已建立了较为完善的内部控制制度的规定，无违反法律、法规的情形，也未出现损害公司、股东利益的行为。</w:t>
      </w:r>
    </w:p>
    <w:p w14:paraId="0374007F">
      <w:pPr>
        <w:pStyle w:val="3"/>
        <w:ind w:firstLine="482"/>
        <w:rPr>
          <w:rFonts w:cs="宋体"/>
          <w:bCs/>
        </w:rPr>
      </w:pPr>
      <w:r>
        <w:rPr>
          <w:rFonts w:hint="eastAsia" w:cs="宋体"/>
          <w:bCs/>
        </w:rPr>
        <w:t>（二）检查公司财务情况</w:t>
      </w:r>
    </w:p>
    <w:p w14:paraId="1443AAFB">
      <w:pPr>
        <w:ind w:firstLine="480"/>
      </w:pPr>
      <w:r>
        <w:rPr>
          <w:rFonts w:hint="eastAsia"/>
        </w:rPr>
        <w:t>监事会对2024年度公司的财务状况、财务管理、财务成果等进行了认真细致、有效地监督、检查和审核，认为公司的财务体系完善、财务运作规范、财务状况良好。2024年度财务报告真实、客观地反映了公司的财务状况和经营成果，不存在虚假记载、误导性陈述或者重大遗漏。</w:t>
      </w:r>
    </w:p>
    <w:p w14:paraId="0303246C">
      <w:pPr>
        <w:pStyle w:val="3"/>
        <w:ind w:firstLine="482"/>
        <w:rPr>
          <w:rFonts w:cs="宋体"/>
          <w:bCs/>
        </w:rPr>
      </w:pPr>
      <w:r>
        <w:rPr>
          <w:rFonts w:hint="eastAsia" w:cs="宋体"/>
          <w:bCs/>
        </w:rPr>
        <w:t>（三）收购、出售资产交易情况</w:t>
      </w:r>
    </w:p>
    <w:p w14:paraId="2A98F06B">
      <w:pPr>
        <w:ind w:firstLine="480"/>
      </w:pPr>
      <w:r>
        <w:rPr>
          <w:rFonts w:hint="eastAsia"/>
        </w:rPr>
        <w:t>报告期内，公司无收购、出售资产交易情况。</w:t>
      </w:r>
    </w:p>
    <w:p w14:paraId="484C00A8">
      <w:pPr>
        <w:pStyle w:val="3"/>
        <w:ind w:firstLine="482"/>
        <w:rPr>
          <w:rFonts w:cs="宋体"/>
          <w:bCs/>
        </w:rPr>
      </w:pPr>
      <w:r>
        <w:rPr>
          <w:rFonts w:hint="eastAsia" w:cs="宋体"/>
          <w:bCs/>
        </w:rPr>
        <w:t>（四）关联交易情况</w:t>
      </w:r>
    </w:p>
    <w:p w14:paraId="26C1F7F6">
      <w:pPr>
        <w:ind w:firstLine="480"/>
      </w:pPr>
      <w:r>
        <w:rPr>
          <w:rFonts w:hint="eastAsia"/>
        </w:rPr>
        <w:t>1、2024年1月9日，公司第四届监事会第二十五次会议审议通过了《关于对外投资设立控股子公司暨关联交易的议案》。</w:t>
      </w:r>
    </w:p>
    <w:p w14:paraId="7A52646B">
      <w:pPr>
        <w:ind w:firstLine="480"/>
      </w:pPr>
      <w:r>
        <w:rPr>
          <w:rFonts w:hint="eastAsia"/>
        </w:rPr>
        <w:t>监事会认为：本次关联交易公平、合理，不存在损害公司及股东尤其是中小股东合法权益的情形。董事会审议该关联交易事项时，关联董事已回避表决，相关决策程序合法合规，符合《深圳证券交易所创业板股票上市规则》、公司《关联交易规则》等相关规定，监事会同意上述关联交易事项。</w:t>
      </w:r>
    </w:p>
    <w:p w14:paraId="45E344B9">
      <w:pPr>
        <w:ind w:firstLine="480"/>
      </w:pPr>
      <w:r>
        <w:rPr>
          <w:rFonts w:hint="eastAsia"/>
        </w:rPr>
        <w:t>2、</w:t>
      </w:r>
      <w:r>
        <w:t>2024年</w:t>
      </w:r>
      <w:r>
        <w:rPr>
          <w:rFonts w:hint="eastAsia"/>
        </w:rPr>
        <w:t>3</w:t>
      </w:r>
      <w:r>
        <w:t>月</w:t>
      </w:r>
      <w:r>
        <w:rPr>
          <w:rFonts w:hint="eastAsia"/>
        </w:rPr>
        <w:t>29</w:t>
      </w:r>
      <w:r>
        <w:t>日</w:t>
      </w:r>
      <w:r>
        <w:rPr>
          <w:rFonts w:hint="eastAsia"/>
        </w:rPr>
        <w:t>，公司第四届监事会第二十六次会议审议通过了《关于终止部分&lt;技术服务合同&gt;暨关联交易的议案》。</w:t>
      </w:r>
    </w:p>
    <w:p w14:paraId="3AD03DC1">
      <w:pPr>
        <w:ind w:firstLine="480"/>
      </w:pPr>
      <w:r>
        <w:rPr>
          <w:rFonts w:hint="eastAsia"/>
        </w:rPr>
        <w:t>监事会认为：本次关联交易系公司与关联法人的正常经营业务进展，交易双方遵循市场公允定价原则，不存在损害公司及股东尤其是中小股东合法权益的情形。董事会审议该关联交易事项时，关联董事已回避表决，相关决策程序合法合规，符合《深圳证券交易所创业板股票上市规则》、公司《关联交易规则》等相关规定。监事会同意上述关联交易事项。</w:t>
      </w:r>
    </w:p>
    <w:p w14:paraId="61DDF911">
      <w:pPr>
        <w:pStyle w:val="3"/>
        <w:ind w:firstLine="482"/>
        <w:rPr>
          <w:rFonts w:cs="宋体"/>
          <w:bCs/>
        </w:rPr>
      </w:pPr>
      <w:r>
        <w:rPr>
          <w:rFonts w:hint="eastAsia" w:cs="宋体"/>
          <w:bCs/>
        </w:rPr>
        <w:t>（五）对外担保情况</w:t>
      </w:r>
    </w:p>
    <w:p w14:paraId="1BA8E6DB">
      <w:pPr>
        <w:ind w:firstLine="480"/>
      </w:pPr>
      <w:r>
        <w:rPr>
          <w:rFonts w:hint="eastAsia"/>
        </w:rPr>
        <w:t>报告期内，监事会对对外担保情况进行了核查，认为相关决策程序符合《公司法》等有关法律法规的规定，未发生违规对外担保情况。</w:t>
      </w:r>
    </w:p>
    <w:p w14:paraId="39AD25B1">
      <w:pPr>
        <w:pStyle w:val="3"/>
        <w:ind w:firstLine="482"/>
        <w:rPr>
          <w:rFonts w:cs="宋体"/>
          <w:bCs/>
        </w:rPr>
      </w:pPr>
      <w:r>
        <w:rPr>
          <w:rFonts w:hint="eastAsia" w:cs="宋体"/>
          <w:bCs/>
        </w:rPr>
        <w:t>（六）建立和实施内幕信息知情人管理制度的情况</w:t>
      </w:r>
    </w:p>
    <w:p w14:paraId="428BD1BD">
      <w:pPr>
        <w:ind w:firstLine="480"/>
      </w:pPr>
      <w:r>
        <w:rPr>
          <w:rFonts w:hint="eastAsia"/>
        </w:rPr>
        <w:t>报告期内，监事会认为公司依法按照中国证监会和深圳证券交易所的要求，严格执行相关制度，做好内幕信息管理以及内幕信息知情人登记工作，报告期内，公司未发生利用内幕信息进行违规股票交易的行为。</w:t>
      </w:r>
    </w:p>
    <w:p w14:paraId="08FA22B8">
      <w:pPr>
        <w:pStyle w:val="3"/>
        <w:ind w:firstLine="482"/>
        <w:rPr>
          <w:rFonts w:cs="宋体"/>
          <w:bCs/>
        </w:rPr>
      </w:pPr>
      <w:r>
        <w:rPr>
          <w:rFonts w:hint="eastAsia" w:cs="宋体"/>
          <w:bCs/>
        </w:rPr>
        <w:t>（七）内部控制情况</w:t>
      </w:r>
    </w:p>
    <w:p w14:paraId="7F12A543">
      <w:pPr>
        <w:ind w:firstLine="480"/>
      </w:pPr>
      <w:r>
        <w:rPr>
          <w:rFonts w:hint="eastAsia"/>
        </w:rPr>
        <w:t>报告期内，监事会对公司内部控制制度的建设及运行情况进行了监督和审查，监事会认为公司现已建立了较为完善的内部控制体系，并能得到有效执行，公司内部控制的自我评价报告真实、客观地反映了公司内部控制制度的建设及运行情况，监事会对内部控制自我评价报告没有异议。</w:t>
      </w:r>
    </w:p>
    <w:p w14:paraId="095AF2EE">
      <w:pPr>
        <w:pStyle w:val="3"/>
        <w:ind w:firstLine="482"/>
      </w:pPr>
      <w:r>
        <w:rPr>
          <w:rFonts w:hint="eastAsia"/>
        </w:rPr>
        <w:t>（八）续聘会计师事务所事项</w:t>
      </w:r>
    </w:p>
    <w:p w14:paraId="6DC1F1D2">
      <w:pPr>
        <w:ind w:firstLine="480"/>
        <w:rPr>
          <w:rFonts w:hint="eastAsia"/>
          <w:lang w:val="en-US" w:eastAsia="zh-CN"/>
        </w:rPr>
      </w:pPr>
      <w:bookmarkStart w:id="0" w:name="_Hlk161044942"/>
      <w:r>
        <w:rPr>
          <w:rFonts w:hint="eastAsia"/>
          <w:lang w:val="en-US" w:eastAsia="zh-CN"/>
        </w:rPr>
        <w:t>1、2024年4月18日，公司召开第四届监事会第二十七次会议，审议通过了《关于续聘公司2024年度会计师事务所的议案》，同意公司继续聘请大华会计师事务所（特殊普通合伙）为2024年度审计机构。</w:t>
      </w:r>
    </w:p>
    <w:p w14:paraId="562BDD9C">
      <w:pPr>
        <w:ind w:firstLine="480"/>
        <w:rPr>
          <w:rFonts w:hint="eastAsia"/>
          <w:lang w:val="en-US" w:eastAsia="zh-CN"/>
        </w:rPr>
      </w:pPr>
      <w:r>
        <w:rPr>
          <w:rFonts w:hint="eastAsia"/>
          <w:lang w:val="en-US" w:eastAsia="zh-CN"/>
        </w:rPr>
        <w:t>2024年5月13日，公司召开2023年年度股东大会，议案《关于续聘公司2024年度会计师事务所的议案》未获得通过。鉴于拟聘会计师事务所近期相关事项尚待公司进一步核实，经公司与大华会计师事务所（特殊普通合伙）协商，基于审慎原则，该议案未获得表决通过。</w:t>
      </w:r>
    </w:p>
    <w:p w14:paraId="6816C377">
      <w:pPr>
        <w:ind w:firstLine="480"/>
        <w:rPr>
          <w:rFonts w:hint="default"/>
          <w:lang w:val="en-US" w:eastAsia="zh-CN"/>
        </w:rPr>
      </w:pPr>
      <w:r>
        <w:rPr>
          <w:rFonts w:hint="eastAsia"/>
          <w:lang w:val="en-US" w:eastAsia="zh-CN"/>
        </w:rPr>
        <w:t>2、</w:t>
      </w:r>
      <w:r>
        <w:rPr>
          <w:rFonts w:hint="eastAsia" w:ascii="宋体" w:hAnsi="宋体" w:cs="宋体"/>
          <w:sz w:val="24"/>
          <w:szCs w:val="22"/>
        </w:rPr>
        <w:t>2024年11月22日，公司召开第五届监事会第五次会议，审议通过了《关于聘任会计师事务所的议案》，同意聘请北京德皓国际会计师事务所（特殊普通合伙）担任公司2024年度财务报告和内部控制审计机构。</w:t>
      </w:r>
    </w:p>
    <w:p w14:paraId="340D1A96">
      <w:pPr>
        <w:ind w:firstLine="480"/>
      </w:pPr>
      <w:r>
        <w:rPr>
          <w:rFonts w:hint="eastAsia"/>
        </w:rPr>
        <w:t>监事会认为：北京德皓国际会计师事务所（特殊普通合伙）具有证券从业资格，拥有从事上市公司审计工作的经验和职业素养，能够满足公司2024年度财务审计及内部控制审计工作的要求，不存在损害公司及全体股东利益的情形。</w:t>
      </w:r>
    </w:p>
    <w:bookmarkEnd w:id="0"/>
    <w:p w14:paraId="75C1B5FF">
      <w:pPr>
        <w:pStyle w:val="3"/>
        <w:ind w:firstLine="482"/>
      </w:pPr>
      <w:r>
        <w:rPr>
          <w:rFonts w:hint="eastAsia"/>
        </w:rPr>
        <w:t>（九）公司募集资金使用情况</w:t>
      </w:r>
    </w:p>
    <w:p w14:paraId="236FE43F">
      <w:pPr>
        <w:ind w:firstLine="480"/>
      </w:pPr>
      <w:r>
        <w:rPr>
          <w:rFonts w:hint="eastAsia"/>
        </w:rPr>
        <w:t>2024年，公司严格按照《公司法》《证券法》《深圳证券交易所创业板股票上市规则》《深圳证券交易所上市公司自律监管指引第2号——创业板上市公司规范运作》以及公司《募集资金管理办法》等规定和要求，存放和使用募集资金，并及时、真实、准确、完整地对募集资金使用情况进行了披露，不存在募集资金存放和使用违规的情形。</w:t>
      </w:r>
    </w:p>
    <w:p w14:paraId="169416A3">
      <w:pPr>
        <w:pStyle w:val="2"/>
        <w:spacing w:before="156" w:after="156"/>
      </w:pPr>
      <w:r>
        <w:rPr>
          <w:rFonts w:hint="eastAsia"/>
        </w:rPr>
        <w:t>三、监事会2025年度工作计划</w:t>
      </w:r>
    </w:p>
    <w:p w14:paraId="1C54C54F">
      <w:pPr>
        <w:ind w:firstLine="480"/>
      </w:pPr>
      <w:r>
        <w:rPr>
          <w:rFonts w:hint="eastAsia"/>
        </w:rPr>
        <w:t>2025年，监事会将继续执行《公司法》《证券法》《公司章程》等有关规定，忠实履行职责，积极发挥监督作用，保障公司稳健经营，保护股东、公司和员工等各利益相关方的权益，促进公司持续、稳定、健康发展。</w:t>
      </w:r>
    </w:p>
    <w:p w14:paraId="7B2217BA">
      <w:pPr>
        <w:ind w:firstLine="480"/>
      </w:pPr>
    </w:p>
    <w:p w14:paraId="65F532CA">
      <w:pPr>
        <w:ind w:firstLine="480"/>
      </w:pPr>
      <w:r>
        <w:rPr>
          <w:rFonts w:hint="eastAsia"/>
        </w:rPr>
        <w:t>特此报告。</w:t>
      </w:r>
    </w:p>
    <w:p w14:paraId="0AAA6D7E">
      <w:pPr>
        <w:ind w:firstLine="480"/>
        <w:rPr>
          <w:rFonts w:cs="宋体"/>
        </w:rPr>
      </w:pPr>
    </w:p>
    <w:p w14:paraId="473722C9">
      <w:pPr>
        <w:ind w:firstLine="480"/>
        <w:jc w:val="right"/>
        <w:rPr>
          <w:rFonts w:cs="宋体"/>
        </w:rPr>
      </w:pPr>
    </w:p>
    <w:p w14:paraId="293E52B6">
      <w:pPr>
        <w:ind w:firstLine="480"/>
        <w:jc w:val="right"/>
        <w:rPr>
          <w:rFonts w:cs="宋体"/>
        </w:rPr>
      </w:pPr>
      <w:r>
        <w:rPr>
          <w:rFonts w:hint="eastAsia" w:cs="宋体"/>
        </w:rPr>
        <w:t>福建广生堂药业股份有限公司监事会</w:t>
      </w:r>
    </w:p>
    <w:p w14:paraId="56F7D3DA">
      <w:pPr>
        <w:ind w:firstLine="480"/>
        <w:jc w:val="center"/>
        <w:rPr>
          <w:rFonts w:cs="宋体"/>
        </w:rPr>
      </w:pPr>
      <w:r>
        <w:rPr>
          <w:rFonts w:hint="eastAsia" w:cs="宋体"/>
        </w:rPr>
        <w:t xml:space="preserve">                                     2025年4月1</w:t>
      </w:r>
      <w:r>
        <w:rPr>
          <w:rFonts w:hint="eastAsia" w:cs="宋体"/>
          <w:lang w:val="en-US" w:eastAsia="zh-CN"/>
        </w:rPr>
        <w:t>7</w:t>
      </w:r>
      <w:bookmarkStart w:id="1" w:name="_GoBack"/>
      <w:bookmarkEnd w:id="1"/>
      <w:r>
        <w:rPr>
          <w:rFonts w:hint="eastAsia" w:cs="宋体"/>
        </w:rPr>
        <w:t>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1336947"/>
      <w:docPartObj>
        <w:docPartGallery w:val="autotext"/>
      </w:docPartObj>
    </w:sdtPr>
    <w:sdtContent>
      <w:p w14:paraId="33AB9297">
        <w:pPr>
          <w:pStyle w:val="7"/>
          <w:ind w:firstLine="360"/>
          <w:jc w:val="center"/>
          <w:rPr>
            <w:rFonts w:hint="eastAsia"/>
          </w:rP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A8C4F">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87D44">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51CAB">
    <w:pPr>
      <w:pStyle w:val="8"/>
      <w:pBdr>
        <w:bottom w:val="single" w:color="auto" w:sz="4" w:space="1"/>
      </w:pBdr>
      <w:spacing w:line="240" w:lineRule="auto"/>
      <w:ind w:firstLine="0" w:firstLineChars="0"/>
      <w:rPr>
        <w:rFonts w:cs="宋体"/>
      </w:rPr>
    </w:pPr>
    <w:r>
      <w:rPr>
        <w:rFonts w:hint="eastAsia" w:cs="宋体"/>
      </w:rPr>
      <w:drawing>
        <wp:anchor distT="0" distB="0" distL="114300" distR="114300" simplePos="0" relativeHeight="251659264" behindDoc="1" locked="0" layoutInCell="1" allowOverlap="1">
          <wp:simplePos x="0" y="0"/>
          <wp:positionH relativeFrom="column">
            <wp:posOffset>-37465</wp:posOffset>
          </wp:positionH>
          <wp:positionV relativeFrom="paragraph">
            <wp:posOffset>-98425</wp:posOffset>
          </wp:positionV>
          <wp:extent cx="974725" cy="279400"/>
          <wp:effectExtent l="0" t="0" r="0" b="0"/>
          <wp:wrapTight wrapText="bothSides">
            <wp:wrapPolygon>
              <wp:start x="0" y="0"/>
              <wp:lineTo x="0" y="20618"/>
              <wp:lineTo x="21107" y="20618"/>
              <wp:lineTo x="21107" y="0"/>
              <wp:lineTo x="0" y="0"/>
            </wp:wrapPolygon>
          </wp:wrapTight>
          <wp:docPr id="1" name="图片 205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054" descr="图片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4725" cy="279400"/>
                  </a:xfrm>
                  <a:prstGeom prst="rect">
                    <a:avLst/>
                  </a:prstGeom>
                  <a:noFill/>
                  <a:ln>
                    <a:noFill/>
                  </a:ln>
                </pic:spPr>
              </pic:pic>
            </a:graphicData>
          </a:graphic>
        </wp:anchor>
      </w:drawing>
    </w:r>
    <w:r>
      <w:rPr>
        <w:rFonts w:hint="eastAsia" w:cs="宋体"/>
      </w:rPr>
      <w:t xml:space="preserve">                                                                      2024年度监事会工作报告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57119">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C22BB">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4MDAzNjNiM2EwYjNjY2VkN2I2ZWY4OTg5YTA1ZWYifQ=="/>
  </w:docVars>
  <w:rsids>
    <w:rsidRoot w:val="00172A27"/>
    <w:rsid w:val="00172A27"/>
    <w:rsid w:val="002A0D5F"/>
    <w:rsid w:val="003606F2"/>
    <w:rsid w:val="003803DB"/>
    <w:rsid w:val="003B7FF8"/>
    <w:rsid w:val="004049FD"/>
    <w:rsid w:val="004460C0"/>
    <w:rsid w:val="0048234A"/>
    <w:rsid w:val="004823EF"/>
    <w:rsid w:val="004826AE"/>
    <w:rsid w:val="004E58AB"/>
    <w:rsid w:val="00510919"/>
    <w:rsid w:val="005147EE"/>
    <w:rsid w:val="00524295"/>
    <w:rsid w:val="006258DD"/>
    <w:rsid w:val="00721F03"/>
    <w:rsid w:val="007B63D8"/>
    <w:rsid w:val="008218AC"/>
    <w:rsid w:val="008643E7"/>
    <w:rsid w:val="008C1A13"/>
    <w:rsid w:val="009D08B8"/>
    <w:rsid w:val="009F475A"/>
    <w:rsid w:val="00A40E9C"/>
    <w:rsid w:val="00B64658"/>
    <w:rsid w:val="00C423A9"/>
    <w:rsid w:val="00D32FC8"/>
    <w:rsid w:val="00D44F5B"/>
    <w:rsid w:val="00D812FC"/>
    <w:rsid w:val="00DA4C52"/>
    <w:rsid w:val="00DF7745"/>
    <w:rsid w:val="00E72161"/>
    <w:rsid w:val="00F442F5"/>
    <w:rsid w:val="00F5571C"/>
    <w:rsid w:val="01662994"/>
    <w:rsid w:val="0365529C"/>
    <w:rsid w:val="0650366A"/>
    <w:rsid w:val="07146C2B"/>
    <w:rsid w:val="072B6851"/>
    <w:rsid w:val="07684137"/>
    <w:rsid w:val="08F05DCF"/>
    <w:rsid w:val="091844A2"/>
    <w:rsid w:val="0926237D"/>
    <w:rsid w:val="093342E7"/>
    <w:rsid w:val="097D251D"/>
    <w:rsid w:val="0B083329"/>
    <w:rsid w:val="0D7E707B"/>
    <w:rsid w:val="10A122D5"/>
    <w:rsid w:val="11597885"/>
    <w:rsid w:val="12503FC7"/>
    <w:rsid w:val="12BE134B"/>
    <w:rsid w:val="13184AEF"/>
    <w:rsid w:val="132E0705"/>
    <w:rsid w:val="134474A7"/>
    <w:rsid w:val="136C3A6D"/>
    <w:rsid w:val="14071235"/>
    <w:rsid w:val="145B698A"/>
    <w:rsid w:val="147A79E4"/>
    <w:rsid w:val="14A624F0"/>
    <w:rsid w:val="15C00A3E"/>
    <w:rsid w:val="16306774"/>
    <w:rsid w:val="177B77A1"/>
    <w:rsid w:val="18466910"/>
    <w:rsid w:val="19767855"/>
    <w:rsid w:val="1A786898"/>
    <w:rsid w:val="1A955850"/>
    <w:rsid w:val="1B6C5674"/>
    <w:rsid w:val="1B715091"/>
    <w:rsid w:val="1C6E5335"/>
    <w:rsid w:val="1C7836C6"/>
    <w:rsid w:val="211D0AE0"/>
    <w:rsid w:val="21C612F9"/>
    <w:rsid w:val="2222290C"/>
    <w:rsid w:val="228813B7"/>
    <w:rsid w:val="22CE7533"/>
    <w:rsid w:val="2485597A"/>
    <w:rsid w:val="248868FE"/>
    <w:rsid w:val="24982E10"/>
    <w:rsid w:val="24C9636D"/>
    <w:rsid w:val="25B305EA"/>
    <w:rsid w:val="25E41CD0"/>
    <w:rsid w:val="270C6587"/>
    <w:rsid w:val="27595274"/>
    <w:rsid w:val="27C12BF7"/>
    <w:rsid w:val="28F125FC"/>
    <w:rsid w:val="290441D9"/>
    <w:rsid w:val="2BDC1404"/>
    <w:rsid w:val="2C0F0959"/>
    <w:rsid w:val="2C9E6361"/>
    <w:rsid w:val="2D473ED9"/>
    <w:rsid w:val="2DA851F7"/>
    <w:rsid w:val="2DC72F38"/>
    <w:rsid w:val="2E22383C"/>
    <w:rsid w:val="2E273353"/>
    <w:rsid w:val="2E860788"/>
    <w:rsid w:val="2EE20667"/>
    <w:rsid w:val="2F1E4274"/>
    <w:rsid w:val="2F332780"/>
    <w:rsid w:val="319B3A22"/>
    <w:rsid w:val="33024A12"/>
    <w:rsid w:val="339D442A"/>
    <w:rsid w:val="34697489"/>
    <w:rsid w:val="34BF7E98"/>
    <w:rsid w:val="34CE1BAC"/>
    <w:rsid w:val="34D658BF"/>
    <w:rsid w:val="355F439E"/>
    <w:rsid w:val="361C5BD6"/>
    <w:rsid w:val="36946B19"/>
    <w:rsid w:val="36DA2EAA"/>
    <w:rsid w:val="375842D9"/>
    <w:rsid w:val="37C91115"/>
    <w:rsid w:val="391F00CC"/>
    <w:rsid w:val="398A32F4"/>
    <w:rsid w:val="3AD93CF9"/>
    <w:rsid w:val="3AF52B1B"/>
    <w:rsid w:val="3B566601"/>
    <w:rsid w:val="3B984165"/>
    <w:rsid w:val="3BCE7CAB"/>
    <w:rsid w:val="3BDC48E7"/>
    <w:rsid w:val="3C985175"/>
    <w:rsid w:val="3CA5259B"/>
    <w:rsid w:val="3D390582"/>
    <w:rsid w:val="3D836D33"/>
    <w:rsid w:val="3E6A66F5"/>
    <w:rsid w:val="3E852AB9"/>
    <w:rsid w:val="3FF51B86"/>
    <w:rsid w:val="409F0893"/>
    <w:rsid w:val="41B47E56"/>
    <w:rsid w:val="4254525D"/>
    <w:rsid w:val="42EA16BB"/>
    <w:rsid w:val="43A966D6"/>
    <w:rsid w:val="44954C10"/>
    <w:rsid w:val="45313B95"/>
    <w:rsid w:val="45337098"/>
    <w:rsid w:val="464F3219"/>
    <w:rsid w:val="465B6AFA"/>
    <w:rsid w:val="47210E42"/>
    <w:rsid w:val="47D3680D"/>
    <w:rsid w:val="487600EF"/>
    <w:rsid w:val="48F330DC"/>
    <w:rsid w:val="498E6BA8"/>
    <w:rsid w:val="4A4554B8"/>
    <w:rsid w:val="4C791583"/>
    <w:rsid w:val="4DAD2892"/>
    <w:rsid w:val="4E8C356D"/>
    <w:rsid w:val="50656676"/>
    <w:rsid w:val="50A142A7"/>
    <w:rsid w:val="50C51F13"/>
    <w:rsid w:val="51F96A8C"/>
    <w:rsid w:val="53D0194D"/>
    <w:rsid w:val="53FE2659"/>
    <w:rsid w:val="553C3366"/>
    <w:rsid w:val="55FD59A2"/>
    <w:rsid w:val="560D0B3E"/>
    <w:rsid w:val="562C577E"/>
    <w:rsid w:val="56BA0EAE"/>
    <w:rsid w:val="57F1516C"/>
    <w:rsid w:val="5AA62E48"/>
    <w:rsid w:val="5C6E2434"/>
    <w:rsid w:val="5D082632"/>
    <w:rsid w:val="5D545BA9"/>
    <w:rsid w:val="60474C82"/>
    <w:rsid w:val="60BB2A43"/>
    <w:rsid w:val="6138147B"/>
    <w:rsid w:val="63164E21"/>
    <w:rsid w:val="63B36E9D"/>
    <w:rsid w:val="642A77A1"/>
    <w:rsid w:val="6454481E"/>
    <w:rsid w:val="64C94467"/>
    <w:rsid w:val="64FB04B9"/>
    <w:rsid w:val="65EB3645"/>
    <w:rsid w:val="65F71656"/>
    <w:rsid w:val="68500530"/>
    <w:rsid w:val="68706867"/>
    <w:rsid w:val="69DA2E1A"/>
    <w:rsid w:val="69FF2A4C"/>
    <w:rsid w:val="6A952428"/>
    <w:rsid w:val="6D2A61A5"/>
    <w:rsid w:val="6D473B11"/>
    <w:rsid w:val="6DB5686D"/>
    <w:rsid w:val="6DD66D15"/>
    <w:rsid w:val="6F846384"/>
    <w:rsid w:val="71186BD3"/>
    <w:rsid w:val="71F71538"/>
    <w:rsid w:val="72411700"/>
    <w:rsid w:val="72632F3A"/>
    <w:rsid w:val="744D6A5F"/>
    <w:rsid w:val="76C07F60"/>
    <w:rsid w:val="776C16FD"/>
    <w:rsid w:val="778A0CAD"/>
    <w:rsid w:val="77B02B31"/>
    <w:rsid w:val="78255E48"/>
    <w:rsid w:val="788B1B55"/>
    <w:rsid w:val="78B11DE7"/>
    <w:rsid w:val="79653A37"/>
    <w:rsid w:val="7A136635"/>
    <w:rsid w:val="7A4B381F"/>
    <w:rsid w:val="7C800451"/>
    <w:rsid w:val="7D3B0A6B"/>
    <w:rsid w:val="7D7658C7"/>
    <w:rsid w:val="7D865A27"/>
    <w:rsid w:val="7EFF4C65"/>
    <w:rsid w:val="7F5C7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42" w:firstLineChars="200"/>
      <w:jc w:val="both"/>
    </w:pPr>
    <w:rPr>
      <w:rFonts w:ascii="宋体" w:hAnsi="宋体" w:eastAsia="宋体" w:cs="Times New Roman"/>
      <w:kern w:val="2"/>
      <w:sz w:val="24"/>
      <w:szCs w:val="24"/>
      <w:lang w:val="en-US" w:eastAsia="zh-CN" w:bidi="ar-SA"/>
    </w:rPr>
  </w:style>
  <w:style w:type="paragraph" w:styleId="2">
    <w:name w:val="heading 1"/>
    <w:basedOn w:val="1"/>
    <w:next w:val="1"/>
    <w:qFormat/>
    <w:uiPriority w:val="9"/>
    <w:pPr>
      <w:spacing w:before="50" w:beforeLines="50" w:after="50" w:afterLines="50"/>
      <w:ind w:firstLine="0" w:firstLineChars="0"/>
      <w:outlineLvl w:val="0"/>
    </w:pPr>
    <w:rPr>
      <w:b/>
      <w:kern w:val="44"/>
    </w:rPr>
  </w:style>
  <w:style w:type="paragraph" w:styleId="3">
    <w:name w:val="heading 2"/>
    <w:basedOn w:val="1"/>
    <w:next w:val="1"/>
    <w:unhideWhenUsed/>
    <w:qFormat/>
    <w:uiPriority w:val="9"/>
    <w:pPr>
      <w:keepNext/>
      <w:keepLines/>
      <w:widowControl/>
      <w:autoSpaceDE w:val="0"/>
      <w:autoSpaceDN w:val="0"/>
      <w:ind w:firstLine="480"/>
      <w:outlineLvl w:val="1"/>
    </w:pPr>
    <w:rPr>
      <w:b/>
    </w:rPr>
  </w:style>
  <w:style w:type="paragraph" w:styleId="4">
    <w:name w:val="heading 3"/>
    <w:basedOn w:val="1"/>
    <w:next w:val="1"/>
    <w:link w:val="15"/>
    <w:qFormat/>
    <w:uiPriority w:val="9"/>
    <w:pPr>
      <w:keepNext/>
      <w:keepLines/>
      <w:spacing w:before="260" w:after="260"/>
      <w:outlineLvl w:val="2"/>
    </w:pPr>
    <w:rPr>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6"/>
    <w:unhideWhenUsed/>
    <w:qFormat/>
    <w:uiPriority w:val="99"/>
    <w:pPr>
      <w:jc w:val="left"/>
    </w:pPr>
  </w:style>
  <w:style w:type="paragraph" w:styleId="6">
    <w:name w:val="Balloon Text"/>
    <w:basedOn w:val="1"/>
    <w:link w:val="17"/>
    <w:unhideWhenUsed/>
    <w:qFormat/>
    <w:uiPriority w:val="99"/>
    <w:rPr>
      <w:sz w:val="18"/>
      <w:szCs w:val="18"/>
    </w:rPr>
  </w:style>
  <w:style w:type="paragraph" w:styleId="7">
    <w:name w:val="footer"/>
    <w:basedOn w:val="1"/>
    <w:link w:val="22"/>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spacing w:before="100" w:beforeAutospacing="1" w:after="100" w:afterAutospacing="1"/>
      <w:jc w:val="left"/>
    </w:pPr>
    <w:rPr>
      <w:kern w:val="0"/>
    </w:rPr>
  </w:style>
  <w:style w:type="paragraph" w:styleId="10">
    <w:name w:val="annotation subject"/>
    <w:basedOn w:val="5"/>
    <w:next w:val="5"/>
    <w:link w:val="18"/>
    <w:unhideWhenUsed/>
    <w:qFormat/>
    <w:uiPriority w:val="99"/>
    <w:rPr>
      <w:b/>
      <w:bCs/>
    </w:rPr>
  </w:style>
  <w:style w:type="character" w:styleId="13">
    <w:name w:val="page number"/>
    <w:unhideWhenUsed/>
    <w:qFormat/>
    <w:uiPriority w:val="99"/>
  </w:style>
  <w:style w:type="character" w:styleId="14">
    <w:name w:val="annotation reference"/>
    <w:unhideWhenUsed/>
    <w:qFormat/>
    <w:uiPriority w:val="99"/>
    <w:rPr>
      <w:sz w:val="21"/>
      <w:szCs w:val="21"/>
    </w:rPr>
  </w:style>
  <w:style w:type="character" w:customStyle="1" w:styleId="15">
    <w:name w:val="标题 3 字符"/>
    <w:link w:val="4"/>
    <w:qFormat/>
    <w:uiPriority w:val="0"/>
    <w:rPr>
      <w:rFonts w:ascii="Times New Roman" w:hAnsi="Times New Roman" w:eastAsia="宋体"/>
      <w:b/>
      <w:sz w:val="32"/>
    </w:rPr>
  </w:style>
  <w:style w:type="character" w:customStyle="1" w:styleId="16">
    <w:name w:val="批注文字 字符"/>
    <w:link w:val="5"/>
    <w:semiHidden/>
    <w:qFormat/>
    <w:uiPriority w:val="99"/>
    <w:rPr>
      <w:kern w:val="2"/>
      <w:sz w:val="21"/>
      <w:szCs w:val="24"/>
    </w:rPr>
  </w:style>
  <w:style w:type="character" w:customStyle="1" w:styleId="17">
    <w:name w:val="批注框文本 字符"/>
    <w:link w:val="6"/>
    <w:semiHidden/>
    <w:qFormat/>
    <w:uiPriority w:val="99"/>
    <w:rPr>
      <w:kern w:val="2"/>
      <w:sz w:val="18"/>
      <w:szCs w:val="18"/>
    </w:rPr>
  </w:style>
  <w:style w:type="character" w:customStyle="1" w:styleId="18">
    <w:name w:val="批注主题 字符"/>
    <w:link w:val="10"/>
    <w:semiHidden/>
    <w:qFormat/>
    <w:uiPriority w:val="99"/>
    <w:rPr>
      <w:b/>
      <w:bCs/>
      <w:kern w:val="2"/>
      <w:sz w:val="21"/>
      <w:szCs w:val="24"/>
    </w:rPr>
  </w:style>
  <w:style w:type="paragraph" w:customStyle="1" w:styleId="19">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20">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21">
    <w:name w:val="标题 3 字符1"/>
    <w:qFormat/>
    <w:uiPriority w:val="9"/>
    <w:rPr>
      <w:rFonts w:ascii="Calibri" w:hAnsi="Calibri" w:eastAsia="宋体"/>
      <w:b/>
      <w:sz w:val="24"/>
    </w:rPr>
  </w:style>
  <w:style w:type="character" w:customStyle="1" w:styleId="22">
    <w:name w:val="页脚 字符"/>
    <w:basedOn w:val="12"/>
    <w:link w:val="7"/>
    <w:qFormat/>
    <w:uiPriority w:val="99"/>
    <w:rPr>
      <w:rFonts w:ascii="宋体" w:hAnsi="宋体"/>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3146</Words>
  <Characters>3309</Characters>
  <Lines>2</Lines>
  <Paragraphs>7</Paragraphs>
  <TotalTime>20</TotalTime>
  <ScaleCrop>false</ScaleCrop>
  <LinksUpToDate>false</LinksUpToDate>
  <CharactersWithSpaces>3346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2024-03-11T02:58:00Z</dcterms:created>
  <dc:creator>王琴</dc:creator>
  <cp:lastModifiedBy>cdq</cp:lastModifiedBy>
  <cp:lastPrinted>2024-04-19T07:15:00Z</cp:lastPrinted>
  <dcterms:modified xsi:type="dcterms:W3CDTF">2025-04-14T06:47:22Z</dcterms:modified>
  <dc:title>福建广生堂药业股份有限公司</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DB02E6FB55F8464A9F3D6E284D8B618A</vt:lpwstr>
  </property>
  <property fmtid="{D5CDD505-2E9C-101B-9397-08002B2CF9AE}" pid="4" name="KSOTemplateDocerSaveRecord">
    <vt:lpwstr>eyJoZGlkIjoiY2Q4MDAzNjNiM2EwYjNjY2VkN2I2ZWY4OTg5YTA1ZWYiLCJ1c2VySWQiOiIxMzk5OTUwMzQxIn0=</vt:lpwstr>
  </property>
</Properties>
</file>