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84E5CA" w14:textId="77777777" w:rsidR="00D749E1" w:rsidRDefault="007F1A40">
      <w:pPr>
        <w:spacing w:line="360" w:lineRule="auto"/>
        <w:rPr>
          <w:rFonts w:ascii="宋体" w:hAnsi="宋体" w:cs="宋体" w:hint="eastAsia"/>
          <w:kern w:val="0"/>
          <w:sz w:val="16"/>
          <w:szCs w:val="16"/>
        </w:rPr>
      </w:pPr>
      <w:r>
        <w:rPr>
          <w:rFonts w:ascii="宋体" w:hAnsi="宋体" w:cs="宋体" w:hint="eastAsia"/>
          <w:kern w:val="0"/>
          <w:sz w:val="24"/>
          <w:szCs w:val="24"/>
        </w:rPr>
        <w:t xml:space="preserve"> </w:t>
      </w:r>
      <w:r>
        <w:rPr>
          <w:rFonts w:ascii="宋体" w:hAnsi="宋体" w:cs="宋体" w:hint="eastAsia"/>
          <w:kern w:val="0"/>
          <w:sz w:val="24"/>
          <w:szCs w:val="24"/>
        </w:rPr>
        <w:t>证券代码：</w:t>
      </w:r>
      <w:r>
        <w:rPr>
          <w:rFonts w:ascii="宋体" w:hAnsi="宋体" w:cs="宋体" w:hint="eastAsia"/>
          <w:kern w:val="0"/>
          <w:sz w:val="24"/>
          <w:szCs w:val="24"/>
        </w:rPr>
        <w:t xml:space="preserve">300436       </w:t>
      </w:r>
      <w:r>
        <w:rPr>
          <w:rFonts w:ascii="宋体" w:hAnsi="宋体" w:cs="宋体" w:hint="eastAsia"/>
          <w:kern w:val="0"/>
          <w:sz w:val="24"/>
          <w:szCs w:val="24"/>
        </w:rPr>
        <w:t>证券简称：广生堂</w:t>
      </w:r>
      <w:r>
        <w:rPr>
          <w:rFonts w:ascii="宋体" w:hAnsi="宋体" w:cs="宋体" w:hint="eastAsia"/>
          <w:kern w:val="0"/>
          <w:sz w:val="24"/>
          <w:szCs w:val="24"/>
        </w:rPr>
        <w:t xml:space="preserve">        </w:t>
      </w:r>
      <w:r>
        <w:rPr>
          <w:rFonts w:ascii="宋体" w:hAnsi="宋体" w:cs="宋体" w:hint="eastAsia"/>
          <w:kern w:val="0"/>
          <w:sz w:val="24"/>
          <w:szCs w:val="24"/>
        </w:rPr>
        <w:t>公告编号：</w:t>
      </w:r>
      <w:r>
        <w:rPr>
          <w:rFonts w:ascii="宋体" w:hAnsi="宋体" w:cs="宋体" w:hint="eastAsia"/>
          <w:kern w:val="0"/>
          <w:sz w:val="24"/>
          <w:szCs w:val="24"/>
        </w:rPr>
        <w:t>2025</w:t>
      </w:r>
      <w:r>
        <w:rPr>
          <w:rFonts w:ascii="宋体" w:hAnsi="宋体" w:cs="宋体" w:hint="eastAsia"/>
          <w:kern w:val="0"/>
          <w:sz w:val="24"/>
          <w:szCs w:val="24"/>
        </w:rPr>
        <w:t>030</w:t>
      </w:r>
    </w:p>
    <w:p w14:paraId="48703FF6" w14:textId="77777777" w:rsidR="00D749E1" w:rsidRDefault="007F1A40">
      <w:pPr>
        <w:spacing w:beforeLines="50" w:before="156" w:line="360" w:lineRule="auto"/>
        <w:jc w:val="center"/>
        <w:rPr>
          <w:rFonts w:ascii="宋体" w:hAnsi="宋体" w:cs="宋体" w:hint="eastAsia"/>
          <w:b/>
          <w:sz w:val="32"/>
          <w:szCs w:val="32"/>
        </w:rPr>
      </w:pPr>
      <w:r>
        <w:rPr>
          <w:rFonts w:ascii="宋体" w:hAnsi="宋体" w:cs="宋体" w:hint="eastAsia"/>
          <w:b/>
          <w:sz w:val="32"/>
          <w:szCs w:val="32"/>
        </w:rPr>
        <w:t>福建广生堂药业股份有限公司</w:t>
      </w:r>
    </w:p>
    <w:p w14:paraId="1552A872" w14:textId="77777777" w:rsidR="00D749E1" w:rsidRDefault="007F1A40">
      <w:pPr>
        <w:spacing w:afterLines="50" w:after="156" w:line="360" w:lineRule="auto"/>
        <w:jc w:val="center"/>
        <w:rPr>
          <w:rFonts w:ascii="宋体" w:hAnsi="宋体" w:cs="宋体" w:hint="eastAsia"/>
          <w:b/>
          <w:sz w:val="32"/>
          <w:szCs w:val="32"/>
        </w:rPr>
      </w:pPr>
      <w:r>
        <w:rPr>
          <w:rFonts w:ascii="宋体" w:hAnsi="宋体" w:cs="宋体" w:hint="eastAsia"/>
          <w:b/>
          <w:sz w:val="32"/>
          <w:szCs w:val="32"/>
        </w:rPr>
        <w:t>关于计提资产减值准备的公告</w:t>
      </w:r>
    </w:p>
    <w:tbl>
      <w:tblPr>
        <w:tblW w:w="8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22"/>
      </w:tblGrid>
      <w:tr w:rsidR="00D749E1" w14:paraId="7E5658B6" w14:textId="77777777">
        <w:trPr>
          <w:trHeight w:val="1247"/>
        </w:trPr>
        <w:tc>
          <w:tcPr>
            <w:tcW w:w="8522" w:type="dxa"/>
            <w:vAlign w:val="center"/>
          </w:tcPr>
          <w:p w14:paraId="1F14DC5B" w14:textId="77777777" w:rsidR="00D749E1" w:rsidRDefault="007F1A40">
            <w:pPr>
              <w:ind w:firstLineChars="200" w:firstLine="600"/>
              <w:rPr>
                <w:rFonts w:ascii="宋体" w:hAnsi="宋体" w:cs="宋体" w:hint="eastAsia"/>
                <w:b/>
                <w:sz w:val="30"/>
                <w:szCs w:val="30"/>
              </w:rPr>
            </w:pPr>
            <w:r>
              <w:rPr>
                <w:rFonts w:ascii="宋体" w:hAnsi="宋体" w:cs="宋体" w:hint="eastAsia"/>
                <w:kern w:val="0"/>
                <w:sz w:val="30"/>
                <w:szCs w:val="30"/>
              </w:rPr>
              <w:t>本公司及董事会全体成员保证信息披露的内容真实、准确、完整，没有虚假记载、误导性陈述或重大遗漏。</w:t>
            </w:r>
          </w:p>
        </w:tc>
      </w:tr>
    </w:tbl>
    <w:p w14:paraId="51962D29" w14:textId="77777777" w:rsidR="00D749E1" w:rsidRDefault="007F1A40">
      <w:pPr>
        <w:adjustRightInd w:val="0"/>
        <w:spacing w:beforeLines="100" w:before="312" w:line="360" w:lineRule="auto"/>
        <w:ind w:firstLineChars="200" w:firstLine="482"/>
        <w:rPr>
          <w:rFonts w:ascii="宋体" w:hAnsi="宋体" w:cs="宋体" w:hint="eastAsia"/>
          <w:b/>
          <w:bCs/>
          <w:kern w:val="0"/>
          <w:sz w:val="24"/>
          <w:szCs w:val="24"/>
        </w:rPr>
      </w:pPr>
      <w:r>
        <w:rPr>
          <w:rFonts w:ascii="宋体" w:hAnsi="宋体" w:cs="宋体" w:hint="eastAsia"/>
          <w:b/>
          <w:bCs/>
          <w:kern w:val="0"/>
          <w:sz w:val="24"/>
          <w:szCs w:val="24"/>
        </w:rPr>
        <w:t>重要提示：</w:t>
      </w:r>
      <w:r>
        <w:rPr>
          <w:rFonts w:ascii="宋体" w:hAnsi="宋体" w:cs="宋体" w:hint="eastAsia"/>
          <w:kern w:val="0"/>
          <w:sz w:val="24"/>
          <w:szCs w:val="24"/>
        </w:rPr>
        <w:t>本次计提资产减值准备将减少公司</w:t>
      </w:r>
      <w:r>
        <w:rPr>
          <w:rFonts w:ascii="宋体" w:hAnsi="宋体" w:cs="宋体" w:hint="eastAsia"/>
          <w:kern w:val="0"/>
          <w:sz w:val="24"/>
          <w:szCs w:val="24"/>
        </w:rPr>
        <w:t>2024</w:t>
      </w:r>
      <w:r>
        <w:rPr>
          <w:rFonts w:ascii="宋体" w:hAnsi="宋体" w:cs="宋体" w:hint="eastAsia"/>
          <w:kern w:val="0"/>
          <w:sz w:val="24"/>
          <w:szCs w:val="24"/>
        </w:rPr>
        <w:t>年度合并报表归属于母公司所有者的净利润</w:t>
      </w:r>
      <w:r>
        <w:rPr>
          <w:rFonts w:ascii="宋体" w:hAnsi="宋体" w:cs="宋体" w:hint="eastAsia"/>
          <w:kern w:val="0"/>
          <w:sz w:val="24"/>
          <w:szCs w:val="24"/>
        </w:rPr>
        <w:t>7,509.49</w:t>
      </w:r>
      <w:r>
        <w:rPr>
          <w:rFonts w:ascii="宋体" w:hAnsi="宋体" w:cs="宋体" w:hint="eastAsia"/>
          <w:kern w:val="0"/>
          <w:sz w:val="24"/>
          <w:szCs w:val="24"/>
        </w:rPr>
        <w:t>万元。</w:t>
      </w:r>
    </w:p>
    <w:p w14:paraId="094F5F3B" w14:textId="77777777" w:rsidR="00D749E1" w:rsidRDefault="007F1A40">
      <w:pPr>
        <w:adjustRightInd w:val="0"/>
        <w:spacing w:beforeLines="100" w:before="312"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福建广生堂药业股份有限公司（简称“公司”）于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16</w:t>
      </w:r>
      <w:r>
        <w:rPr>
          <w:rFonts w:ascii="宋体" w:hAnsi="宋体" w:cs="宋体" w:hint="eastAsia"/>
          <w:kern w:val="0"/>
          <w:sz w:val="24"/>
          <w:szCs w:val="24"/>
        </w:rPr>
        <w:t>日召开第五届董事会第八次会议和第五届监事会第七次会议，审议通过了《关于计提资产减值准备的议案》，同意对</w:t>
      </w:r>
      <w:r>
        <w:rPr>
          <w:rFonts w:ascii="宋体" w:hAnsi="宋体" w:cs="宋体" w:hint="eastAsia"/>
          <w:kern w:val="0"/>
          <w:sz w:val="24"/>
          <w:szCs w:val="24"/>
        </w:rPr>
        <w:t>部分资产计提资产减值准备，合计金额人民币</w:t>
      </w:r>
      <w:r>
        <w:rPr>
          <w:rFonts w:ascii="宋体" w:hAnsi="宋体" w:cs="宋体" w:hint="eastAsia"/>
          <w:kern w:val="0"/>
          <w:sz w:val="24"/>
          <w:szCs w:val="24"/>
        </w:rPr>
        <w:t>7,509.49</w:t>
      </w:r>
      <w:r>
        <w:rPr>
          <w:rFonts w:ascii="宋体" w:hAnsi="宋体" w:cs="宋体" w:hint="eastAsia"/>
          <w:kern w:val="0"/>
          <w:sz w:val="24"/>
          <w:szCs w:val="24"/>
        </w:rPr>
        <w:t>万元。现将具体情况公告如下：</w:t>
      </w:r>
    </w:p>
    <w:p w14:paraId="45050C09" w14:textId="77777777" w:rsidR="00D749E1" w:rsidRDefault="007F1A40">
      <w:pPr>
        <w:pStyle w:val="1"/>
        <w:keepNext w:val="0"/>
        <w:keepLines w:val="0"/>
        <w:spacing w:before="156" w:after="156"/>
        <w:rPr>
          <w:rFonts w:ascii="宋体" w:hAnsi="宋体" w:cs="宋体" w:hint="eastAsia"/>
        </w:rPr>
      </w:pPr>
      <w:r>
        <w:rPr>
          <w:rFonts w:ascii="宋体" w:hAnsi="宋体" w:cs="宋体" w:hint="eastAsia"/>
        </w:rPr>
        <w:t>一、</w:t>
      </w:r>
      <w:r>
        <w:rPr>
          <w:rFonts w:ascii="宋体" w:hAnsi="宋体" w:cs="宋体" w:hint="eastAsia"/>
        </w:rPr>
        <w:t xml:space="preserve"> </w:t>
      </w:r>
      <w:r>
        <w:rPr>
          <w:rFonts w:ascii="宋体" w:hAnsi="宋体" w:cs="宋体" w:hint="eastAsia"/>
        </w:rPr>
        <w:t>本次计提资产减值准备概述</w:t>
      </w:r>
    </w:p>
    <w:p w14:paraId="3E2FD690"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根据《企业会计准则》《深圳证券交易所上市公司自律监管指引第</w:t>
      </w:r>
      <w:r>
        <w:rPr>
          <w:rFonts w:ascii="宋体" w:hAnsi="宋体" w:cs="宋体" w:hint="eastAsia"/>
          <w:kern w:val="0"/>
          <w:sz w:val="24"/>
          <w:szCs w:val="24"/>
        </w:rPr>
        <w:t>2</w:t>
      </w:r>
      <w:r>
        <w:rPr>
          <w:rFonts w:ascii="宋体" w:hAnsi="宋体" w:cs="宋体" w:hint="eastAsia"/>
          <w:kern w:val="0"/>
          <w:sz w:val="24"/>
          <w:szCs w:val="24"/>
        </w:rPr>
        <w:t>号——创业板上市公司规范运作》及公司会计政策等相关要求，为更加真实、准确反映公司截至</w:t>
      </w:r>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日的财务状况及经营成果，基于谨慎性原则，公司及合并范围内子公司对</w:t>
      </w:r>
      <w:r>
        <w:rPr>
          <w:rFonts w:ascii="宋体" w:hAnsi="宋体" w:cs="宋体" w:hint="eastAsia"/>
          <w:kern w:val="0"/>
          <w:sz w:val="24"/>
          <w:szCs w:val="24"/>
        </w:rPr>
        <w:t>2024</w:t>
      </w:r>
      <w:r>
        <w:rPr>
          <w:rFonts w:ascii="宋体" w:hAnsi="宋体" w:cs="宋体" w:hint="eastAsia"/>
          <w:kern w:val="0"/>
          <w:sz w:val="24"/>
          <w:szCs w:val="24"/>
        </w:rPr>
        <w:t>年末的各类资产进行了减值测试，对存在减值迹象的资产计提减值准备。</w:t>
      </w:r>
    </w:p>
    <w:p w14:paraId="568C6BC0"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公司本次计提减值准备的资产包括应收账款、存货、固定资产、无形资产、其他流动资产，计提减值</w:t>
      </w:r>
      <w:proofErr w:type="gramStart"/>
      <w:r>
        <w:rPr>
          <w:rFonts w:ascii="宋体" w:hAnsi="宋体" w:cs="宋体" w:hint="eastAsia"/>
          <w:kern w:val="0"/>
          <w:sz w:val="24"/>
          <w:szCs w:val="24"/>
        </w:rPr>
        <w:t>准备总</w:t>
      </w:r>
      <w:proofErr w:type="gramEnd"/>
      <w:r>
        <w:rPr>
          <w:rFonts w:ascii="宋体" w:hAnsi="宋体" w:cs="宋体" w:hint="eastAsia"/>
          <w:kern w:val="0"/>
          <w:sz w:val="24"/>
          <w:szCs w:val="24"/>
        </w:rPr>
        <w:t>金额为</w:t>
      </w:r>
      <w:r>
        <w:rPr>
          <w:rFonts w:ascii="宋体" w:hAnsi="宋体" w:cs="宋体"/>
          <w:kern w:val="0"/>
          <w:sz w:val="24"/>
          <w:szCs w:val="24"/>
        </w:rPr>
        <w:t>7,509.49</w:t>
      </w:r>
      <w:r>
        <w:rPr>
          <w:rFonts w:ascii="宋体" w:hAnsi="宋体" w:cs="宋体" w:hint="eastAsia"/>
          <w:kern w:val="0"/>
          <w:sz w:val="24"/>
          <w:szCs w:val="24"/>
        </w:rPr>
        <w:t>万元，全部计入</w:t>
      </w:r>
      <w:r>
        <w:rPr>
          <w:rFonts w:ascii="宋体" w:hAnsi="宋体" w:cs="宋体" w:hint="eastAsia"/>
          <w:kern w:val="0"/>
          <w:sz w:val="24"/>
          <w:szCs w:val="24"/>
        </w:rPr>
        <w:t>2024</w:t>
      </w:r>
      <w:r>
        <w:rPr>
          <w:rFonts w:ascii="宋体" w:hAnsi="宋体" w:cs="宋体" w:hint="eastAsia"/>
          <w:kern w:val="0"/>
          <w:sz w:val="24"/>
          <w:szCs w:val="24"/>
        </w:rPr>
        <w:t>年度。具体情况如下：</w:t>
      </w:r>
    </w:p>
    <w:tbl>
      <w:tblPr>
        <w:tblW w:w="8364" w:type="dxa"/>
        <w:tblInd w:w="-10" w:type="dxa"/>
        <w:tblLook w:val="04A0" w:firstRow="1" w:lastRow="0" w:firstColumn="1" w:lastColumn="0" w:noHBand="0" w:noVBand="1"/>
      </w:tblPr>
      <w:tblGrid>
        <w:gridCol w:w="4815"/>
        <w:gridCol w:w="3549"/>
      </w:tblGrid>
      <w:tr w:rsidR="00D749E1" w14:paraId="794CD937" w14:textId="77777777">
        <w:trPr>
          <w:trHeight w:val="435"/>
        </w:trPr>
        <w:tc>
          <w:tcPr>
            <w:tcW w:w="4815" w:type="dxa"/>
            <w:tcBorders>
              <w:top w:val="single" w:sz="8" w:space="0" w:color="auto"/>
              <w:left w:val="single" w:sz="8" w:space="0" w:color="auto"/>
              <w:bottom w:val="single" w:sz="8" w:space="0" w:color="auto"/>
              <w:right w:val="single" w:sz="8" w:space="0" w:color="auto"/>
            </w:tcBorders>
            <w:shd w:val="clear" w:color="auto" w:fill="auto"/>
            <w:vAlign w:val="center"/>
          </w:tcPr>
          <w:p w14:paraId="06C0F927" w14:textId="77777777" w:rsidR="00D749E1" w:rsidRDefault="007F1A40">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项目</w:t>
            </w:r>
          </w:p>
        </w:tc>
        <w:tc>
          <w:tcPr>
            <w:tcW w:w="3549" w:type="dxa"/>
            <w:tcBorders>
              <w:top w:val="single" w:sz="8" w:space="0" w:color="auto"/>
              <w:left w:val="nil"/>
              <w:bottom w:val="single" w:sz="8" w:space="0" w:color="auto"/>
              <w:right w:val="single" w:sz="8" w:space="0" w:color="auto"/>
            </w:tcBorders>
            <w:shd w:val="clear" w:color="auto" w:fill="auto"/>
            <w:vAlign w:val="center"/>
          </w:tcPr>
          <w:p w14:paraId="7E4AD228" w14:textId="77777777" w:rsidR="00D749E1" w:rsidRDefault="007F1A40">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计提减值准备金额（元）</w:t>
            </w:r>
          </w:p>
        </w:tc>
      </w:tr>
      <w:tr w:rsidR="00D749E1" w14:paraId="417BA6CD" w14:textId="77777777">
        <w:trPr>
          <w:trHeight w:val="435"/>
        </w:trPr>
        <w:tc>
          <w:tcPr>
            <w:tcW w:w="4815" w:type="dxa"/>
            <w:tcBorders>
              <w:top w:val="nil"/>
              <w:left w:val="single" w:sz="8" w:space="0" w:color="auto"/>
              <w:bottom w:val="single" w:sz="8" w:space="0" w:color="auto"/>
              <w:right w:val="single" w:sz="8" w:space="0" w:color="auto"/>
            </w:tcBorders>
            <w:shd w:val="clear" w:color="auto" w:fill="auto"/>
            <w:vAlign w:val="center"/>
          </w:tcPr>
          <w:p w14:paraId="31170E84" w14:textId="77777777" w:rsidR="00D749E1" w:rsidRDefault="007F1A40">
            <w:pPr>
              <w:widowControl/>
              <w:rPr>
                <w:rFonts w:ascii="宋体" w:hAnsi="宋体" w:cs="宋体" w:hint="eastAsia"/>
                <w:color w:val="000000"/>
                <w:kern w:val="0"/>
                <w:sz w:val="24"/>
                <w:szCs w:val="24"/>
              </w:rPr>
            </w:pPr>
            <w:r>
              <w:rPr>
                <w:rFonts w:ascii="宋体" w:hAnsi="宋体" w:cs="宋体" w:hint="eastAsia"/>
                <w:color w:val="000000"/>
                <w:kern w:val="0"/>
                <w:sz w:val="24"/>
                <w:szCs w:val="24"/>
              </w:rPr>
              <w:t>一、坏账准备</w:t>
            </w:r>
          </w:p>
        </w:tc>
        <w:tc>
          <w:tcPr>
            <w:tcW w:w="3549" w:type="dxa"/>
            <w:tcBorders>
              <w:top w:val="nil"/>
              <w:left w:val="nil"/>
              <w:bottom w:val="single" w:sz="8" w:space="0" w:color="auto"/>
              <w:right w:val="single" w:sz="8" w:space="0" w:color="auto"/>
            </w:tcBorders>
            <w:shd w:val="clear" w:color="auto" w:fill="auto"/>
            <w:vAlign w:val="center"/>
          </w:tcPr>
          <w:p w14:paraId="55FE76E8" w14:textId="77777777" w:rsidR="00D749E1" w:rsidRDefault="007F1A4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 xml:space="preserve">             552,973.81 </w:t>
            </w:r>
          </w:p>
        </w:tc>
      </w:tr>
      <w:tr w:rsidR="00D749E1" w14:paraId="3551B318" w14:textId="77777777">
        <w:trPr>
          <w:trHeight w:val="435"/>
        </w:trPr>
        <w:tc>
          <w:tcPr>
            <w:tcW w:w="4815" w:type="dxa"/>
            <w:tcBorders>
              <w:top w:val="nil"/>
              <w:left w:val="single" w:sz="8" w:space="0" w:color="auto"/>
              <w:bottom w:val="single" w:sz="8" w:space="0" w:color="auto"/>
              <w:right w:val="single" w:sz="8" w:space="0" w:color="auto"/>
            </w:tcBorders>
            <w:shd w:val="clear" w:color="auto" w:fill="auto"/>
            <w:vAlign w:val="center"/>
          </w:tcPr>
          <w:p w14:paraId="57F33459" w14:textId="77777777" w:rsidR="00D749E1" w:rsidRDefault="007F1A40">
            <w:pPr>
              <w:widowControl/>
              <w:rPr>
                <w:rFonts w:ascii="宋体" w:hAnsi="宋体" w:cs="宋体" w:hint="eastAsia"/>
                <w:color w:val="000000"/>
                <w:kern w:val="0"/>
                <w:sz w:val="24"/>
                <w:szCs w:val="24"/>
              </w:rPr>
            </w:pPr>
            <w:r>
              <w:rPr>
                <w:rFonts w:ascii="宋体" w:hAnsi="宋体" w:cs="宋体" w:hint="eastAsia"/>
                <w:color w:val="000000"/>
                <w:kern w:val="0"/>
                <w:sz w:val="24"/>
                <w:szCs w:val="24"/>
              </w:rPr>
              <w:t>其中：应收账款</w:t>
            </w:r>
          </w:p>
        </w:tc>
        <w:tc>
          <w:tcPr>
            <w:tcW w:w="3549" w:type="dxa"/>
            <w:tcBorders>
              <w:top w:val="nil"/>
              <w:left w:val="nil"/>
              <w:bottom w:val="single" w:sz="8" w:space="0" w:color="auto"/>
              <w:right w:val="single" w:sz="8" w:space="0" w:color="auto"/>
            </w:tcBorders>
            <w:shd w:val="clear" w:color="auto" w:fill="auto"/>
            <w:vAlign w:val="center"/>
          </w:tcPr>
          <w:p w14:paraId="47F1E845" w14:textId="77777777" w:rsidR="00D749E1" w:rsidRDefault="007F1A4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 xml:space="preserve">             291,893.11 </w:t>
            </w:r>
          </w:p>
        </w:tc>
      </w:tr>
      <w:tr w:rsidR="00D749E1" w14:paraId="49B48FAB" w14:textId="77777777">
        <w:trPr>
          <w:trHeight w:val="435"/>
        </w:trPr>
        <w:tc>
          <w:tcPr>
            <w:tcW w:w="4815" w:type="dxa"/>
            <w:tcBorders>
              <w:top w:val="nil"/>
              <w:left w:val="single" w:sz="8" w:space="0" w:color="auto"/>
              <w:bottom w:val="single" w:sz="8" w:space="0" w:color="auto"/>
              <w:right w:val="single" w:sz="8" w:space="0" w:color="auto"/>
            </w:tcBorders>
            <w:shd w:val="clear" w:color="auto" w:fill="auto"/>
            <w:vAlign w:val="center"/>
          </w:tcPr>
          <w:p w14:paraId="32F8F31A" w14:textId="77777777" w:rsidR="00D749E1" w:rsidRDefault="007F1A40">
            <w:pPr>
              <w:widowControl/>
              <w:rPr>
                <w:rFonts w:ascii="宋体" w:hAnsi="宋体" w:cs="宋体" w:hint="eastAsia"/>
                <w:color w:val="000000"/>
                <w:kern w:val="0"/>
                <w:sz w:val="24"/>
                <w:szCs w:val="24"/>
              </w:rPr>
            </w:pPr>
            <w:r>
              <w:rPr>
                <w:rFonts w:ascii="宋体" w:hAnsi="宋体" w:cs="宋体" w:hint="eastAsia"/>
                <w:color w:val="000000"/>
                <w:kern w:val="0"/>
                <w:sz w:val="24"/>
                <w:szCs w:val="24"/>
              </w:rPr>
              <w:t>二、存货跌价准备（注</w:t>
            </w:r>
            <w:r>
              <w:rPr>
                <w:rFonts w:ascii="宋体" w:hAnsi="宋体" w:cs="宋体" w:hint="eastAsia"/>
                <w:color w:val="000000"/>
                <w:kern w:val="0"/>
                <w:sz w:val="24"/>
                <w:szCs w:val="24"/>
              </w:rPr>
              <w:t>1</w:t>
            </w:r>
            <w:r>
              <w:rPr>
                <w:rFonts w:ascii="宋体" w:hAnsi="宋体" w:cs="宋体" w:hint="eastAsia"/>
                <w:color w:val="000000"/>
                <w:kern w:val="0"/>
                <w:sz w:val="24"/>
                <w:szCs w:val="24"/>
              </w:rPr>
              <w:t>）</w:t>
            </w:r>
          </w:p>
        </w:tc>
        <w:tc>
          <w:tcPr>
            <w:tcW w:w="3549" w:type="dxa"/>
            <w:tcBorders>
              <w:top w:val="nil"/>
              <w:left w:val="nil"/>
              <w:bottom w:val="single" w:sz="8" w:space="0" w:color="auto"/>
              <w:right w:val="single" w:sz="8" w:space="0" w:color="auto"/>
            </w:tcBorders>
            <w:shd w:val="clear" w:color="auto" w:fill="auto"/>
            <w:vAlign w:val="center"/>
          </w:tcPr>
          <w:p w14:paraId="4D311723" w14:textId="77777777" w:rsidR="00D749E1" w:rsidRDefault="007F1A4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 xml:space="preserve">          34,828,860.46 </w:t>
            </w:r>
          </w:p>
        </w:tc>
      </w:tr>
      <w:tr w:rsidR="00D749E1" w14:paraId="5B84B359" w14:textId="77777777">
        <w:trPr>
          <w:trHeight w:val="435"/>
        </w:trPr>
        <w:tc>
          <w:tcPr>
            <w:tcW w:w="4815" w:type="dxa"/>
            <w:tcBorders>
              <w:top w:val="nil"/>
              <w:left w:val="single" w:sz="8" w:space="0" w:color="auto"/>
              <w:bottom w:val="single" w:sz="8" w:space="0" w:color="auto"/>
              <w:right w:val="single" w:sz="8" w:space="0" w:color="auto"/>
            </w:tcBorders>
            <w:shd w:val="clear" w:color="auto" w:fill="auto"/>
            <w:noWrap/>
            <w:vAlign w:val="center"/>
          </w:tcPr>
          <w:p w14:paraId="7EF4F767" w14:textId="77777777" w:rsidR="00D749E1" w:rsidRDefault="007F1A4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三、固定资产减值准备（注</w:t>
            </w:r>
            <w:r>
              <w:rPr>
                <w:rFonts w:ascii="宋体" w:hAnsi="宋体" w:cs="宋体" w:hint="eastAsia"/>
                <w:color w:val="000000"/>
                <w:kern w:val="0"/>
                <w:sz w:val="24"/>
                <w:szCs w:val="24"/>
              </w:rPr>
              <w:t>2</w:t>
            </w:r>
            <w:r>
              <w:rPr>
                <w:rFonts w:ascii="宋体" w:hAnsi="宋体" w:cs="宋体" w:hint="eastAsia"/>
                <w:color w:val="000000"/>
                <w:kern w:val="0"/>
                <w:sz w:val="24"/>
                <w:szCs w:val="24"/>
              </w:rPr>
              <w:t>）</w:t>
            </w:r>
          </w:p>
        </w:tc>
        <w:tc>
          <w:tcPr>
            <w:tcW w:w="3549" w:type="dxa"/>
            <w:tcBorders>
              <w:top w:val="nil"/>
              <w:left w:val="nil"/>
              <w:bottom w:val="single" w:sz="8" w:space="0" w:color="auto"/>
              <w:right w:val="single" w:sz="8" w:space="0" w:color="auto"/>
            </w:tcBorders>
            <w:shd w:val="clear" w:color="auto" w:fill="auto"/>
            <w:vAlign w:val="center"/>
          </w:tcPr>
          <w:p w14:paraId="3DFC19FB" w14:textId="77777777" w:rsidR="00D749E1" w:rsidRDefault="007F1A4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 xml:space="preserve">           3,952,391.31 </w:t>
            </w:r>
          </w:p>
        </w:tc>
      </w:tr>
      <w:tr w:rsidR="00D749E1" w14:paraId="7951D2A5" w14:textId="77777777">
        <w:trPr>
          <w:trHeight w:val="435"/>
        </w:trPr>
        <w:tc>
          <w:tcPr>
            <w:tcW w:w="4815" w:type="dxa"/>
            <w:tcBorders>
              <w:top w:val="nil"/>
              <w:left w:val="single" w:sz="8" w:space="0" w:color="auto"/>
              <w:bottom w:val="single" w:sz="8" w:space="0" w:color="auto"/>
              <w:right w:val="single" w:sz="8" w:space="0" w:color="auto"/>
            </w:tcBorders>
            <w:shd w:val="clear" w:color="auto" w:fill="auto"/>
            <w:noWrap/>
            <w:vAlign w:val="center"/>
          </w:tcPr>
          <w:p w14:paraId="79250B6B" w14:textId="77777777" w:rsidR="00D749E1" w:rsidRDefault="007F1A4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四、无形资产减值损失（注</w:t>
            </w:r>
            <w:r>
              <w:rPr>
                <w:rFonts w:ascii="宋体" w:hAnsi="宋体" w:cs="宋体" w:hint="eastAsia"/>
                <w:color w:val="000000"/>
                <w:kern w:val="0"/>
                <w:sz w:val="24"/>
                <w:szCs w:val="24"/>
              </w:rPr>
              <w:t>3</w:t>
            </w:r>
            <w:r>
              <w:rPr>
                <w:rFonts w:ascii="宋体" w:hAnsi="宋体" w:cs="宋体" w:hint="eastAsia"/>
                <w:color w:val="000000"/>
                <w:kern w:val="0"/>
                <w:sz w:val="24"/>
                <w:szCs w:val="24"/>
              </w:rPr>
              <w:t>）</w:t>
            </w:r>
          </w:p>
        </w:tc>
        <w:tc>
          <w:tcPr>
            <w:tcW w:w="3549" w:type="dxa"/>
            <w:tcBorders>
              <w:top w:val="nil"/>
              <w:left w:val="nil"/>
              <w:bottom w:val="single" w:sz="8" w:space="0" w:color="auto"/>
              <w:right w:val="single" w:sz="8" w:space="0" w:color="auto"/>
            </w:tcBorders>
            <w:shd w:val="clear" w:color="auto" w:fill="auto"/>
            <w:vAlign w:val="center"/>
          </w:tcPr>
          <w:p w14:paraId="4A10B32D" w14:textId="77777777" w:rsidR="00D749E1" w:rsidRDefault="007F1A4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 xml:space="preserve">          13,260,901.06 </w:t>
            </w:r>
          </w:p>
        </w:tc>
      </w:tr>
      <w:tr w:rsidR="00D749E1" w14:paraId="1B452280" w14:textId="77777777">
        <w:trPr>
          <w:trHeight w:val="435"/>
        </w:trPr>
        <w:tc>
          <w:tcPr>
            <w:tcW w:w="4815" w:type="dxa"/>
            <w:tcBorders>
              <w:top w:val="nil"/>
              <w:left w:val="single" w:sz="8" w:space="0" w:color="auto"/>
              <w:bottom w:val="single" w:sz="8" w:space="0" w:color="auto"/>
              <w:right w:val="single" w:sz="8" w:space="0" w:color="auto"/>
            </w:tcBorders>
            <w:shd w:val="clear" w:color="auto" w:fill="auto"/>
            <w:noWrap/>
            <w:vAlign w:val="center"/>
          </w:tcPr>
          <w:p w14:paraId="6A45C8AC" w14:textId="77777777" w:rsidR="00D749E1" w:rsidRDefault="007F1A4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五、其他流动资产减值损失（注</w:t>
            </w:r>
            <w:r>
              <w:rPr>
                <w:rFonts w:ascii="宋体" w:hAnsi="宋体" w:cs="宋体" w:hint="eastAsia"/>
                <w:color w:val="000000"/>
                <w:kern w:val="0"/>
                <w:sz w:val="24"/>
                <w:szCs w:val="24"/>
              </w:rPr>
              <w:t>4)</w:t>
            </w:r>
          </w:p>
        </w:tc>
        <w:tc>
          <w:tcPr>
            <w:tcW w:w="3549" w:type="dxa"/>
            <w:tcBorders>
              <w:top w:val="nil"/>
              <w:left w:val="nil"/>
              <w:bottom w:val="single" w:sz="8" w:space="0" w:color="auto"/>
              <w:right w:val="single" w:sz="8" w:space="0" w:color="auto"/>
            </w:tcBorders>
            <w:shd w:val="clear" w:color="auto" w:fill="auto"/>
            <w:vAlign w:val="center"/>
          </w:tcPr>
          <w:p w14:paraId="59A1E994" w14:textId="77777777" w:rsidR="00D749E1" w:rsidRDefault="007F1A4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 xml:space="preserve">          22,499,732.11 </w:t>
            </w:r>
          </w:p>
        </w:tc>
      </w:tr>
      <w:tr w:rsidR="00D749E1" w14:paraId="5DC99B01" w14:textId="77777777">
        <w:trPr>
          <w:trHeight w:val="435"/>
        </w:trPr>
        <w:tc>
          <w:tcPr>
            <w:tcW w:w="4815" w:type="dxa"/>
            <w:tcBorders>
              <w:top w:val="nil"/>
              <w:left w:val="single" w:sz="8" w:space="0" w:color="auto"/>
              <w:bottom w:val="single" w:sz="8" w:space="0" w:color="auto"/>
              <w:right w:val="single" w:sz="8" w:space="0" w:color="auto"/>
            </w:tcBorders>
            <w:shd w:val="clear" w:color="auto" w:fill="auto"/>
            <w:vAlign w:val="center"/>
          </w:tcPr>
          <w:p w14:paraId="2601EF5C" w14:textId="77777777" w:rsidR="00D749E1" w:rsidRDefault="007F1A40">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合计</w:t>
            </w:r>
          </w:p>
        </w:tc>
        <w:tc>
          <w:tcPr>
            <w:tcW w:w="3549" w:type="dxa"/>
            <w:tcBorders>
              <w:top w:val="nil"/>
              <w:left w:val="nil"/>
              <w:bottom w:val="single" w:sz="8" w:space="0" w:color="auto"/>
              <w:right w:val="single" w:sz="8" w:space="0" w:color="auto"/>
            </w:tcBorders>
            <w:shd w:val="clear" w:color="auto" w:fill="auto"/>
            <w:vAlign w:val="center"/>
          </w:tcPr>
          <w:p w14:paraId="2080EF6E" w14:textId="77777777" w:rsidR="00D749E1" w:rsidRDefault="007F1A40">
            <w:pPr>
              <w:widowControl/>
              <w:jc w:val="righ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       75,094,858.75 </w:t>
            </w:r>
          </w:p>
        </w:tc>
      </w:tr>
    </w:tbl>
    <w:p w14:paraId="28304285" w14:textId="47E0808A" w:rsidR="00D749E1" w:rsidRDefault="007F1A40">
      <w:pPr>
        <w:adjustRightInd w:val="0"/>
        <w:ind w:firstLineChars="200" w:firstLine="360"/>
        <w:rPr>
          <w:rFonts w:ascii="宋体" w:hAnsi="宋体" w:cs="宋体" w:hint="eastAsia"/>
          <w:sz w:val="18"/>
          <w:szCs w:val="18"/>
        </w:rPr>
      </w:pPr>
      <w:r>
        <w:rPr>
          <w:rFonts w:ascii="宋体" w:hAnsi="宋体" w:cs="宋体" w:hint="eastAsia"/>
          <w:kern w:val="0"/>
          <w:sz w:val="18"/>
          <w:szCs w:val="18"/>
        </w:rPr>
        <w:t>注</w:t>
      </w:r>
      <w:r>
        <w:rPr>
          <w:rFonts w:ascii="宋体" w:hAnsi="宋体" w:cs="宋体" w:hint="eastAsia"/>
          <w:kern w:val="0"/>
          <w:sz w:val="18"/>
          <w:szCs w:val="18"/>
        </w:rPr>
        <w:t>1</w:t>
      </w:r>
      <w:r>
        <w:rPr>
          <w:rFonts w:ascii="宋体" w:hAnsi="宋体" w:cs="宋体" w:hint="eastAsia"/>
          <w:kern w:val="0"/>
          <w:sz w:val="18"/>
          <w:szCs w:val="18"/>
        </w:rPr>
        <w:t>：存货减值准备，主要是公司根据跌价测试方法，对公司过期近效期及可变现净值低于库存成本存货计提一定减值准备；注</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sz w:val="18"/>
          <w:szCs w:val="18"/>
        </w:rPr>
        <w:t>固定资产减值准备是对生产车间部分闲置资产按评估净值计提</w:t>
      </w:r>
      <w:r>
        <w:rPr>
          <w:rFonts w:ascii="宋体" w:hAnsi="宋体" w:cs="宋体" w:hint="eastAsia"/>
          <w:sz w:val="18"/>
          <w:szCs w:val="18"/>
        </w:rPr>
        <w:t>减值准备</w:t>
      </w:r>
      <w:r>
        <w:rPr>
          <w:rFonts w:ascii="宋体" w:hAnsi="宋体" w:cs="宋体"/>
          <w:sz w:val="18"/>
          <w:szCs w:val="18"/>
        </w:rPr>
        <w:t>395.24</w:t>
      </w:r>
      <w:r>
        <w:rPr>
          <w:rFonts w:ascii="宋体" w:hAnsi="宋体" w:cs="宋体" w:hint="eastAsia"/>
          <w:sz w:val="18"/>
          <w:szCs w:val="18"/>
        </w:rPr>
        <w:t>万；注</w:t>
      </w:r>
      <w:r>
        <w:rPr>
          <w:rFonts w:ascii="宋体" w:hAnsi="宋体" w:cs="宋体" w:hint="eastAsia"/>
          <w:sz w:val="18"/>
          <w:szCs w:val="18"/>
        </w:rPr>
        <w:t>3</w:t>
      </w:r>
      <w:r>
        <w:rPr>
          <w:rFonts w:ascii="宋体" w:hAnsi="宋体" w:cs="宋体" w:hint="eastAsia"/>
          <w:sz w:val="18"/>
          <w:szCs w:val="18"/>
        </w:rPr>
        <w:t>：无形资产减值主要是对治疗新冠的创新药产品泰中定</w:t>
      </w:r>
      <w:r>
        <w:rPr>
          <w:rFonts w:ascii="宋体" w:hAnsi="宋体" w:cs="宋体" w:hint="eastAsia"/>
          <w:sz w:val="18"/>
          <w:szCs w:val="18"/>
        </w:rPr>
        <w:t>2024</w:t>
      </w:r>
      <w:r>
        <w:rPr>
          <w:rFonts w:ascii="宋体" w:hAnsi="宋体" w:cs="宋体" w:hint="eastAsia"/>
          <w:sz w:val="18"/>
          <w:szCs w:val="18"/>
        </w:rPr>
        <w:t>年销售不及预期，与相关的无形资产按评估净值计提相应的减值损失；</w:t>
      </w:r>
      <w:r>
        <w:rPr>
          <w:rFonts w:ascii="宋体" w:hAnsi="宋体" w:cs="宋体" w:hint="eastAsia"/>
          <w:sz w:val="18"/>
          <w:szCs w:val="18"/>
        </w:rPr>
        <w:t>4</w:t>
      </w:r>
      <w:r>
        <w:rPr>
          <w:rFonts w:ascii="宋体" w:hAnsi="宋体" w:cs="宋体" w:hint="eastAsia"/>
          <w:sz w:val="18"/>
          <w:szCs w:val="18"/>
        </w:rPr>
        <w:t>：其他流动资产减值损失是对仲裁案件相关的原料药（列其他流动资产）全额计提减值。</w:t>
      </w:r>
    </w:p>
    <w:p w14:paraId="723514F0" w14:textId="77777777" w:rsidR="00D749E1" w:rsidRDefault="007F1A40">
      <w:pPr>
        <w:pStyle w:val="1"/>
        <w:keepNext w:val="0"/>
        <w:keepLines w:val="0"/>
        <w:spacing w:before="156" w:after="156"/>
        <w:rPr>
          <w:rFonts w:ascii="宋体" w:hAnsi="宋体" w:cs="宋体" w:hint="eastAsia"/>
        </w:rPr>
      </w:pPr>
      <w:r>
        <w:rPr>
          <w:rFonts w:ascii="宋体" w:hAnsi="宋体" w:cs="宋体" w:hint="eastAsia"/>
        </w:rPr>
        <w:t>二、本次计提资产减值准备的确认标准及计提方法</w:t>
      </w:r>
    </w:p>
    <w:p w14:paraId="75D8DBD6" w14:textId="77777777" w:rsidR="00D749E1" w:rsidRDefault="007F1A40">
      <w:pPr>
        <w:spacing w:line="360" w:lineRule="auto"/>
        <w:ind w:firstLineChars="200" w:firstLine="482"/>
        <w:outlineLvl w:val="1"/>
        <w:rPr>
          <w:rFonts w:ascii="宋体" w:hAnsi="宋体" w:cs="宋体" w:hint="eastAsia"/>
          <w:b/>
          <w:bCs/>
          <w:sz w:val="24"/>
          <w:szCs w:val="32"/>
        </w:rPr>
      </w:pPr>
      <w:r>
        <w:rPr>
          <w:rFonts w:ascii="宋体" w:hAnsi="宋体" w:cs="宋体" w:hint="eastAsia"/>
          <w:b/>
          <w:bCs/>
          <w:sz w:val="24"/>
          <w:szCs w:val="32"/>
        </w:rPr>
        <w:t>（一）坏账准备</w:t>
      </w:r>
    </w:p>
    <w:p w14:paraId="623BD384"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、对于应收票据、应收账款，无论是否存在重大融资成分，本公司始终按照相当于整个存续期内预期信用损失的金额计量其损失准备。</w:t>
      </w:r>
    </w:p>
    <w:p w14:paraId="7ABED880"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当单项金融资产无法以合理成本评估预期信用损失的信息时，本公司依据信用风险特征对应收票据、应收账款划分组合，在组合基础上计算预期信用损失，确定组合的依据如下：</w:t>
      </w:r>
    </w:p>
    <w:p w14:paraId="4C40EA5B"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）应收票据</w:t>
      </w:r>
    </w:p>
    <w:p w14:paraId="08D24E6A"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应收票据组合</w:t>
      </w:r>
      <w:r>
        <w:rPr>
          <w:rFonts w:ascii="宋体" w:hAnsi="宋体" w:cs="宋体" w:hint="eastAsia"/>
          <w:kern w:val="0"/>
          <w:sz w:val="24"/>
          <w:szCs w:val="24"/>
        </w:rPr>
        <w:t>1</w:t>
      </w:r>
      <w:r>
        <w:rPr>
          <w:rFonts w:ascii="宋体" w:hAnsi="宋体" w:cs="宋体" w:hint="eastAsia"/>
          <w:kern w:val="0"/>
          <w:sz w:val="24"/>
          <w:szCs w:val="24"/>
        </w:rPr>
        <w:t>：低风险银行承兑汇票</w:t>
      </w:r>
    </w:p>
    <w:p w14:paraId="72F2CCAB"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应收票据组合</w:t>
      </w:r>
      <w:r>
        <w:rPr>
          <w:rFonts w:ascii="宋体" w:hAnsi="宋体" w:cs="宋体" w:hint="eastAsia"/>
          <w:kern w:val="0"/>
          <w:sz w:val="24"/>
          <w:szCs w:val="24"/>
        </w:rPr>
        <w:t>2</w:t>
      </w:r>
      <w:r>
        <w:rPr>
          <w:rFonts w:ascii="宋体" w:hAnsi="宋体" w:cs="宋体" w:hint="eastAsia"/>
          <w:kern w:val="0"/>
          <w:sz w:val="24"/>
          <w:szCs w:val="24"/>
        </w:rPr>
        <w:t>：商业承兑汇票</w:t>
      </w:r>
    </w:p>
    <w:p w14:paraId="27AD115D"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）应收账款</w:t>
      </w:r>
    </w:p>
    <w:p w14:paraId="511CF194"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应收账款组合</w:t>
      </w:r>
      <w:r>
        <w:rPr>
          <w:rFonts w:ascii="宋体" w:hAnsi="宋体" w:cs="宋体" w:hint="eastAsia"/>
          <w:kern w:val="0"/>
          <w:sz w:val="24"/>
          <w:szCs w:val="24"/>
        </w:rPr>
        <w:t>1</w:t>
      </w:r>
      <w:r>
        <w:rPr>
          <w:rFonts w:ascii="宋体" w:hAnsi="宋体" w:cs="宋体" w:hint="eastAsia"/>
          <w:kern w:val="0"/>
          <w:sz w:val="24"/>
          <w:szCs w:val="24"/>
        </w:rPr>
        <w:t>：应收并表内关联方</w:t>
      </w:r>
    </w:p>
    <w:p w14:paraId="26CCFF2E"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应收账款组合</w:t>
      </w:r>
      <w:r>
        <w:rPr>
          <w:rFonts w:ascii="宋体" w:hAnsi="宋体" w:cs="宋体" w:hint="eastAsia"/>
          <w:kern w:val="0"/>
          <w:sz w:val="24"/>
          <w:szCs w:val="24"/>
        </w:rPr>
        <w:t>2</w:t>
      </w:r>
      <w:r>
        <w:rPr>
          <w:rFonts w:ascii="宋体" w:hAnsi="宋体" w:cs="宋体" w:hint="eastAsia"/>
          <w:kern w:val="0"/>
          <w:sz w:val="24"/>
          <w:szCs w:val="24"/>
        </w:rPr>
        <w:t>：经销及外包推广模式客户组合</w:t>
      </w:r>
    </w:p>
    <w:p w14:paraId="3A4B6A61"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应收账款组合</w:t>
      </w:r>
      <w:r>
        <w:rPr>
          <w:rFonts w:ascii="宋体" w:hAnsi="宋体" w:cs="宋体" w:hint="eastAsia"/>
          <w:kern w:val="0"/>
          <w:sz w:val="24"/>
          <w:szCs w:val="24"/>
        </w:rPr>
        <w:t>3</w:t>
      </w:r>
      <w:r>
        <w:rPr>
          <w:rFonts w:ascii="宋体" w:hAnsi="宋体" w:cs="宋体" w:hint="eastAsia"/>
          <w:kern w:val="0"/>
          <w:sz w:val="24"/>
          <w:szCs w:val="24"/>
        </w:rPr>
        <w:t>：自主推广模式组合</w:t>
      </w:r>
    </w:p>
    <w:p w14:paraId="75C0E92D"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应收账款组合</w:t>
      </w:r>
      <w:r>
        <w:rPr>
          <w:rFonts w:ascii="宋体" w:hAnsi="宋体" w:cs="宋体" w:hint="eastAsia"/>
          <w:kern w:val="0"/>
          <w:sz w:val="24"/>
          <w:szCs w:val="24"/>
        </w:rPr>
        <w:t>4</w:t>
      </w:r>
      <w:r>
        <w:rPr>
          <w:rFonts w:ascii="宋体" w:hAnsi="宋体" w:cs="宋体" w:hint="eastAsia"/>
          <w:kern w:val="0"/>
          <w:sz w:val="24"/>
          <w:szCs w:val="24"/>
        </w:rPr>
        <w:t>：其他信用组合</w:t>
      </w:r>
    </w:p>
    <w:p w14:paraId="7666289A"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对于划分为组合的应收票据、应收账款，本公司参考历史信用损失经验，结合当前状况以及对未来经济状况的预测，编制账龄与整个存续期预期信用损失率对照表，计算预期信用损失。其中：对应收票据组合</w:t>
      </w:r>
      <w:r>
        <w:rPr>
          <w:rFonts w:ascii="宋体" w:hAnsi="宋体" w:cs="宋体" w:hint="eastAsia"/>
          <w:kern w:val="0"/>
          <w:sz w:val="24"/>
          <w:szCs w:val="24"/>
        </w:rPr>
        <w:t>1</w:t>
      </w:r>
      <w:r>
        <w:rPr>
          <w:rFonts w:ascii="宋体" w:hAnsi="宋体" w:cs="宋体" w:hint="eastAsia"/>
          <w:kern w:val="0"/>
          <w:sz w:val="24"/>
          <w:szCs w:val="24"/>
        </w:rPr>
        <w:t>、应收账款组合</w:t>
      </w:r>
      <w:r>
        <w:rPr>
          <w:rFonts w:ascii="宋体" w:hAnsi="宋体" w:cs="宋体" w:hint="eastAsia"/>
          <w:kern w:val="0"/>
          <w:sz w:val="24"/>
          <w:szCs w:val="24"/>
        </w:rPr>
        <w:t>1</w:t>
      </w:r>
      <w:r>
        <w:rPr>
          <w:rFonts w:ascii="宋体" w:hAnsi="宋体" w:cs="宋体" w:hint="eastAsia"/>
          <w:kern w:val="0"/>
          <w:sz w:val="24"/>
          <w:szCs w:val="24"/>
        </w:rPr>
        <w:t>，本公司认为该组合的信用风险自初始确认后未显著增加，不会因违约而产生重大损失。</w:t>
      </w:r>
    </w:p>
    <w:p w14:paraId="31EB5090"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w:t>
      </w:r>
      <w:r>
        <w:rPr>
          <w:rFonts w:ascii="宋体" w:hAnsi="宋体" w:cs="宋体" w:hint="eastAsia"/>
          <w:kern w:val="0"/>
          <w:sz w:val="24"/>
          <w:szCs w:val="24"/>
        </w:rPr>
        <w:t>、对于其他应收款，本公司依据信用风险特征将其他应收款划分为若干组合，在组合基础上计算预期信用损失，确定组合的依据如下：</w:t>
      </w:r>
      <w:r>
        <w:rPr>
          <w:rFonts w:ascii="宋体" w:hAnsi="宋体" w:cs="宋体" w:hint="eastAsia"/>
          <w:kern w:val="0"/>
          <w:sz w:val="24"/>
          <w:szCs w:val="24"/>
        </w:rPr>
        <w:t xml:space="preserve"> </w:t>
      </w:r>
    </w:p>
    <w:p w14:paraId="0019B7A5"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其他应收款组合</w:t>
      </w:r>
      <w:r>
        <w:rPr>
          <w:rFonts w:ascii="宋体" w:hAnsi="宋体" w:cs="宋体" w:hint="eastAsia"/>
          <w:kern w:val="0"/>
          <w:sz w:val="24"/>
          <w:szCs w:val="24"/>
        </w:rPr>
        <w:t>1</w:t>
      </w:r>
      <w:r>
        <w:rPr>
          <w:rFonts w:ascii="宋体" w:hAnsi="宋体" w:cs="宋体" w:hint="eastAsia"/>
          <w:kern w:val="0"/>
          <w:sz w:val="24"/>
          <w:szCs w:val="24"/>
        </w:rPr>
        <w:t>：并表范围关联方</w:t>
      </w:r>
    </w:p>
    <w:p w14:paraId="7C092D90"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其他应收款组合</w:t>
      </w:r>
      <w:r>
        <w:rPr>
          <w:rFonts w:ascii="宋体" w:hAnsi="宋体" w:cs="宋体" w:hint="eastAsia"/>
          <w:kern w:val="0"/>
          <w:sz w:val="24"/>
          <w:szCs w:val="24"/>
        </w:rPr>
        <w:t>2</w:t>
      </w:r>
      <w:r>
        <w:rPr>
          <w:rFonts w:ascii="宋体" w:hAnsi="宋体" w:cs="宋体" w:hint="eastAsia"/>
          <w:kern w:val="0"/>
          <w:sz w:val="24"/>
          <w:szCs w:val="24"/>
        </w:rPr>
        <w:t>：信用组合</w:t>
      </w:r>
    </w:p>
    <w:p w14:paraId="165CE6E0"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 xml:space="preserve"> </w:t>
      </w:r>
      <w:r>
        <w:rPr>
          <w:rFonts w:ascii="宋体" w:hAnsi="宋体" w:cs="宋体" w:hint="eastAsia"/>
          <w:kern w:val="0"/>
          <w:sz w:val="24"/>
          <w:szCs w:val="24"/>
        </w:rPr>
        <w:t>其他应收款组合</w:t>
      </w:r>
      <w:r>
        <w:rPr>
          <w:rFonts w:ascii="宋体" w:hAnsi="宋体" w:cs="宋体" w:hint="eastAsia"/>
          <w:kern w:val="0"/>
          <w:sz w:val="24"/>
          <w:szCs w:val="24"/>
        </w:rPr>
        <w:t>3</w:t>
      </w:r>
      <w:r>
        <w:rPr>
          <w:rFonts w:ascii="宋体" w:hAnsi="宋体" w:cs="宋体" w:hint="eastAsia"/>
          <w:kern w:val="0"/>
          <w:sz w:val="24"/>
          <w:szCs w:val="24"/>
        </w:rPr>
        <w:t>：押金、保证金、员工备用金组合</w:t>
      </w:r>
    </w:p>
    <w:p w14:paraId="4CD8A40E"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对划分为组合的其他应收款，本公司通过违约风险敞口和未来</w:t>
      </w:r>
      <w:r>
        <w:rPr>
          <w:rFonts w:ascii="宋体" w:hAnsi="宋体" w:cs="宋体" w:hint="eastAsia"/>
          <w:kern w:val="0"/>
          <w:sz w:val="24"/>
          <w:szCs w:val="24"/>
        </w:rPr>
        <w:t>12</w:t>
      </w:r>
      <w:r>
        <w:rPr>
          <w:rFonts w:ascii="宋体" w:hAnsi="宋体" w:cs="宋体" w:hint="eastAsia"/>
          <w:kern w:val="0"/>
          <w:sz w:val="24"/>
          <w:szCs w:val="24"/>
        </w:rPr>
        <w:t>个月内或整个存续期预期信用损失率，计算预期信用损失。其中：对其他应收款组合</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，本公司认为该组合的信用风险自初始确认后未显著增加，不会因违约而产生重大损失。</w:t>
      </w:r>
    </w:p>
    <w:p w14:paraId="3F3CEC2B" w14:textId="77777777" w:rsidR="00D749E1" w:rsidRDefault="007F1A40">
      <w:pPr>
        <w:spacing w:line="360" w:lineRule="auto"/>
        <w:ind w:firstLineChars="200" w:firstLine="482"/>
        <w:outlineLvl w:val="1"/>
        <w:rPr>
          <w:rFonts w:ascii="宋体" w:hAnsi="宋体" w:cs="宋体" w:hint="eastAsia"/>
          <w:b/>
          <w:bCs/>
          <w:sz w:val="24"/>
          <w:szCs w:val="32"/>
        </w:rPr>
      </w:pPr>
      <w:r>
        <w:rPr>
          <w:rFonts w:ascii="宋体" w:hAnsi="宋体" w:cs="宋体" w:hint="eastAsia"/>
          <w:b/>
          <w:bCs/>
          <w:sz w:val="24"/>
          <w:szCs w:val="32"/>
        </w:rPr>
        <w:t>（二）存货跌价准备</w:t>
      </w:r>
    </w:p>
    <w:p w14:paraId="39EB2C76" w14:textId="77777777" w:rsidR="00D749E1" w:rsidRDefault="007F1A40">
      <w:pPr>
        <w:adjustRightInd w:val="0"/>
        <w:spacing w:line="360" w:lineRule="auto"/>
        <w:ind w:firstLineChars="200" w:firstLine="480"/>
        <w:rPr>
          <w:rFonts w:ascii="宋体" w:hAnsi="宋体" w:cs="宋体" w:hint="eastAsia"/>
          <w:kern w:val="0"/>
          <w:sz w:val="24"/>
          <w:szCs w:val="24"/>
        </w:rPr>
      </w:pPr>
      <w:proofErr w:type="gramStart"/>
      <w:r>
        <w:rPr>
          <w:rFonts w:ascii="宋体" w:hAnsi="宋体" w:cs="宋体" w:hint="eastAsia"/>
          <w:kern w:val="0"/>
          <w:sz w:val="24"/>
          <w:szCs w:val="24"/>
        </w:rPr>
        <w:t>期末对</w:t>
      </w:r>
      <w:proofErr w:type="gramEnd"/>
      <w:r>
        <w:rPr>
          <w:rFonts w:ascii="宋体" w:hAnsi="宋体" w:cs="宋体" w:hint="eastAsia"/>
          <w:kern w:val="0"/>
          <w:sz w:val="24"/>
          <w:szCs w:val="24"/>
        </w:rPr>
        <w:t>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67629A4F"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14:paraId="6487E975" w14:textId="77777777" w:rsidR="00D749E1" w:rsidRDefault="007F1A40">
      <w:pPr>
        <w:adjustRightInd w:val="0"/>
        <w:spacing w:line="360" w:lineRule="auto"/>
        <w:ind w:firstLineChars="200" w:firstLine="480"/>
        <w:rPr>
          <w:rFonts w:ascii="宋体" w:hAnsi="宋体" w:cs="宋体" w:hint="eastAsia"/>
          <w:kern w:val="0"/>
          <w:sz w:val="24"/>
          <w:szCs w:val="24"/>
        </w:rPr>
      </w:pPr>
      <w:proofErr w:type="gramStart"/>
      <w:r>
        <w:rPr>
          <w:rFonts w:ascii="宋体" w:hAnsi="宋体" w:cs="宋体" w:hint="eastAsia"/>
          <w:kern w:val="0"/>
          <w:sz w:val="24"/>
          <w:szCs w:val="24"/>
        </w:rPr>
        <w:t>以前减记</w:t>
      </w:r>
      <w:proofErr w:type="gramEnd"/>
      <w:r>
        <w:rPr>
          <w:rFonts w:ascii="宋体" w:hAnsi="宋体" w:cs="宋体" w:hint="eastAsia"/>
          <w:kern w:val="0"/>
          <w:sz w:val="24"/>
          <w:szCs w:val="24"/>
        </w:rPr>
        <w:t>存货价值的影响因素已经消失的，</w:t>
      </w:r>
      <w:proofErr w:type="gramStart"/>
      <w:r>
        <w:rPr>
          <w:rFonts w:ascii="宋体" w:hAnsi="宋体" w:cs="宋体" w:hint="eastAsia"/>
          <w:kern w:val="0"/>
          <w:sz w:val="24"/>
          <w:szCs w:val="24"/>
        </w:rPr>
        <w:t>减记的</w:t>
      </w:r>
      <w:proofErr w:type="gramEnd"/>
      <w:r>
        <w:rPr>
          <w:rFonts w:ascii="宋体" w:hAnsi="宋体" w:cs="宋体" w:hint="eastAsia"/>
          <w:kern w:val="0"/>
          <w:sz w:val="24"/>
          <w:szCs w:val="24"/>
        </w:rPr>
        <w:t>金额予以恢复，并在原已计提的存货跌价准备金额内转回，转回的金额计入当期损益。</w:t>
      </w:r>
    </w:p>
    <w:p w14:paraId="5BAF5524" w14:textId="77777777" w:rsidR="00D749E1" w:rsidRDefault="007F1A40">
      <w:pPr>
        <w:spacing w:line="360" w:lineRule="auto"/>
        <w:ind w:firstLineChars="200" w:firstLine="482"/>
        <w:outlineLvl w:val="1"/>
        <w:rPr>
          <w:rFonts w:ascii="宋体" w:hAnsi="宋体" w:cs="宋体" w:hint="eastAsia"/>
          <w:b/>
          <w:bCs/>
          <w:sz w:val="24"/>
          <w:szCs w:val="32"/>
        </w:rPr>
      </w:pPr>
      <w:r>
        <w:rPr>
          <w:rFonts w:ascii="宋体" w:hAnsi="宋体" w:cs="宋体" w:hint="eastAsia"/>
          <w:b/>
          <w:bCs/>
          <w:sz w:val="24"/>
          <w:szCs w:val="32"/>
        </w:rPr>
        <w:t>（三）固定资产减值准备</w:t>
      </w:r>
    </w:p>
    <w:p w14:paraId="79AF2AE1"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于资产负债表</w:t>
      </w:r>
      <w:proofErr w:type="gramStart"/>
      <w:r>
        <w:rPr>
          <w:rFonts w:ascii="宋体" w:hAnsi="宋体" w:cs="宋体" w:hint="eastAsia"/>
          <w:kern w:val="0"/>
          <w:sz w:val="24"/>
          <w:szCs w:val="24"/>
        </w:rPr>
        <w:t>日判断</w:t>
      </w:r>
      <w:proofErr w:type="gramEnd"/>
      <w:r>
        <w:rPr>
          <w:rFonts w:ascii="宋体" w:hAnsi="宋体" w:cs="宋体" w:hint="eastAsia"/>
          <w:kern w:val="0"/>
          <w:sz w:val="24"/>
          <w:szCs w:val="24"/>
        </w:rPr>
        <w:t>资产是否存在可能发生减值的迹象，存在减值迹象的，本公司</w:t>
      </w:r>
      <w:proofErr w:type="gramStart"/>
      <w:r>
        <w:rPr>
          <w:rFonts w:ascii="宋体" w:hAnsi="宋体" w:cs="宋体" w:hint="eastAsia"/>
          <w:kern w:val="0"/>
          <w:sz w:val="24"/>
          <w:szCs w:val="24"/>
        </w:rPr>
        <w:t>将估计</w:t>
      </w:r>
      <w:proofErr w:type="gramEnd"/>
      <w:r>
        <w:rPr>
          <w:rFonts w:ascii="宋体" w:hAnsi="宋体" w:cs="宋体" w:hint="eastAsia"/>
          <w:kern w:val="0"/>
          <w:sz w:val="24"/>
          <w:szCs w:val="24"/>
        </w:rPr>
        <w:t>其可收回金额，进行减值测试。</w:t>
      </w:r>
    </w:p>
    <w:p w14:paraId="242A97CA"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w:t>
      </w:r>
      <w:proofErr w:type="gramStart"/>
      <w:r>
        <w:rPr>
          <w:rFonts w:ascii="宋体" w:hAnsi="宋体" w:cs="宋体" w:hint="eastAsia"/>
          <w:kern w:val="0"/>
          <w:sz w:val="24"/>
          <w:szCs w:val="24"/>
        </w:rPr>
        <w:t>组产生</w:t>
      </w:r>
      <w:proofErr w:type="gramEnd"/>
      <w:r>
        <w:rPr>
          <w:rFonts w:ascii="宋体" w:hAnsi="宋体" w:cs="宋体" w:hint="eastAsia"/>
          <w:kern w:val="0"/>
          <w:sz w:val="24"/>
          <w:szCs w:val="24"/>
        </w:rPr>
        <w:t>的主要现金流入是否独立于其他资产或者资产组的现金流入为依据。</w:t>
      </w:r>
    </w:p>
    <w:p w14:paraId="35B93447"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当资产或资产组的可收回金额低于其账面价值时，本公司将其账面价值</w:t>
      </w:r>
      <w:proofErr w:type="gramStart"/>
      <w:r>
        <w:rPr>
          <w:rFonts w:ascii="宋体" w:hAnsi="宋体" w:cs="宋体" w:hint="eastAsia"/>
          <w:kern w:val="0"/>
          <w:sz w:val="24"/>
          <w:szCs w:val="24"/>
        </w:rPr>
        <w:t>减记</w:t>
      </w:r>
      <w:r>
        <w:rPr>
          <w:rFonts w:ascii="宋体" w:hAnsi="宋体" w:cs="宋体" w:hint="eastAsia"/>
          <w:kern w:val="0"/>
          <w:sz w:val="24"/>
          <w:szCs w:val="24"/>
        </w:rPr>
        <w:lastRenderedPageBreak/>
        <w:t>至</w:t>
      </w:r>
      <w:proofErr w:type="gramEnd"/>
      <w:r>
        <w:rPr>
          <w:rFonts w:ascii="宋体" w:hAnsi="宋体" w:cs="宋体" w:hint="eastAsia"/>
          <w:kern w:val="0"/>
          <w:sz w:val="24"/>
          <w:szCs w:val="24"/>
        </w:rPr>
        <w:t>可收回金额，</w:t>
      </w:r>
      <w:proofErr w:type="gramStart"/>
      <w:r>
        <w:rPr>
          <w:rFonts w:ascii="宋体" w:hAnsi="宋体" w:cs="宋体" w:hint="eastAsia"/>
          <w:kern w:val="0"/>
          <w:sz w:val="24"/>
          <w:szCs w:val="24"/>
        </w:rPr>
        <w:t>减记的</w:t>
      </w:r>
      <w:proofErr w:type="gramEnd"/>
      <w:r>
        <w:rPr>
          <w:rFonts w:ascii="宋体" w:hAnsi="宋体" w:cs="宋体" w:hint="eastAsia"/>
          <w:kern w:val="0"/>
          <w:sz w:val="24"/>
          <w:szCs w:val="24"/>
        </w:rPr>
        <w:t>金额计入当期损益，同时计提相应的资产减值准备。</w:t>
      </w:r>
    </w:p>
    <w:p w14:paraId="1255C32A" w14:textId="77777777" w:rsidR="00D749E1" w:rsidRDefault="007F1A40">
      <w:pPr>
        <w:spacing w:line="360" w:lineRule="auto"/>
        <w:ind w:firstLineChars="200" w:firstLine="482"/>
        <w:outlineLvl w:val="1"/>
        <w:rPr>
          <w:rFonts w:ascii="宋体" w:hAnsi="宋体" w:cs="宋体" w:hint="eastAsia"/>
          <w:b/>
          <w:bCs/>
          <w:sz w:val="24"/>
          <w:szCs w:val="32"/>
        </w:rPr>
      </w:pPr>
      <w:r>
        <w:rPr>
          <w:rFonts w:ascii="宋体" w:hAnsi="宋体" w:cs="宋体"/>
          <w:b/>
          <w:bCs/>
          <w:sz w:val="24"/>
          <w:szCs w:val="32"/>
        </w:rPr>
        <w:t>（四）无形资产减值准备</w:t>
      </w:r>
    </w:p>
    <w:p w14:paraId="7DFCB493"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于资产负债表</w:t>
      </w:r>
      <w:proofErr w:type="gramStart"/>
      <w:r>
        <w:rPr>
          <w:rFonts w:ascii="宋体" w:hAnsi="宋体" w:cs="宋体" w:hint="eastAsia"/>
          <w:kern w:val="0"/>
          <w:sz w:val="24"/>
          <w:szCs w:val="24"/>
        </w:rPr>
        <w:t>日检查</w:t>
      </w:r>
      <w:proofErr w:type="gramEnd"/>
      <w:r>
        <w:rPr>
          <w:rFonts w:ascii="宋体" w:hAnsi="宋体" w:cs="宋体" w:hint="eastAsia"/>
          <w:kern w:val="0"/>
          <w:sz w:val="24"/>
          <w:szCs w:val="24"/>
        </w:rPr>
        <w:t>无形资产是否存在可能发生减值的迹象，存在减值迹象，则以单项资产为基础估计其可收回金额；难以对单项资产的可收回金额进行估计的，以该资产所属的资产组为基础确定资产组的可收回金额。</w:t>
      </w:r>
    </w:p>
    <w:p w14:paraId="070B14C1"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收回金额的估计，根据其公允价值减去处置费用后的净额与资产预计未来现金流量的现值两者之间较高者确定。可收回金额的计量结果表明，资产的可收回金额低于其账面价值的，将资产的账面价值</w:t>
      </w:r>
      <w:proofErr w:type="gramStart"/>
      <w:r>
        <w:rPr>
          <w:rFonts w:ascii="宋体" w:hAnsi="宋体" w:cs="宋体" w:hint="eastAsia"/>
          <w:kern w:val="0"/>
          <w:sz w:val="24"/>
          <w:szCs w:val="24"/>
        </w:rPr>
        <w:t>减记至</w:t>
      </w:r>
      <w:proofErr w:type="gramEnd"/>
      <w:r>
        <w:rPr>
          <w:rFonts w:ascii="宋体" w:hAnsi="宋体" w:cs="宋体" w:hint="eastAsia"/>
          <w:kern w:val="0"/>
          <w:sz w:val="24"/>
          <w:szCs w:val="24"/>
        </w:rPr>
        <w:t>可收回金额，</w:t>
      </w:r>
      <w:proofErr w:type="gramStart"/>
      <w:r>
        <w:rPr>
          <w:rFonts w:ascii="宋体" w:hAnsi="宋体" w:cs="宋体" w:hint="eastAsia"/>
          <w:kern w:val="0"/>
          <w:sz w:val="24"/>
          <w:szCs w:val="24"/>
        </w:rPr>
        <w:t>减记的</w:t>
      </w:r>
      <w:proofErr w:type="gramEnd"/>
      <w:r>
        <w:rPr>
          <w:rFonts w:ascii="宋体" w:hAnsi="宋体" w:cs="宋体" w:hint="eastAsia"/>
          <w:kern w:val="0"/>
          <w:sz w:val="24"/>
          <w:szCs w:val="24"/>
        </w:rPr>
        <w:t>金额确认为资产减值损失，计入当期损益，同时计提相应的资产减值准备。</w:t>
      </w:r>
    </w:p>
    <w:p w14:paraId="53BE9CEA" w14:textId="77777777" w:rsidR="00D749E1" w:rsidRDefault="007F1A40">
      <w:pPr>
        <w:tabs>
          <w:tab w:val="left" w:pos="196"/>
          <w:tab w:val="left" w:pos="426"/>
          <w:tab w:val="left" w:pos="630"/>
        </w:tabs>
        <w:adjustRightInd w:val="0"/>
        <w:snapToGrid w:val="0"/>
        <w:spacing w:line="360" w:lineRule="auto"/>
        <w:ind w:firstLineChars="200" w:firstLine="482"/>
        <w:rPr>
          <w:rFonts w:ascii="宋体" w:hAnsi="宋体" w:cs="宋体" w:hint="eastAsia"/>
          <w:b/>
          <w:sz w:val="24"/>
        </w:rPr>
      </w:pPr>
      <w:r>
        <w:rPr>
          <w:rFonts w:ascii="宋体" w:hAnsi="宋体" w:cs="宋体"/>
          <w:b/>
          <w:sz w:val="24"/>
        </w:rPr>
        <w:t>（五）其他流动资产减值准备</w:t>
      </w:r>
    </w:p>
    <w:p w14:paraId="5F60AAED"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于资产负债表</w:t>
      </w:r>
      <w:proofErr w:type="gramStart"/>
      <w:r>
        <w:rPr>
          <w:rFonts w:ascii="宋体" w:hAnsi="宋体" w:cs="宋体" w:hint="eastAsia"/>
          <w:kern w:val="0"/>
          <w:sz w:val="24"/>
          <w:szCs w:val="24"/>
        </w:rPr>
        <w:t>日检查</w:t>
      </w:r>
      <w:proofErr w:type="gramEnd"/>
      <w:r>
        <w:rPr>
          <w:rFonts w:ascii="宋体" w:hAnsi="宋体" w:cs="宋体" w:hint="eastAsia"/>
          <w:kern w:val="0"/>
          <w:sz w:val="24"/>
          <w:szCs w:val="24"/>
        </w:rPr>
        <w:t>资产是否存在可能发生减值的迹象，存在减值迹象，根据其公允价值减去处置费用后的净额与资产预计未来现金流量的现值两者之间较高者确定。可收回金额的计量结果表明，资产的可收回金额低于其账面价值的，将资产的账面价值</w:t>
      </w:r>
      <w:proofErr w:type="gramStart"/>
      <w:r>
        <w:rPr>
          <w:rFonts w:ascii="宋体" w:hAnsi="宋体" w:cs="宋体" w:hint="eastAsia"/>
          <w:kern w:val="0"/>
          <w:sz w:val="24"/>
          <w:szCs w:val="24"/>
        </w:rPr>
        <w:t>减记至</w:t>
      </w:r>
      <w:proofErr w:type="gramEnd"/>
      <w:r>
        <w:rPr>
          <w:rFonts w:ascii="宋体" w:hAnsi="宋体" w:cs="宋体" w:hint="eastAsia"/>
          <w:kern w:val="0"/>
          <w:sz w:val="24"/>
          <w:szCs w:val="24"/>
        </w:rPr>
        <w:t>可收回金额，</w:t>
      </w:r>
      <w:proofErr w:type="gramStart"/>
      <w:r>
        <w:rPr>
          <w:rFonts w:ascii="宋体" w:hAnsi="宋体" w:cs="宋体" w:hint="eastAsia"/>
          <w:kern w:val="0"/>
          <w:sz w:val="24"/>
          <w:szCs w:val="24"/>
        </w:rPr>
        <w:t>减记的</w:t>
      </w:r>
      <w:proofErr w:type="gramEnd"/>
      <w:r>
        <w:rPr>
          <w:rFonts w:ascii="宋体" w:hAnsi="宋体" w:cs="宋体" w:hint="eastAsia"/>
          <w:kern w:val="0"/>
          <w:sz w:val="24"/>
          <w:szCs w:val="24"/>
        </w:rPr>
        <w:t>金额确认为资产减值损失，计入当期损益，同时计提相应的资产减值准备。</w:t>
      </w:r>
    </w:p>
    <w:p w14:paraId="0388308D" w14:textId="77777777" w:rsidR="00D749E1" w:rsidRDefault="007F1A40">
      <w:pPr>
        <w:pStyle w:val="1"/>
        <w:keepNext w:val="0"/>
        <w:keepLines w:val="0"/>
        <w:spacing w:before="156" w:after="156"/>
        <w:rPr>
          <w:rFonts w:ascii="宋体" w:hAnsi="宋体" w:cs="宋体" w:hint="eastAsia"/>
        </w:rPr>
      </w:pPr>
      <w:r>
        <w:rPr>
          <w:rFonts w:ascii="宋体" w:hAnsi="宋体" w:cs="宋体" w:hint="eastAsia"/>
        </w:rPr>
        <w:t>三、本次计提资产减值准备对公司的影响</w:t>
      </w:r>
    </w:p>
    <w:p w14:paraId="1ABB41DB"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本次计提资产减值准备将减少公司</w:t>
      </w:r>
      <w:r>
        <w:rPr>
          <w:rFonts w:ascii="宋体" w:hAnsi="宋体" w:cs="宋体" w:hint="eastAsia"/>
          <w:kern w:val="0"/>
          <w:sz w:val="24"/>
          <w:szCs w:val="24"/>
        </w:rPr>
        <w:t>2024</w:t>
      </w:r>
      <w:r>
        <w:rPr>
          <w:rFonts w:ascii="宋体" w:hAnsi="宋体" w:cs="宋体" w:hint="eastAsia"/>
          <w:kern w:val="0"/>
          <w:sz w:val="24"/>
          <w:szCs w:val="24"/>
        </w:rPr>
        <w:t>年度合并报表利润总额</w:t>
      </w:r>
      <w:r>
        <w:rPr>
          <w:rFonts w:ascii="宋体" w:hAnsi="宋体" w:cs="宋体" w:hint="eastAsia"/>
          <w:kern w:val="0"/>
          <w:sz w:val="24"/>
          <w:szCs w:val="24"/>
        </w:rPr>
        <w:t>7,509.49</w:t>
      </w:r>
      <w:r>
        <w:rPr>
          <w:rFonts w:ascii="宋体" w:hAnsi="宋体" w:cs="宋体" w:hint="eastAsia"/>
          <w:kern w:val="0"/>
          <w:sz w:val="24"/>
          <w:szCs w:val="24"/>
        </w:rPr>
        <w:t>万元。本次计提资产减值准备已经北京德</w:t>
      </w:r>
      <w:proofErr w:type="gramStart"/>
      <w:r>
        <w:rPr>
          <w:rFonts w:ascii="宋体" w:hAnsi="宋体" w:cs="宋体" w:hint="eastAsia"/>
          <w:kern w:val="0"/>
          <w:sz w:val="24"/>
          <w:szCs w:val="24"/>
        </w:rPr>
        <w:t>皓</w:t>
      </w:r>
      <w:proofErr w:type="gramEnd"/>
      <w:r>
        <w:rPr>
          <w:rFonts w:ascii="宋体" w:hAnsi="宋体" w:cs="宋体" w:hint="eastAsia"/>
          <w:kern w:val="0"/>
          <w:sz w:val="24"/>
          <w:szCs w:val="24"/>
        </w:rPr>
        <w:t>国际会计师事务所（特殊普通合伙）审计确认。</w:t>
      </w:r>
    </w:p>
    <w:p w14:paraId="1CDA1D9E" w14:textId="77777777" w:rsidR="00D749E1" w:rsidRDefault="007F1A40">
      <w:pPr>
        <w:pStyle w:val="1"/>
        <w:keepNext w:val="0"/>
        <w:keepLines w:val="0"/>
        <w:spacing w:before="156" w:after="156"/>
        <w:rPr>
          <w:rFonts w:ascii="宋体" w:hAnsi="宋体" w:cs="宋体" w:hint="eastAsia"/>
        </w:rPr>
      </w:pPr>
      <w:r>
        <w:rPr>
          <w:rFonts w:ascii="宋体" w:hAnsi="宋体" w:cs="宋体" w:hint="eastAsia"/>
        </w:rPr>
        <w:t>四、董事会关于计提资产减值准备的合理性说明</w:t>
      </w:r>
    </w:p>
    <w:p w14:paraId="76AEEC92"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公司本次计提资产减值准备事项符合《企业会计准则》等相关规定，体现了会计谨慎性原则，符合公司实际情况，能更加真实地反映公司财务状况、资产价值。</w:t>
      </w:r>
    </w:p>
    <w:p w14:paraId="2FB68364" w14:textId="77777777" w:rsidR="00D749E1" w:rsidRDefault="007F1A40">
      <w:pPr>
        <w:pStyle w:val="1"/>
        <w:keepNext w:val="0"/>
        <w:keepLines w:val="0"/>
        <w:spacing w:before="156" w:after="156"/>
        <w:rPr>
          <w:rFonts w:ascii="宋体" w:hAnsi="宋体" w:cs="宋体" w:hint="eastAsia"/>
        </w:rPr>
      </w:pPr>
      <w:r>
        <w:rPr>
          <w:rFonts w:ascii="宋体" w:hAnsi="宋体" w:cs="宋体" w:hint="eastAsia"/>
        </w:rPr>
        <w:t>五、监事会关于计提资产减值准备的审核意见</w:t>
      </w:r>
    </w:p>
    <w:p w14:paraId="07DB71F7"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监事会认为：公司本次计提资产减值准备事项符合《企业会计准则》等相关规定，符合公司实际情况，能更客观、公允、真实地反映公司财务状况、资产价值，不存在损害公司及全体股东特别是中小股东利益的情形，同意公司本次计提</w:t>
      </w:r>
      <w:r>
        <w:rPr>
          <w:rFonts w:ascii="宋体" w:hAnsi="宋体" w:cs="宋体" w:hint="eastAsia"/>
          <w:kern w:val="0"/>
          <w:sz w:val="24"/>
          <w:szCs w:val="24"/>
        </w:rPr>
        <w:lastRenderedPageBreak/>
        <w:t>资产减值准备事项。</w:t>
      </w:r>
    </w:p>
    <w:p w14:paraId="08AFD405" w14:textId="77777777" w:rsidR="00D749E1" w:rsidRDefault="007F1A40">
      <w:pPr>
        <w:pStyle w:val="1"/>
        <w:keepNext w:val="0"/>
        <w:keepLines w:val="0"/>
        <w:spacing w:before="156" w:after="156"/>
        <w:rPr>
          <w:rFonts w:ascii="宋体" w:hAnsi="宋体" w:cs="宋体" w:hint="eastAsia"/>
        </w:rPr>
      </w:pPr>
      <w:r>
        <w:rPr>
          <w:rFonts w:ascii="宋体" w:hAnsi="宋体" w:cs="宋体" w:hint="eastAsia"/>
        </w:rPr>
        <w:t>六、备查文件</w:t>
      </w:r>
    </w:p>
    <w:p w14:paraId="1E9020B9"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、经与会董事签字的第五届董事会第八次会议决议；</w:t>
      </w:r>
    </w:p>
    <w:p w14:paraId="3C45026B"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w:t>
      </w:r>
      <w:r>
        <w:rPr>
          <w:rFonts w:ascii="宋体" w:hAnsi="宋体" w:cs="宋体" w:hint="eastAsia"/>
          <w:kern w:val="0"/>
          <w:sz w:val="24"/>
          <w:szCs w:val="24"/>
        </w:rPr>
        <w:t>、经与会监事签字的第五届监事会第七次会议决议。</w:t>
      </w:r>
    </w:p>
    <w:p w14:paraId="79893D53" w14:textId="77777777" w:rsidR="00D749E1" w:rsidRDefault="00D749E1">
      <w:pPr>
        <w:adjustRightInd w:val="0"/>
        <w:spacing w:line="360" w:lineRule="auto"/>
        <w:ind w:firstLineChars="200" w:firstLine="480"/>
        <w:rPr>
          <w:rFonts w:ascii="宋体" w:hAnsi="宋体" w:cs="宋体" w:hint="eastAsia"/>
          <w:kern w:val="0"/>
          <w:sz w:val="24"/>
          <w:szCs w:val="24"/>
        </w:rPr>
      </w:pPr>
    </w:p>
    <w:p w14:paraId="3E7A936B" w14:textId="77777777" w:rsidR="00D749E1" w:rsidRDefault="007F1A4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特此公告！</w:t>
      </w:r>
      <w:r>
        <w:rPr>
          <w:rFonts w:ascii="宋体" w:hAnsi="宋体" w:cs="宋体" w:hint="eastAsia"/>
          <w:kern w:val="0"/>
          <w:sz w:val="24"/>
          <w:szCs w:val="24"/>
        </w:rPr>
        <w:t xml:space="preserve"> </w:t>
      </w:r>
    </w:p>
    <w:p w14:paraId="73070333" w14:textId="77777777" w:rsidR="00D749E1" w:rsidRDefault="00D749E1">
      <w:pPr>
        <w:adjustRightInd w:val="0"/>
        <w:spacing w:line="360" w:lineRule="auto"/>
        <w:ind w:firstLineChars="200" w:firstLine="480"/>
        <w:jc w:val="right"/>
        <w:rPr>
          <w:rFonts w:ascii="宋体" w:hAnsi="宋体" w:cs="宋体" w:hint="eastAsia"/>
          <w:kern w:val="0"/>
          <w:sz w:val="24"/>
          <w:szCs w:val="24"/>
        </w:rPr>
      </w:pPr>
    </w:p>
    <w:p w14:paraId="38C197CE" w14:textId="77777777" w:rsidR="00D749E1" w:rsidRDefault="00D749E1">
      <w:pPr>
        <w:adjustRightInd w:val="0"/>
        <w:spacing w:line="360" w:lineRule="auto"/>
        <w:ind w:firstLineChars="200" w:firstLine="480"/>
        <w:jc w:val="right"/>
        <w:rPr>
          <w:rFonts w:ascii="宋体" w:hAnsi="宋体" w:cs="宋体" w:hint="eastAsia"/>
          <w:kern w:val="0"/>
          <w:sz w:val="24"/>
          <w:szCs w:val="24"/>
        </w:rPr>
      </w:pPr>
    </w:p>
    <w:p w14:paraId="7F7653D2" w14:textId="77777777" w:rsidR="00D749E1" w:rsidRDefault="007F1A40">
      <w:pPr>
        <w:adjustRightInd w:val="0"/>
        <w:spacing w:line="360" w:lineRule="auto"/>
        <w:ind w:firstLineChars="200" w:firstLine="480"/>
        <w:jc w:val="right"/>
        <w:rPr>
          <w:rFonts w:ascii="宋体" w:hAnsi="宋体" w:cs="宋体" w:hint="eastAsia"/>
          <w:kern w:val="0"/>
          <w:sz w:val="24"/>
          <w:szCs w:val="24"/>
        </w:rPr>
      </w:pPr>
      <w:r>
        <w:rPr>
          <w:rFonts w:ascii="宋体" w:hAnsi="宋体" w:cs="宋体" w:hint="eastAsia"/>
          <w:kern w:val="0"/>
          <w:sz w:val="24"/>
          <w:szCs w:val="24"/>
        </w:rPr>
        <w:t>福建广生堂药业股份有限公司董事会</w:t>
      </w:r>
    </w:p>
    <w:p w14:paraId="797AAB54" w14:textId="77777777" w:rsidR="00D749E1" w:rsidRDefault="007F1A40">
      <w:pPr>
        <w:adjustRightInd w:val="0"/>
        <w:spacing w:line="360" w:lineRule="auto"/>
        <w:ind w:firstLineChars="2300" w:firstLine="5520"/>
        <w:rPr>
          <w:rFonts w:ascii="宋体" w:hAnsi="宋体" w:cs="宋体" w:hint="eastAsia"/>
          <w:sz w:val="24"/>
          <w:szCs w:val="24"/>
        </w:rPr>
      </w:pP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7</w:t>
      </w:r>
      <w:r>
        <w:rPr>
          <w:rFonts w:ascii="宋体" w:hAnsi="宋体" w:cs="宋体" w:hint="eastAsia"/>
          <w:kern w:val="0"/>
          <w:sz w:val="24"/>
          <w:szCs w:val="24"/>
        </w:rPr>
        <w:t>日</w:t>
      </w:r>
    </w:p>
    <w:sectPr w:rsidR="00D749E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02DA1" w14:textId="77777777" w:rsidR="007F1A40" w:rsidRDefault="007F1A40">
      <w:r>
        <w:separator/>
      </w:r>
    </w:p>
  </w:endnote>
  <w:endnote w:type="continuationSeparator" w:id="0">
    <w:p w14:paraId="74250F98" w14:textId="77777777" w:rsidR="007F1A40" w:rsidRDefault="007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B511" w14:textId="77777777" w:rsidR="00D749E1" w:rsidRDefault="00D749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9919" w14:textId="77777777" w:rsidR="00D749E1" w:rsidRDefault="007F1A40">
    <w:pPr>
      <w:pStyle w:val="a6"/>
      <w:jc w:val="center"/>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rPr>
      <w:t>4</w:t>
    </w:r>
    <w:r>
      <w:rPr>
        <w:rFonts w:ascii="宋体"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E2DB" w14:textId="77777777" w:rsidR="00D749E1" w:rsidRDefault="00D749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C5AE" w14:textId="77777777" w:rsidR="007F1A40" w:rsidRDefault="007F1A40">
      <w:r>
        <w:separator/>
      </w:r>
    </w:p>
  </w:footnote>
  <w:footnote w:type="continuationSeparator" w:id="0">
    <w:p w14:paraId="1F373973" w14:textId="77777777" w:rsidR="007F1A40" w:rsidRDefault="007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3E17" w14:textId="77777777" w:rsidR="00D749E1" w:rsidRDefault="007F1A40">
    <w:pPr>
      <w:pStyle w:val="a8"/>
    </w:pPr>
    <w:r>
      <w:pict w14:anchorId="6970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9297" o:spid="_x0000_s3075" type="#_x0000_t75" style="position:absolute;left:0;text-align:left;margin-left:0;margin-top:0;width:595.2pt;height:841.9pt;z-index:-251657728;mso-position-horizontal:center;mso-position-horizontal-relative:margin;mso-position-vertical:center;mso-position-vertical-relative:margin;mso-width-relative:page;mso-height-relative:page"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311E" w14:textId="77777777" w:rsidR="00D749E1" w:rsidRDefault="007F1A40">
    <w:pPr>
      <w:pStyle w:val="a8"/>
      <w:tabs>
        <w:tab w:val="clear" w:pos="8306"/>
        <w:tab w:val="right" w:pos="9214"/>
      </w:tabs>
      <w:ind w:leftChars="-608" w:left="-1277" w:rightChars="-634" w:right="-1331" w:firstLine="1"/>
    </w:pPr>
    <w:r>
      <w:pict w14:anchorId="09061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9298" o:spid="_x0000_s3074" type="#_x0000_t75" style="position:absolute;left:0;text-align:left;margin-left:0;margin-top:0;width:595.2pt;height:841.9pt;z-index:-251658752;mso-position-horizontal:center;mso-position-horizontal-relative:margin;mso-position-vertical:center;mso-position-vertical-relative:margin;mso-width-relative:page;mso-height-relative:page"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1379" w14:textId="77777777" w:rsidR="00D749E1" w:rsidRDefault="007F1A40">
    <w:pPr>
      <w:pStyle w:val="a8"/>
    </w:pPr>
    <w:r>
      <w:pict w14:anchorId="00FA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9296" o:spid="_x0000_s3073" type="#_x0000_t75" style="position:absolute;left:0;text-align:left;margin-left:0;margin-top:0;width:595.2pt;height:841.9pt;z-index:-251659776;mso-position-horizontal:center;mso-position-horizontal-relative:margin;mso-position-vertical:center;mso-position-vertical-relative:margin;mso-width-relative:page;mso-height-relative:page"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4MDAzNjNiM2EwYjNjY2VkN2I2ZWY4OTg5YTA1ZWYifQ=="/>
  </w:docVars>
  <w:rsids>
    <w:rsidRoot w:val="00172A27"/>
    <w:rsid w:val="E6FD42F4"/>
    <w:rsid w:val="E9DFC778"/>
    <w:rsid w:val="EB97A8B3"/>
    <w:rsid w:val="F77EDDE2"/>
    <w:rsid w:val="00004462"/>
    <w:rsid w:val="000216F9"/>
    <w:rsid w:val="00025414"/>
    <w:rsid w:val="00052C8E"/>
    <w:rsid w:val="000749C8"/>
    <w:rsid w:val="00082C74"/>
    <w:rsid w:val="0009545C"/>
    <w:rsid w:val="000A0403"/>
    <w:rsid w:val="000A30FD"/>
    <w:rsid w:val="000A4F9D"/>
    <w:rsid w:val="000B259C"/>
    <w:rsid w:val="000C2C6E"/>
    <w:rsid w:val="000E160E"/>
    <w:rsid w:val="000F1AA8"/>
    <w:rsid w:val="000F46E4"/>
    <w:rsid w:val="000F51AB"/>
    <w:rsid w:val="00104638"/>
    <w:rsid w:val="00114BAF"/>
    <w:rsid w:val="00135B12"/>
    <w:rsid w:val="0013614E"/>
    <w:rsid w:val="001368B9"/>
    <w:rsid w:val="00153CAD"/>
    <w:rsid w:val="00154D55"/>
    <w:rsid w:val="001571D6"/>
    <w:rsid w:val="00172A27"/>
    <w:rsid w:val="00176928"/>
    <w:rsid w:val="0018792D"/>
    <w:rsid w:val="001944F3"/>
    <w:rsid w:val="001D6CAB"/>
    <w:rsid w:val="001E796C"/>
    <w:rsid w:val="001F6F1A"/>
    <w:rsid w:val="00202AC1"/>
    <w:rsid w:val="0021331C"/>
    <w:rsid w:val="002301F2"/>
    <w:rsid w:val="00230ABF"/>
    <w:rsid w:val="0023370F"/>
    <w:rsid w:val="00233BB9"/>
    <w:rsid w:val="00262C1A"/>
    <w:rsid w:val="002652B3"/>
    <w:rsid w:val="00267F87"/>
    <w:rsid w:val="00270DDC"/>
    <w:rsid w:val="002969C6"/>
    <w:rsid w:val="002A452E"/>
    <w:rsid w:val="002A6767"/>
    <w:rsid w:val="002B2879"/>
    <w:rsid w:val="002B37D9"/>
    <w:rsid w:val="002C46E6"/>
    <w:rsid w:val="002F6938"/>
    <w:rsid w:val="0030109C"/>
    <w:rsid w:val="00302AD7"/>
    <w:rsid w:val="0031338B"/>
    <w:rsid w:val="003138FE"/>
    <w:rsid w:val="003225AE"/>
    <w:rsid w:val="00322A41"/>
    <w:rsid w:val="00327CC5"/>
    <w:rsid w:val="00331307"/>
    <w:rsid w:val="0033216F"/>
    <w:rsid w:val="003326DE"/>
    <w:rsid w:val="003337DE"/>
    <w:rsid w:val="003368E1"/>
    <w:rsid w:val="00347B63"/>
    <w:rsid w:val="00352B3C"/>
    <w:rsid w:val="00371FB1"/>
    <w:rsid w:val="00373582"/>
    <w:rsid w:val="00376191"/>
    <w:rsid w:val="00380A81"/>
    <w:rsid w:val="00380B6E"/>
    <w:rsid w:val="003A1EAB"/>
    <w:rsid w:val="003C4E94"/>
    <w:rsid w:val="003C5EF2"/>
    <w:rsid w:val="003C796A"/>
    <w:rsid w:val="003D49BF"/>
    <w:rsid w:val="003E51AF"/>
    <w:rsid w:val="004131F0"/>
    <w:rsid w:val="00414407"/>
    <w:rsid w:val="00414F53"/>
    <w:rsid w:val="00471384"/>
    <w:rsid w:val="00484546"/>
    <w:rsid w:val="004B43EA"/>
    <w:rsid w:val="004C264F"/>
    <w:rsid w:val="004C4DAE"/>
    <w:rsid w:val="004C65EB"/>
    <w:rsid w:val="004C7FBE"/>
    <w:rsid w:val="004D6979"/>
    <w:rsid w:val="004D6C43"/>
    <w:rsid w:val="004E1A9F"/>
    <w:rsid w:val="004E3988"/>
    <w:rsid w:val="004F077E"/>
    <w:rsid w:val="004F6C43"/>
    <w:rsid w:val="00514F3F"/>
    <w:rsid w:val="00517DD0"/>
    <w:rsid w:val="00531645"/>
    <w:rsid w:val="00532AA5"/>
    <w:rsid w:val="005405AB"/>
    <w:rsid w:val="00547EA4"/>
    <w:rsid w:val="005547C9"/>
    <w:rsid w:val="00561B73"/>
    <w:rsid w:val="0057385D"/>
    <w:rsid w:val="0057432C"/>
    <w:rsid w:val="00574F68"/>
    <w:rsid w:val="005816A6"/>
    <w:rsid w:val="005833D2"/>
    <w:rsid w:val="005975A0"/>
    <w:rsid w:val="005A1A81"/>
    <w:rsid w:val="005D348A"/>
    <w:rsid w:val="005D4E28"/>
    <w:rsid w:val="005E61ED"/>
    <w:rsid w:val="00613F5E"/>
    <w:rsid w:val="00634356"/>
    <w:rsid w:val="00637D9F"/>
    <w:rsid w:val="00643798"/>
    <w:rsid w:val="0064453B"/>
    <w:rsid w:val="00645FA7"/>
    <w:rsid w:val="00657FA7"/>
    <w:rsid w:val="00662525"/>
    <w:rsid w:val="00666EB8"/>
    <w:rsid w:val="0069300D"/>
    <w:rsid w:val="00694A5C"/>
    <w:rsid w:val="006A166F"/>
    <w:rsid w:val="006A6682"/>
    <w:rsid w:val="006B2715"/>
    <w:rsid w:val="006B6A6E"/>
    <w:rsid w:val="006C1330"/>
    <w:rsid w:val="006C435C"/>
    <w:rsid w:val="006E30F8"/>
    <w:rsid w:val="006E3FE5"/>
    <w:rsid w:val="006E6E4A"/>
    <w:rsid w:val="006F45B5"/>
    <w:rsid w:val="00703E3E"/>
    <w:rsid w:val="007139B6"/>
    <w:rsid w:val="00725DCA"/>
    <w:rsid w:val="00735807"/>
    <w:rsid w:val="00735EFD"/>
    <w:rsid w:val="007460C7"/>
    <w:rsid w:val="007A0250"/>
    <w:rsid w:val="007B5DC4"/>
    <w:rsid w:val="007C6B1A"/>
    <w:rsid w:val="007D07FC"/>
    <w:rsid w:val="007D0F78"/>
    <w:rsid w:val="007E6220"/>
    <w:rsid w:val="007F1A40"/>
    <w:rsid w:val="008219BC"/>
    <w:rsid w:val="008321F0"/>
    <w:rsid w:val="008518E9"/>
    <w:rsid w:val="0085490A"/>
    <w:rsid w:val="0085495B"/>
    <w:rsid w:val="008563A7"/>
    <w:rsid w:val="00873553"/>
    <w:rsid w:val="008807F7"/>
    <w:rsid w:val="00883650"/>
    <w:rsid w:val="0089387C"/>
    <w:rsid w:val="0089582A"/>
    <w:rsid w:val="008972BD"/>
    <w:rsid w:val="008A51CE"/>
    <w:rsid w:val="008A7399"/>
    <w:rsid w:val="008A7932"/>
    <w:rsid w:val="008B6610"/>
    <w:rsid w:val="008C0506"/>
    <w:rsid w:val="008C27D2"/>
    <w:rsid w:val="008C426B"/>
    <w:rsid w:val="008C6458"/>
    <w:rsid w:val="008C6FB7"/>
    <w:rsid w:val="008C71E7"/>
    <w:rsid w:val="008D0465"/>
    <w:rsid w:val="008D4935"/>
    <w:rsid w:val="008D666C"/>
    <w:rsid w:val="008D7BD8"/>
    <w:rsid w:val="008D7F1A"/>
    <w:rsid w:val="008D7FFA"/>
    <w:rsid w:val="009016CE"/>
    <w:rsid w:val="00917566"/>
    <w:rsid w:val="009327CB"/>
    <w:rsid w:val="00932BC4"/>
    <w:rsid w:val="00933CE2"/>
    <w:rsid w:val="009378BB"/>
    <w:rsid w:val="0094267F"/>
    <w:rsid w:val="00960FEB"/>
    <w:rsid w:val="00977C2B"/>
    <w:rsid w:val="00983C47"/>
    <w:rsid w:val="00987010"/>
    <w:rsid w:val="009A565F"/>
    <w:rsid w:val="009B5C81"/>
    <w:rsid w:val="009C36B6"/>
    <w:rsid w:val="009D63BC"/>
    <w:rsid w:val="009E70DE"/>
    <w:rsid w:val="00A00CDF"/>
    <w:rsid w:val="00A03A4B"/>
    <w:rsid w:val="00A13724"/>
    <w:rsid w:val="00A16E7A"/>
    <w:rsid w:val="00A17658"/>
    <w:rsid w:val="00A22E0D"/>
    <w:rsid w:val="00A261B1"/>
    <w:rsid w:val="00A26375"/>
    <w:rsid w:val="00A57300"/>
    <w:rsid w:val="00A66FA3"/>
    <w:rsid w:val="00A676BA"/>
    <w:rsid w:val="00A728EE"/>
    <w:rsid w:val="00A77552"/>
    <w:rsid w:val="00A80B26"/>
    <w:rsid w:val="00A866D8"/>
    <w:rsid w:val="00A92620"/>
    <w:rsid w:val="00AA0EDE"/>
    <w:rsid w:val="00AA36D5"/>
    <w:rsid w:val="00AA7C2A"/>
    <w:rsid w:val="00AB23D2"/>
    <w:rsid w:val="00AB61B4"/>
    <w:rsid w:val="00AE241E"/>
    <w:rsid w:val="00AE399B"/>
    <w:rsid w:val="00AE3C1E"/>
    <w:rsid w:val="00AF1AA1"/>
    <w:rsid w:val="00B15371"/>
    <w:rsid w:val="00B45789"/>
    <w:rsid w:val="00B470C3"/>
    <w:rsid w:val="00B5190B"/>
    <w:rsid w:val="00B81746"/>
    <w:rsid w:val="00B852D5"/>
    <w:rsid w:val="00B91C47"/>
    <w:rsid w:val="00B942FD"/>
    <w:rsid w:val="00BA2D07"/>
    <w:rsid w:val="00BA54BF"/>
    <w:rsid w:val="00BC3541"/>
    <w:rsid w:val="00BC3A33"/>
    <w:rsid w:val="00BD0AD4"/>
    <w:rsid w:val="00BD0E6E"/>
    <w:rsid w:val="00BD71BE"/>
    <w:rsid w:val="00BD7CC5"/>
    <w:rsid w:val="00BE6B2C"/>
    <w:rsid w:val="00C05D6F"/>
    <w:rsid w:val="00C208A8"/>
    <w:rsid w:val="00C24165"/>
    <w:rsid w:val="00C43722"/>
    <w:rsid w:val="00C520BC"/>
    <w:rsid w:val="00C6343F"/>
    <w:rsid w:val="00C667E0"/>
    <w:rsid w:val="00C72AC9"/>
    <w:rsid w:val="00C90F0B"/>
    <w:rsid w:val="00CA4CE8"/>
    <w:rsid w:val="00CA7AD3"/>
    <w:rsid w:val="00CB0471"/>
    <w:rsid w:val="00CD0EA9"/>
    <w:rsid w:val="00CD4982"/>
    <w:rsid w:val="00CD4AD5"/>
    <w:rsid w:val="00CE6892"/>
    <w:rsid w:val="00CF085E"/>
    <w:rsid w:val="00D001AA"/>
    <w:rsid w:val="00D0678F"/>
    <w:rsid w:val="00D251ED"/>
    <w:rsid w:val="00D26E29"/>
    <w:rsid w:val="00D32EC0"/>
    <w:rsid w:val="00D3320B"/>
    <w:rsid w:val="00D346DE"/>
    <w:rsid w:val="00D47D3E"/>
    <w:rsid w:val="00D53E5E"/>
    <w:rsid w:val="00D57B96"/>
    <w:rsid w:val="00D62721"/>
    <w:rsid w:val="00D71F58"/>
    <w:rsid w:val="00D72F94"/>
    <w:rsid w:val="00D749CE"/>
    <w:rsid w:val="00D749E1"/>
    <w:rsid w:val="00D76875"/>
    <w:rsid w:val="00D9225C"/>
    <w:rsid w:val="00D9291D"/>
    <w:rsid w:val="00DA4B4E"/>
    <w:rsid w:val="00DC209E"/>
    <w:rsid w:val="00DC39DF"/>
    <w:rsid w:val="00DC474F"/>
    <w:rsid w:val="00DC53C6"/>
    <w:rsid w:val="00DC6D84"/>
    <w:rsid w:val="00DD1CEF"/>
    <w:rsid w:val="00DD417B"/>
    <w:rsid w:val="00DD47A7"/>
    <w:rsid w:val="00DE6FDD"/>
    <w:rsid w:val="00DF171A"/>
    <w:rsid w:val="00DF193C"/>
    <w:rsid w:val="00E02832"/>
    <w:rsid w:val="00E24D07"/>
    <w:rsid w:val="00E3304D"/>
    <w:rsid w:val="00E445AE"/>
    <w:rsid w:val="00E44B0D"/>
    <w:rsid w:val="00E56C7D"/>
    <w:rsid w:val="00E67923"/>
    <w:rsid w:val="00E76BFB"/>
    <w:rsid w:val="00E819FE"/>
    <w:rsid w:val="00E82619"/>
    <w:rsid w:val="00EB18BD"/>
    <w:rsid w:val="00EB35D2"/>
    <w:rsid w:val="00EB7559"/>
    <w:rsid w:val="00EC3BFD"/>
    <w:rsid w:val="00EC4018"/>
    <w:rsid w:val="00ED41AF"/>
    <w:rsid w:val="00EE4FB1"/>
    <w:rsid w:val="00EF7731"/>
    <w:rsid w:val="00F0345F"/>
    <w:rsid w:val="00F17844"/>
    <w:rsid w:val="00F221D4"/>
    <w:rsid w:val="00F22E3D"/>
    <w:rsid w:val="00F34CA8"/>
    <w:rsid w:val="00F45D10"/>
    <w:rsid w:val="00F52ECD"/>
    <w:rsid w:val="00F65DE9"/>
    <w:rsid w:val="00F73824"/>
    <w:rsid w:val="00F74B90"/>
    <w:rsid w:val="00F76ADA"/>
    <w:rsid w:val="00F811F1"/>
    <w:rsid w:val="00F835FE"/>
    <w:rsid w:val="00F92F7D"/>
    <w:rsid w:val="00FB6044"/>
    <w:rsid w:val="00FD3E95"/>
    <w:rsid w:val="00FD7CC1"/>
    <w:rsid w:val="00FF2DA0"/>
    <w:rsid w:val="011027CE"/>
    <w:rsid w:val="01AC1EE3"/>
    <w:rsid w:val="01D91AAE"/>
    <w:rsid w:val="02395596"/>
    <w:rsid w:val="025901E7"/>
    <w:rsid w:val="02780EBE"/>
    <w:rsid w:val="02C753EA"/>
    <w:rsid w:val="03A34D06"/>
    <w:rsid w:val="040327B2"/>
    <w:rsid w:val="044D191B"/>
    <w:rsid w:val="05272E46"/>
    <w:rsid w:val="05313213"/>
    <w:rsid w:val="055B78DA"/>
    <w:rsid w:val="05EB7ACA"/>
    <w:rsid w:val="05FD5DDE"/>
    <w:rsid w:val="06B31DB5"/>
    <w:rsid w:val="06BB591A"/>
    <w:rsid w:val="07212C19"/>
    <w:rsid w:val="072239C3"/>
    <w:rsid w:val="07913C76"/>
    <w:rsid w:val="079C3BAC"/>
    <w:rsid w:val="079D330C"/>
    <w:rsid w:val="07ED4390"/>
    <w:rsid w:val="0839318B"/>
    <w:rsid w:val="084611B7"/>
    <w:rsid w:val="08EE2548"/>
    <w:rsid w:val="0A240D12"/>
    <w:rsid w:val="0A3C6411"/>
    <w:rsid w:val="0ADA025B"/>
    <w:rsid w:val="0AE72DF4"/>
    <w:rsid w:val="0AE77571"/>
    <w:rsid w:val="0AFB3A26"/>
    <w:rsid w:val="0B375B24"/>
    <w:rsid w:val="0B9F6D1F"/>
    <w:rsid w:val="0BB951AD"/>
    <w:rsid w:val="0BF050BC"/>
    <w:rsid w:val="0C9814B6"/>
    <w:rsid w:val="0D2B1D29"/>
    <w:rsid w:val="0E263246"/>
    <w:rsid w:val="0F02192F"/>
    <w:rsid w:val="0F4942A2"/>
    <w:rsid w:val="10483D83"/>
    <w:rsid w:val="107B7E97"/>
    <w:rsid w:val="114A726B"/>
    <w:rsid w:val="11BE502B"/>
    <w:rsid w:val="11E74B6B"/>
    <w:rsid w:val="1369778C"/>
    <w:rsid w:val="142B2BA6"/>
    <w:rsid w:val="143F3FFF"/>
    <w:rsid w:val="144968D3"/>
    <w:rsid w:val="14D2120F"/>
    <w:rsid w:val="14EA3EDE"/>
    <w:rsid w:val="152079F4"/>
    <w:rsid w:val="157536D9"/>
    <w:rsid w:val="16B36D4D"/>
    <w:rsid w:val="16B71ED0"/>
    <w:rsid w:val="16CA7464"/>
    <w:rsid w:val="16E60822"/>
    <w:rsid w:val="17733908"/>
    <w:rsid w:val="17E11842"/>
    <w:rsid w:val="18014470"/>
    <w:rsid w:val="185E5B2D"/>
    <w:rsid w:val="192667D1"/>
    <w:rsid w:val="1A0C6016"/>
    <w:rsid w:val="1A0D104E"/>
    <w:rsid w:val="1AC81CFA"/>
    <w:rsid w:val="1AE709B1"/>
    <w:rsid w:val="1AF866CC"/>
    <w:rsid w:val="1B9E09DE"/>
    <w:rsid w:val="1BA16EE5"/>
    <w:rsid w:val="1BA36B65"/>
    <w:rsid w:val="1BF765EF"/>
    <w:rsid w:val="1CA86413"/>
    <w:rsid w:val="1CE115A3"/>
    <w:rsid w:val="1CF13A6A"/>
    <w:rsid w:val="1DE928A7"/>
    <w:rsid w:val="1E027949"/>
    <w:rsid w:val="1E5212C6"/>
    <w:rsid w:val="1E5D1F93"/>
    <w:rsid w:val="1F5259A2"/>
    <w:rsid w:val="1FA712FF"/>
    <w:rsid w:val="1FF5E3CD"/>
    <w:rsid w:val="205C0F61"/>
    <w:rsid w:val="20F35A9E"/>
    <w:rsid w:val="21583244"/>
    <w:rsid w:val="21AD2AE4"/>
    <w:rsid w:val="21C27070"/>
    <w:rsid w:val="21F22F60"/>
    <w:rsid w:val="2217060F"/>
    <w:rsid w:val="223C6D39"/>
    <w:rsid w:val="25611454"/>
    <w:rsid w:val="258874B3"/>
    <w:rsid w:val="25DA2675"/>
    <w:rsid w:val="268A4DCA"/>
    <w:rsid w:val="271D1DBA"/>
    <w:rsid w:val="274A50E1"/>
    <w:rsid w:val="276721DF"/>
    <w:rsid w:val="27A40D9A"/>
    <w:rsid w:val="2856045E"/>
    <w:rsid w:val="288434E9"/>
    <w:rsid w:val="28AB5803"/>
    <w:rsid w:val="28E31CE4"/>
    <w:rsid w:val="28F60E22"/>
    <w:rsid w:val="29151500"/>
    <w:rsid w:val="2A1E2591"/>
    <w:rsid w:val="2A932085"/>
    <w:rsid w:val="2B3D52CD"/>
    <w:rsid w:val="2B4E2A99"/>
    <w:rsid w:val="2B6B18CD"/>
    <w:rsid w:val="2B762959"/>
    <w:rsid w:val="2B980E4E"/>
    <w:rsid w:val="2BA45289"/>
    <w:rsid w:val="2C645E65"/>
    <w:rsid w:val="2CAF4ABC"/>
    <w:rsid w:val="2CE079AD"/>
    <w:rsid w:val="2CF91854"/>
    <w:rsid w:val="2D0D7577"/>
    <w:rsid w:val="2D780E25"/>
    <w:rsid w:val="2E001109"/>
    <w:rsid w:val="2E013307"/>
    <w:rsid w:val="2E1D2C38"/>
    <w:rsid w:val="2E3502DE"/>
    <w:rsid w:val="2E84005D"/>
    <w:rsid w:val="2F4D0EBD"/>
    <w:rsid w:val="2FBB2AA3"/>
    <w:rsid w:val="3097337C"/>
    <w:rsid w:val="30DB0403"/>
    <w:rsid w:val="31833619"/>
    <w:rsid w:val="319D3AF3"/>
    <w:rsid w:val="31E354EF"/>
    <w:rsid w:val="32296F5A"/>
    <w:rsid w:val="3250281F"/>
    <w:rsid w:val="325C2C2C"/>
    <w:rsid w:val="32AD3237"/>
    <w:rsid w:val="32DD447F"/>
    <w:rsid w:val="32FF7EB7"/>
    <w:rsid w:val="34802092"/>
    <w:rsid w:val="34A075E3"/>
    <w:rsid w:val="355E4668"/>
    <w:rsid w:val="36314876"/>
    <w:rsid w:val="36540BFF"/>
    <w:rsid w:val="37606CF5"/>
    <w:rsid w:val="379571C6"/>
    <w:rsid w:val="37965442"/>
    <w:rsid w:val="37CF3D85"/>
    <w:rsid w:val="383A0DD3"/>
    <w:rsid w:val="3849527D"/>
    <w:rsid w:val="39976941"/>
    <w:rsid w:val="39C54DE2"/>
    <w:rsid w:val="3AF44AC4"/>
    <w:rsid w:val="3B22484E"/>
    <w:rsid w:val="3B751B9A"/>
    <w:rsid w:val="3BA62369"/>
    <w:rsid w:val="3C4C18D2"/>
    <w:rsid w:val="3C7026E0"/>
    <w:rsid w:val="3C7C607D"/>
    <w:rsid w:val="3C8D4BE6"/>
    <w:rsid w:val="3D20135F"/>
    <w:rsid w:val="3D532B05"/>
    <w:rsid w:val="3D8418FA"/>
    <w:rsid w:val="3E166C6B"/>
    <w:rsid w:val="3E346123"/>
    <w:rsid w:val="3E572F58"/>
    <w:rsid w:val="3EAE6A2B"/>
    <w:rsid w:val="3ED42521"/>
    <w:rsid w:val="3F03502F"/>
    <w:rsid w:val="3F63308A"/>
    <w:rsid w:val="3FF638FD"/>
    <w:rsid w:val="4015092F"/>
    <w:rsid w:val="40193B13"/>
    <w:rsid w:val="4026664B"/>
    <w:rsid w:val="41335944"/>
    <w:rsid w:val="413614ED"/>
    <w:rsid w:val="415C59B8"/>
    <w:rsid w:val="424F2096"/>
    <w:rsid w:val="42A36480"/>
    <w:rsid w:val="433E7EE2"/>
    <w:rsid w:val="439E377F"/>
    <w:rsid w:val="447830E2"/>
    <w:rsid w:val="44B8638E"/>
    <w:rsid w:val="450042C0"/>
    <w:rsid w:val="45045DE0"/>
    <w:rsid w:val="45235861"/>
    <w:rsid w:val="456B71F2"/>
    <w:rsid w:val="456D38C5"/>
    <w:rsid w:val="459270B2"/>
    <w:rsid w:val="464F3363"/>
    <w:rsid w:val="47257848"/>
    <w:rsid w:val="47531291"/>
    <w:rsid w:val="48A06010"/>
    <w:rsid w:val="48A37CB9"/>
    <w:rsid w:val="49222CC5"/>
    <w:rsid w:val="49E360C7"/>
    <w:rsid w:val="4A686BC3"/>
    <w:rsid w:val="4A944BE6"/>
    <w:rsid w:val="4AEA6060"/>
    <w:rsid w:val="4B5A4F44"/>
    <w:rsid w:val="4B5D264B"/>
    <w:rsid w:val="4C274FFC"/>
    <w:rsid w:val="4CAE1DDD"/>
    <w:rsid w:val="4CC84E8C"/>
    <w:rsid w:val="4CEC1159"/>
    <w:rsid w:val="4DD92BB8"/>
    <w:rsid w:val="4EDB5627"/>
    <w:rsid w:val="4F2711ED"/>
    <w:rsid w:val="4F707062"/>
    <w:rsid w:val="4FE04025"/>
    <w:rsid w:val="501C4E85"/>
    <w:rsid w:val="501F267E"/>
    <w:rsid w:val="506C72F2"/>
    <w:rsid w:val="50E12080"/>
    <w:rsid w:val="53AE65CA"/>
    <w:rsid w:val="53B87967"/>
    <w:rsid w:val="53DD6B9E"/>
    <w:rsid w:val="53DD7F26"/>
    <w:rsid w:val="544C3E4B"/>
    <w:rsid w:val="548D0C44"/>
    <w:rsid w:val="5530071D"/>
    <w:rsid w:val="559417F6"/>
    <w:rsid w:val="55C44544"/>
    <w:rsid w:val="56161548"/>
    <w:rsid w:val="57E37B41"/>
    <w:rsid w:val="58C75E36"/>
    <w:rsid w:val="58E2665F"/>
    <w:rsid w:val="58F66C32"/>
    <w:rsid w:val="59F83E12"/>
    <w:rsid w:val="5A4A559B"/>
    <w:rsid w:val="5A5E4DB8"/>
    <w:rsid w:val="5A6516AD"/>
    <w:rsid w:val="5AAE7EAA"/>
    <w:rsid w:val="5AFA4AD0"/>
    <w:rsid w:val="5B243716"/>
    <w:rsid w:val="5B6E700E"/>
    <w:rsid w:val="5BFDE161"/>
    <w:rsid w:val="5C3E3E63"/>
    <w:rsid w:val="5C407366"/>
    <w:rsid w:val="5CAE321D"/>
    <w:rsid w:val="5CE94535"/>
    <w:rsid w:val="5D0B4F26"/>
    <w:rsid w:val="5D4C4020"/>
    <w:rsid w:val="5D6542B1"/>
    <w:rsid w:val="5D872AF1"/>
    <w:rsid w:val="5DD94F09"/>
    <w:rsid w:val="5E07154B"/>
    <w:rsid w:val="5EBC54FC"/>
    <w:rsid w:val="5F06794C"/>
    <w:rsid w:val="5F697FE2"/>
    <w:rsid w:val="5FAF7F87"/>
    <w:rsid w:val="5FC37DE4"/>
    <w:rsid w:val="5FEF342B"/>
    <w:rsid w:val="5FF32FFA"/>
    <w:rsid w:val="60DD623B"/>
    <w:rsid w:val="61032E37"/>
    <w:rsid w:val="61041CC2"/>
    <w:rsid w:val="61060A78"/>
    <w:rsid w:val="61D25911"/>
    <w:rsid w:val="62090166"/>
    <w:rsid w:val="62394BBB"/>
    <w:rsid w:val="627556BB"/>
    <w:rsid w:val="627A171F"/>
    <w:rsid w:val="628F3F2C"/>
    <w:rsid w:val="639725D2"/>
    <w:rsid w:val="63996396"/>
    <w:rsid w:val="640A1E5A"/>
    <w:rsid w:val="64510A1B"/>
    <w:rsid w:val="646B1ECF"/>
    <w:rsid w:val="647228CF"/>
    <w:rsid w:val="64BE0654"/>
    <w:rsid w:val="656655EA"/>
    <w:rsid w:val="65B110CD"/>
    <w:rsid w:val="65E43CBA"/>
    <w:rsid w:val="66027101"/>
    <w:rsid w:val="66605802"/>
    <w:rsid w:val="666F5E1C"/>
    <w:rsid w:val="667E4DB2"/>
    <w:rsid w:val="66BA587D"/>
    <w:rsid w:val="66DF3B52"/>
    <w:rsid w:val="6750514B"/>
    <w:rsid w:val="67654F94"/>
    <w:rsid w:val="67CB4CF0"/>
    <w:rsid w:val="67F97B21"/>
    <w:rsid w:val="68375408"/>
    <w:rsid w:val="68AD08CA"/>
    <w:rsid w:val="68BB7BDF"/>
    <w:rsid w:val="68BE1518"/>
    <w:rsid w:val="68C55F71"/>
    <w:rsid w:val="68CF2103"/>
    <w:rsid w:val="699D5FD4"/>
    <w:rsid w:val="69C06C16"/>
    <w:rsid w:val="69DF7D42"/>
    <w:rsid w:val="6A115F93"/>
    <w:rsid w:val="6A6B39D3"/>
    <w:rsid w:val="6B1000B4"/>
    <w:rsid w:val="6BEF52D7"/>
    <w:rsid w:val="6C0079BC"/>
    <w:rsid w:val="6C37119B"/>
    <w:rsid w:val="6C3F2161"/>
    <w:rsid w:val="6C4F5883"/>
    <w:rsid w:val="6C54397F"/>
    <w:rsid w:val="6C5E66E4"/>
    <w:rsid w:val="6CE13B64"/>
    <w:rsid w:val="6D6E4FE8"/>
    <w:rsid w:val="6D7C5B17"/>
    <w:rsid w:val="6DB44E8F"/>
    <w:rsid w:val="6DCC37B0"/>
    <w:rsid w:val="6DD2422A"/>
    <w:rsid w:val="6DD63BA9"/>
    <w:rsid w:val="6E092EAB"/>
    <w:rsid w:val="6E136122"/>
    <w:rsid w:val="6E2F5A53"/>
    <w:rsid w:val="6E393D5D"/>
    <w:rsid w:val="6E53278F"/>
    <w:rsid w:val="6EAB0940"/>
    <w:rsid w:val="6EBB77B6"/>
    <w:rsid w:val="6EDB0540"/>
    <w:rsid w:val="6F7118E2"/>
    <w:rsid w:val="6FBF5F0A"/>
    <w:rsid w:val="700852D9"/>
    <w:rsid w:val="71072C7D"/>
    <w:rsid w:val="715C5796"/>
    <w:rsid w:val="71905160"/>
    <w:rsid w:val="71C730BB"/>
    <w:rsid w:val="723658ED"/>
    <w:rsid w:val="72442685"/>
    <w:rsid w:val="7288628B"/>
    <w:rsid w:val="72E93FAE"/>
    <w:rsid w:val="731A4C66"/>
    <w:rsid w:val="73B415E2"/>
    <w:rsid w:val="741661E7"/>
    <w:rsid w:val="742A3281"/>
    <w:rsid w:val="742E1104"/>
    <w:rsid w:val="7432183C"/>
    <w:rsid w:val="7463267F"/>
    <w:rsid w:val="747247FB"/>
    <w:rsid w:val="748F47C8"/>
    <w:rsid w:val="74CC6652"/>
    <w:rsid w:val="74D636CD"/>
    <w:rsid w:val="75124DA1"/>
    <w:rsid w:val="7519692A"/>
    <w:rsid w:val="75400D68"/>
    <w:rsid w:val="75822AD7"/>
    <w:rsid w:val="769C314D"/>
    <w:rsid w:val="773F548C"/>
    <w:rsid w:val="77A45FD4"/>
    <w:rsid w:val="78892558"/>
    <w:rsid w:val="78A87E00"/>
    <w:rsid w:val="78AD4288"/>
    <w:rsid w:val="78EA7FA9"/>
    <w:rsid w:val="799B610F"/>
    <w:rsid w:val="79A1389B"/>
    <w:rsid w:val="79C1634F"/>
    <w:rsid w:val="79D95D4E"/>
    <w:rsid w:val="79F301DD"/>
    <w:rsid w:val="7A382A7C"/>
    <w:rsid w:val="7A6C5750"/>
    <w:rsid w:val="7AAC16F7"/>
    <w:rsid w:val="7ADB6844"/>
    <w:rsid w:val="7AFA6219"/>
    <w:rsid w:val="7B1E0809"/>
    <w:rsid w:val="7B242B7D"/>
    <w:rsid w:val="7BD37033"/>
    <w:rsid w:val="7BF604ED"/>
    <w:rsid w:val="7C757377"/>
    <w:rsid w:val="7CF9745D"/>
    <w:rsid w:val="7D0739D3"/>
    <w:rsid w:val="7D741FE3"/>
    <w:rsid w:val="7D8A5F9B"/>
    <w:rsid w:val="7DBD7E58"/>
    <w:rsid w:val="7DCA32B1"/>
    <w:rsid w:val="7EB34784"/>
    <w:rsid w:val="7EBF0D00"/>
    <w:rsid w:val="7F361C43"/>
    <w:rsid w:val="7F5646F6"/>
    <w:rsid w:val="7F867444"/>
    <w:rsid w:val="7F96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14:docId w14:val="7B5AEBEE"/>
  <w15:docId w15:val="{15012E45-1073-4757-82AE-DBD8CC3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Lines="50" w:afterLines="50" w:line="360" w:lineRule="auto"/>
      <w:outlineLvl w:val="0"/>
    </w:pPr>
    <w:rPr>
      <w:b/>
      <w:kern w:val="44"/>
      <w:sz w:val="24"/>
    </w:rPr>
  </w:style>
  <w:style w:type="paragraph" w:styleId="2">
    <w:name w:val="heading 2"/>
    <w:basedOn w:val="a"/>
    <w:next w:val="a"/>
    <w:uiPriority w:val="9"/>
    <w:unhideWhenUsed/>
    <w:qFormat/>
    <w:pPr>
      <w:keepNext/>
      <w:keepLines/>
      <w:widowControl/>
      <w:autoSpaceDE w:val="0"/>
      <w:autoSpaceDN w:val="0"/>
      <w:spacing w:line="360" w:lineRule="auto"/>
      <w:ind w:firstLineChars="200" w:firstLine="480"/>
      <w:outlineLvl w:val="1"/>
    </w:pPr>
    <w:rPr>
      <w:b/>
      <w:sz w:val="24"/>
    </w:rPr>
  </w:style>
  <w:style w:type="paragraph" w:styleId="3">
    <w:name w:val="heading 3"/>
    <w:basedOn w:val="a"/>
    <w:next w:val="a"/>
    <w:link w:val="30"/>
    <w:uiPriority w:val="9"/>
    <w:qFormat/>
    <w:pPr>
      <w:keepNext/>
      <w:keepLines/>
      <w:spacing w:before="200" w:after="200" w:line="360" w:lineRule="auto"/>
      <w:ind w:firstLineChars="200" w:firstLine="480"/>
      <w:outlineLvl w:val="2"/>
    </w:pPr>
    <w:rPr>
      <w:rFonts w:ascii="Calibri" w:hAnsi="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unhideWhenUsed/>
    <w:qFormat/>
    <w:rPr>
      <w:rFonts w:cs="Times New Roman"/>
    </w:rPr>
  </w:style>
  <w:style w:type="character" w:styleId="ac">
    <w:name w:val="annotation reference"/>
    <w:basedOn w:val="a0"/>
    <w:uiPriority w:val="99"/>
    <w:semiHidden/>
    <w:unhideWhenUsed/>
    <w:qFormat/>
    <w:rPr>
      <w:sz w:val="21"/>
      <w:szCs w:val="21"/>
    </w:rPr>
  </w:style>
  <w:style w:type="paragraph" w:customStyle="1" w:styleId="Ad">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7">
    <w:name w:val="页脚 字符"/>
    <w:link w:val="a6"/>
    <w:uiPriority w:val="99"/>
    <w:qFormat/>
    <w:rPr>
      <w:sz w:val="18"/>
      <w:szCs w:val="18"/>
    </w:rPr>
  </w:style>
  <w:style w:type="character" w:customStyle="1" w:styleId="a5">
    <w:name w:val="批注框文本 字符"/>
    <w:link w:val="a4"/>
    <w:uiPriority w:val="99"/>
    <w:semiHidden/>
    <w:qFormat/>
    <w:rPr>
      <w:kern w:val="2"/>
      <w:sz w:val="18"/>
      <w:szCs w:val="18"/>
    </w:rPr>
  </w:style>
  <w:style w:type="character" w:customStyle="1" w:styleId="30">
    <w:name w:val="标题 3 字符"/>
    <w:link w:val="3"/>
    <w:uiPriority w:val="9"/>
    <w:qFormat/>
    <w:rPr>
      <w:rFonts w:ascii="Calibri" w:eastAsia="宋体" w:hAnsi="Calibri"/>
      <w:b/>
      <w:sz w:val="24"/>
    </w:rPr>
  </w:style>
  <w:style w:type="character" w:customStyle="1" w:styleId="a9">
    <w:name w:val="页眉 字符"/>
    <w:link w:val="a8"/>
    <w:uiPriority w:val="99"/>
    <w:semiHidden/>
    <w:qFormat/>
    <w:rPr>
      <w:sz w:val="18"/>
      <w:szCs w:val="18"/>
    </w:rPr>
  </w:style>
  <w:style w:type="character" w:customStyle="1" w:styleId="HTML0">
    <w:name w:val="HTML 预设格式 字符"/>
    <w:link w:val="HTML"/>
    <w:uiPriority w:val="99"/>
    <w:qFormat/>
    <w:rPr>
      <w:rFonts w:ascii="宋体" w:hAnsi="宋体" w:cs="宋体"/>
      <w:sz w:val="24"/>
      <w:szCs w:val="24"/>
    </w:rPr>
  </w:style>
  <w:style w:type="table" w:customStyle="1" w:styleId="10">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修订1"/>
    <w:hidden/>
    <w:uiPriority w:val="99"/>
    <w:semiHidden/>
    <w:qFormat/>
    <w:rPr>
      <w:kern w:val="2"/>
      <w:sz w:val="21"/>
      <w:szCs w:val="22"/>
    </w:rPr>
  </w:style>
  <w:style w:type="paragraph" w:customStyle="1" w:styleId="20">
    <w:name w:val="修订2"/>
    <w:hidden/>
    <w:uiPriority w:val="99"/>
    <w:semiHidden/>
    <w:qFormat/>
    <w:rPr>
      <w:kern w:val="2"/>
      <w:sz w:val="21"/>
      <w:szCs w:val="22"/>
    </w:rPr>
  </w:style>
  <w:style w:type="paragraph" w:customStyle="1" w:styleId="31">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styleId="ae">
    <w:name w:val="List Paragraph"/>
    <w:basedOn w:val="a"/>
    <w:uiPriority w:val="99"/>
    <w:qFormat/>
    <w:pPr>
      <w:ind w:firstLineChars="200" w:firstLine="420"/>
    </w:pPr>
  </w:style>
  <w:style w:type="paragraph" w:customStyle="1" w:styleId="af">
    <w:name w:val="附注三级正文"/>
    <w:basedOn w:val="a"/>
    <w:qFormat/>
    <w:pPr>
      <w:widowControl/>
      <w:tabs>
        <w:tab w:val="left" w:pos="630"/>
      </w:tabs>
      <w:adjustRightInd w:val="0"/>
      <w:snapToGrid w:val="0"/>
      <w:spacing w:line="400" w:lineRule="atLeast"/>
      <w:ind w:leftChars="600" w:left="1260"/>
      <w:jc w:val="left"/>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2930</Words>
  <Characters>340</Characters>
  <Application>Microsoft Office Word</Application>
  <DocSecurity>0</DocSecurity>
  <Lines>2</Lines>
  <Paragraphs>6</Paragraphs>
  <ScaleCrop>false</ScaleCrop>
  <Company>company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证券代码：300436           证券简称：广生堂           公告编号：2021035</dc:title>
  <dc:creator>王琴</dc:creator>
  <cp:lastModifiedBy>QH</cp:lastModifiedBy>
  <cp:revision>14</cp:revision>
  <cp:lastPrinted>2021-11-17T06:14:00Z</cp:lastPrinted>
  <dcterms:created xsi:type="dcterms:W3CDTF">2023-04-20T07:20:00Z</dcterms:created>
  <dcterms:modified xsi:type="dcterms:W3CDTF">2025-04-17T08:18:00Z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2CBFC82545164B54A3033356DCC9F01A</vt:lpwstr>
  </property>
  <property fmtid="{D5CDD505-2E9C-101B-9397-08002B2CF9AE}" pid="4" name="KSOTemplateDocerSaveRecord">
    <vt:lpwstr>eyJoZGlkIjoiY2Q4MDAzNjNiM2EwYjNjY2VkN2I2ZWY4OTg5YTA1ZWYiLCJ1c2VySWQiOiIxMzk5OTUwMzQxIn0=</vt:lpwstr>
  </property>
</Properties>
</file>