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7643" w14:textId="77777777" w:rsidR="004C71D1" w:rsidRDefault="00966BCB" w:rsidP="00931C5C">
      <w:pPr>
        <w:adjustRightInd w:val="0"/>
        <w:snapToGrid w:val="0"/>
        <w:spacing w:line="360" w:lineRule="auto"/>
        <w:rPr>
          <w:rFonts w:ascii="黑体" w:eastAsia="黑体" w:hAnsi="黑体" w:hint="eastAsia"/>
          <w:sz w:val="24"/>
        </w:rPr>
      </w:pPr>
      <w:r>
        <w:rPr>
          <w:rFonts w:ascii="黑体" w:eastAsia="黑体" w:hAnsi="黑体"/>
          <w:sz w:val="24"/>
        </w:rPr>
        <w:t>证券简称：</w:t>
      </w:r>
      <w:r>
        <w:rPr>
          <w:rFonts w:ascii="黑体" w:eastAsia="黑体" w:hAnsi="黑体" w:hint="eastAsia"/>
          <w:sz w:val="24"/>
        </w:rPr>
        <w:t>广生堂</w:t>
      </w:r>
      <w:r>
        <w:rPr>
          <w:rFonts w:ascii="黑体" w:eastAsia="黑体" w:hAnsi="黑体"/>
          <w:sz w:val="24"/>
        </w:rPr>
        <w:t xml:space="preserve">                                     证券代码：</w:t>
      </w:r>
      <w:r>
        <w:rPr>
          <w:rFonts w:eastAsia="黑体"/>
          <w:sz w:val="24"/>
        </w:rPr>
        <w:t>300436</w:t>
      </w:r>
    </w:p>
    <w:p w14:paraId="29C8CB2C" w14:textId="77777777" w:rsidR="004C71D1" w:rsidRDefault="004C71D1">
      <w:pPr>
        <w:jc w:val="center"/>
        <w:rPr>
          <w:b/>
          <w:sz w:val="24"/>
          <w:szCs w:val="22"/>
        </w:rPr>
      </w:pPr>
    </w:p>
    <w:p w14:paraId="172720DE" w14:textId="77777777" w:rsidR="004C71D1" w:rsidRDefault="004C71D1">
      <w:pPr>
        <w:jc w:val="center"/>
        <w:rPr>
          <w:rFonts w:eastAsia="黑体"/>
          <w:b/>
          <w:sz w:val="24"/>
        </w:rPr>
      </w:pPr>
    </w:p>
    <w:p w14:paraId="53249BDF" w14:textId="77777777" w:rsidR="004C71D1" w:rsidRDefault="004C71D1">
      <w:pPr>
        <w:jc w:val="center"/>
        <w:rPr>
          <w:rFonts w:eastAsia="黑体"/>
          <w:b/>
          <w:sz w:val="24"/>
        </w:rPr>
      </w:pPr>
    </w:p>
    <w:p w14:paraId="3E7C8ED5" w14:textId="77777777" w:rsidR="004C71D1" w:rsidRDefault="004C71D1">
      <w:pPr>
        <w:jc w:val="center"/>
        <w:rPr>
          <w:rFonts w:eastAsia="黑体"/>
          <w:b/>
          <w:sz w:val="24"/>
        </w:rPr>
      </w:pPr>
    </w:p>
    <w:p w14:paraId="4B804C88" w14:textId="77777777" w:rsidR="004C71D1" w:rsidRDefault="004C71D1">
      <w:pPr>
        <w:jc w:val="center"/>
        <w:rPr>
          <w:rFonts w:eastAsia="黑体"/>
          <w:b/>
          <w:sz w:val="24"/>
        </w:rPr>
      </w:pPr>
    </w:p>
    <w:p w14:paraId="1404DE5E" w14:textId="77777777" w:rsidR="004C71D1" w:rsidRDefault="004C71D1">
      <w:pPr>
        <w:jc w:val="center"/>
        <w:rPr>
          <w:rFonts w:eastAsia="黑体"/>
          <w:b/>
          <w:sz w:val="44"/>
          <w:szCs w:val="44"/>
        </w:rPr>
      </w:pPr>
    </w:p>
    <w:p w14:paraId="19D37146" w14:textId="77777777" w:rsidR="004C71D1" w:rsidRDefault="00966BCB">
      <w:pPr>
        <w:spacing w:line="360" w:lineRule="auto"/>
        <w:jc w:val="center"/>
        <w:rPr>
          <w:rFonts w:eastAsia="黑体"/>
          <w:b/>
          <w:sz w:val="44"/>
          <w:szCs w:val="44"/>
        </w:rPr>
      </w:pPr>
      <w:r>
        <w:rPr>
          <w:rFonts w:eastAsia="黑体" w:hint="eastAsia"/>
          <w:b/>
          <w:sz w:val="44"/>
          <w:szCs w:val="44"/>
        </w:rPr>
        <w:t>福建广生堂药业股份有限公司</w:t>
      </w:r>
    </w:p>
    <w:p w14:paraId="5FAD5BF3" w14:textId="77777777" w:rsidR="004C71D1" w:rsidRDefault="00966BCB">
      <w:pPr>
        <w:spacing w:line="360" w:lineRule="auto"/>
        <w:jc w:val="center"/>
        <w:rPr>
          <w:rFonts w:eastAsia="黑体" w:hAnsi="黑体" w:hint="eastAsia"/>
          <w:b/>
          <w:kern w:val="24"/>
          <w:sz w:val="32"/>
          <w:szCs w:val="30"/>
        </w:rPr>
      </w:pPr>
      <w:r>
        <w:rPr>
          <w:rFonts w:eastAsia="黑体" w:hAnsi="黑体"/>
          <w:b/>
          <w:kern w:val="24"/>
          <w:sz w:val="32"/>
          <w:szCs w:val="30"/>
        </w:rPr>
        <w:t>Fujian Cosunter Pharmaceutical Co., Ltd.</w:t>
      </w:r>
    </w:p>
    <w:p w14:paraId="18AD6B19" w14:textId="77777777" w:rsidR="004C71D1" w:rsidRDefault="00966BCB">
      <w:pPr>
        <w:spacing w:line="360" w:lineRule="auto"/>
        <w:jc w:val="center"/>
        <w:rPr>
          <w:rFonts w:eastAsia="黑体"/>
          <w:sz w:val="44"/>
          <w:szCs w:val="44"/>
        </w:rPr>
      </w:pPr>
      <w:r>
        <w:rPr>
          <w:rFonts w:eastAsia="黑体" w:hAnsi="黑体" w:hint="eastAsia"/>
          <w:sz w:val="30"/>
          <w:szCs w:val="30"/>
          <w:lang w:val="zh-CN"/>
        </w:rPr>
        <w:t>（福建省宁德市柘荣县富源工业园区</w:t>
      </w:r>
      <w:r>
        <w:rPr>
          <w:rFonts w:eastAsia="黑体" w:hAnsi="黑体" w:hint="eastAsia"/>
          <w:sz w:val="30"/>
          <w:szCs w:val="30"/>
          <w:lang w:val="zh-CN"/>
        </w:rPr>
        <w:t>1-7</w:t>
      </w:r>
      <w:r>
        <w:rPr>
          <w:rFonts w:eastAsia="黑体" w:hAnsi="黑体" w:hint="eastAsia"/>
          <w:sz w:val="30"/>
          <w:szCs w:val="30"/>
          <w:lang w:val="zh-CN"/>
        </w:rPr>
        <w:t>幢）</w:t>
      </w:r>
    </w:p>
    <w:p w14:paraId="4FF24E2F" w14:textId="77777777" w:rsidR="004C71D1" w:rsidRDefault="004C71D1">
      <w:pPr>
        <w:adjustRightInd w:val="0"/>
        <w:snapToGrid w:val="0"/>
        <w:spacing w:line="360" w:lineRule="auto"/>
        <w:jc w:val="center"/>
        <w:rPr>
          <w:rFonts w:eastAsia="楷体_GB2312"/>
          <w:b/>
          <w:sz w:val="36"/>
          <w:szCs w:val="36"/>
        </w:rPr>
      </w:pPr>
    </w:p>
    <w:p w14:paraId="1DAE5271" w14:textId="77777777" w:rsidR="004C71D1" w:rsidRDefault="00966BCB">
      <w:pPr>
        <w:adjustRightInd w:val="0"/>
        <w:snapToGrid w:val="0"/>
        <w:spacing w:line="360" w:lineRule="auto"/>
        <w:jc w:val="center"/>
        <w:rPr>
          <w:rFonts w:eastAsia="楷体_GB2312"/>
          <w:b/>
          <w:sz w:val="36"/>
          <w:szCs w:val="36"/>
        </w:rPr>
      </w:pPr>
      <w:r>
        <w:rPr>
          <w:rFonts w:eastAsia="仿宋_GB2312"/>
          <w:b/>
          <w:noProof/>
          <w:sz w:val="36"/>
          <w:szCs w:val="36"/>
        </w:rPr>
        <w:drawing>
          <wp:inline distT="0" distB="0" distL="0" distR="0" wp14:anchorId="7E3C1850" wp14:editId="627DAD78">
            <wp:extent cx="5272405" cy="5670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2405" cy="567055"/>
                    </a:xfrm>
                    <a:prstGeom prst="rect">
                      <a:avLst/>
                    </a:prstGeom>
                    <a:noFill/>
                    <a:ln>
                      <a:noFill/>
                    </a:ln>
                  </pic:spPr>
                </pic:pic>
              </a:graphicData>
            </a:graphic>
          </wp:inline>
        </w:drawing>
      </w:r>
    </w:p>
    <w:p w14:paraId="439D8C12" w14:textId="77777777" w:rsidR="004C71D1" w:rsidRDefault="004C71D1">
      <w:pPr>
        <w:adjustRightInd w:val="0"/>
        <w:snapToGrid w:val="0"/>
        <w:spacing w:line="360" w:lineRule="auto"/>
        <w:jc w:val="center"/>
        <w:rPr>
          <w:rFonts w:eastAsia="楷体_GB2312"/>
          <w:b/>
          <w:sz w:val="36"/>
          <w:szCs w:val="36"/>
        </w:rPr>
      </w:pPr>
    </w:p>
    <w:p w14:paraId="0E137246" w14:textId="77777777" w:rsidR="004C71D1" w:rsidRDefault="004C71D1">
      <w:pPr>
        <w:adjustRightInd w:val="0"/>
        <w:snapToGrid w:val="0"/>
        <w:spacing w:line="360" w:lineRule="auto"/>
        <w:jc w:val="center"/>
        <w:rPr>
          <w:rFonts w:eastAsia="黑体"/>
          <w:b/>
          <w:sz w:val="28"/>
          <w:szCs w:val="28"/>
        </w:rPr>
      </w:pPr>
    </w:p>
    <w:p w14:paraId="1B1391D7" w14:textId="77777777" w:rsidR="004C71D1" w:rsidRDefault="004C71D1">
      <w:pPr>
        <w:adjustRightInd w:val="0"/>
        <w:snapToGrid w:val="0"/>
        <w:spacing w:line="360" w:lineRule="auto"/>
        <w:jc w:val="center"/>
        <w:rPr>
          <w:rFonts w:eastAsia="黑体"/>
          <w:b/>
          <w:sz w:val="28"/>
          <w:szCs w:val="28"/>
        </w:rPr>
      </w:pPr>
    </w:p>
    <w:p w14:paraId="58CEB79A" w14:textId="10E85152" w:rsidR="004C71D1" w:rsidRDefault="00966BCB">
      <w:pPr>
        <w:spacing w:line="360" w:lineRule="auto"/>
        <w:jc w:val="center"/>
        <w:rPr>
          <w:rFonts w:eastAsia="黑体"/>
          <w:b/>
          <w:sz w:val="44"/>
          <w:szCs w:val="44"/>
        </w:rPr>
      </w:pPr>
      <w:r>
        <w:rPr>
          <w:rFonts w:eastAsia="黑体"/>
          <w:b/>
          <w:sz w:val="44"/>
          <w:szCs w:val="44"/>
        </w:rPr>
        <w:t>202</w:t>
      </w:r>
      <w:r w:rsidR="00C57140">
        <w:rPr>
          <w:rFonts w:eastAsia="黑体" w:hint="eastAsia"/>
          <w:b/>
          <w:sz w:val="44"/>
          <w:szCs w:val="44"/>
        </w:rPr>
        <w:t>5</w:t>
      </w:r>
      <w:r>
        <w:rPr>
          <w:rFonts w:eastAsia="黑体" w:hint="eastAsia"/>
          <w:b/>
          <w:sz w:val="44"/>
          <w:szCs w:val="44"/>
        </w:rPr>
        <w:t>年度</w:t>
      </w:r>
      <w:r>
        <w:rPr>
          <w:rFonts w:eastAsia="黑体"/>
          <w:b/>
          <w:sz w:val="44"/>
          <w:szCs w:val="44"/>
        </w:rPr>
        <w:t>向特定对象发行</w:t>
      </w:r>
      <w:r>
        <w:rPr>
          <w:rFonts w:eastAsia="黑体" w:hint="eastAsia"/>
          <w:b/>
          <w:sz w:val="44"/>
          <w:szCs w:val="44"/>
        </w:rPr>
        <w:t>A</w:t>
      </w:r>
      <w:r>
        <w:rPr>
          <w:rFonts w:eastAsia="黑体" w:hint="eastAsia"/>
          <w:b/>
          <w:sz w:val="44"/>
          <w:szCs w:val="44"/>
        </w:rPr>
        <w:t>股</w:t>
      </w:r>
      <w:r>
        <w:rPr>
          <w:rFonts w:eastAsia="黑体"/>
          <w:b/>
          <w:sz w:val="44"/>
          <w:szCs w:val="44"/>
        </w:rPr>
        <w:t>股票</w:t>
      </w:r>
      <w:r>
        <w:rPr>
          <w:rFonts w:eastAsia="黑体" w:hint="eastAsia"/>
          <w:b/>
          <w:sz w:val="44"/>
          <w:szCs w:val="44"/>
        </w:rPr>
        <w:t>方案</w:t>
      </w:r>
    </w:p>
    <w:p w14:paraId="0D666843" w14:textId="77777777" w:rsidR="004C71D1" w:rsidRDefault="00966BCB">
      <w:pPr>
        <w:spacing w:line="360" w:lineRule="auto"/>
        <w:jc w:val="center"/>
        <w:rPr>
          <w:rFonts w:eastAsia="黑体"/>
          <w:b/>
          <w:sz w:val="44"/>
          <w:szCs w:val="44"/>
        </w:rPr>
      </w:pPr>
      <w:r>
        <w:rPr>
          <w:rFonts w:eastAsia="黑体" w:hint="eastAsia"/>
          <w:b/>
          <w:sz w:val="44"/>
          <w:szCs w:val="44"/>
        </w:rPr>
        <w:t>论证分析报告</w:t>
      </w:r>
    </w:p>
    <w:p w14:paraId="2CBA9999" w14:textId="77777777" w:rsidR="004C71D1" w:rsidRDefault="004C71D1">
      <w:pPr>
        <w:adjustRightInd w:val="0"/>
        <w:snapToGrid w:val="0"/>
        <w:spacing w:line="360" w:lineRule="auto"/>
        <w:jc w:val="center"/>
        <w:rPr>
          <w:rFonts w:eastAsia="黑体"/>
          <w:b/>
          <w:sz w:val="28"/>
          <w:szCs w:val="28"/>
        </w:rPr>
      </w:pPr>
    </w:p>
    <w:p w14:paraId="0DA35276" w14:textId="77777777" w:rsidR="004C71D1" w:rsidRDefault="004C71D1">
      <w:pPr>
        <w:adjustRightInd w:val="0"/>
        <w:snapToGrid w:val="0"/>
        <w:spacing w:line="360" w:lineRule="auto"/>
        <w:jc w:val="center"/>
        <w:rPr>
          <w:rFonts w:eastAsia="黑体"/>
          <w:b/>
          <w:sz w:val="28"/>
          <w:szCs w:val="28"/>
        </w:rPr>
      </w:pPr>
    </w:p>
    <w:p w14:paraId="4D9F1E1B" w14:textId="77777777" w:rsidR="004C71D1" w:rsidRDefault="004C71D1">
      <w:pPr>
        <w:adjustRightInd w:val="0"/>
        <w:snapToGrid w:val="0"/>
        <w:spacing w:line="360" w:lineRule="auto"/>
        <w:jc w:val="center"/>
        <w:rPr>
          <w:rFonts w:eastAsia="黑体"/>
          <w:b/>
          <w:sz w:val="28"/>
          <w:szCs w:val="28"/>
        </w:rPr>
      </w:pPr>
    </w:p>
    <w:p w14:paraId="6C52D636" w14:textId="77777777" w:rsidR="004C71D1" w:rsidRDefault="004C71D1">
      <w:pPr>
        <w:adjustRightInd w:val="0"/>
        <w:snapToGrid w:val="0"/>
        <w:spacing w:line="360" w:lineRule="auto"/>
        <w:jc w:val="center"/>
        <w:rPr>
          <w:rFonts w:eastAsia="黑体"/>
          <w:b/>
          <w:sz w:val="28"/>
          <w:szCs w:val="28"/>
        </w:rPr>
      </w:pPr>
    </w:p>
    <w:p w14:paraId="40F0BEBE" w14:textId="77777777" w:rsidR="004C71D1" w:rsidRDefault="004C71D1">
      <w:pPr>
        <w:adjustRightInd w:val="0"/>
        <w:snapToGrid w:val="0"/>
        <w:spacing w:line="360" w:lineRule="auto"/>
        <w:jc w:val="center"/>
        <w:rPr>
          <w:rFonts w:eastAsia="黑体"/>
          <w:b/>
          <w:sz w:val="28"/>
          <w:szCs w:val="28"/>
        </w:rPr>
      </w:pPr>
    </w:p>
    <w:p w14:paraId="6ED252DE" w14:textId="77777777" w:rsidR="004C71D1" w:rsidRPr="00525BD9" w:rsidRDefault="004C71D1">
      <w:pPr>
        <w:adjustRightInd w:val="0"/>
        <w:snapToGrid w:val="0"/>
        <w:spacing w:line="360" w:lineRule="auto"/>
        <w:jc w:val="center"/>
        <w:rPr>
          <w:rFonts w:eastAsia="黑体"/>
          <w:b/>
          <w:sz w:val="28"/>
          <w:szCs w:val="28"/>
        </w:rPr>
      </w:pPr>
    </w:p>
    <w:p w14:paraId="15C1F24E" w14:textId="55F512E3" w:rsidR="004C71D1" w:rsidRDefault="00966BCB">
      <w:pPr>
        <w:adjustRightInd w:val="0"/>
        <w:snapToGrid w:val="0"/>
        <w:spacing w:line="360" w:lineRule="auto"/>
        <w:jc w:val="center"/>
        <w:rPr>
          <w:rFonts w:eastAsia="黑体"/>
          <w:b/>
          <w:sz w:val="28"/>
          <w:szCs w:val="28"/>
        </w:rPr>
        <w:sectPr w:rsidR="004C71D1" w:rsidSect="006514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547" w:gutter="0"/>
          <w:pgNumType w:start="1"/>
          <w:cols w:space="720"/>
          <w:titlePg/>
          <w:docGrid w:linePitch="381"/>
        </w:sectPr>
      </w:pPr>
      <w:r>
        <w:rPr>
          <w:rFonts w:eastAsia="黑体"/>
          <w:b/>
          <w:sz w:val="28"/>
          <w:szCs w:val="28"/>
        </w:rPr>
        <w:t>二〇</w:t>
      </w:r>
      <w:r>
        <w:rPr>
          <w:rFonts w:eastAsia="黑体" w:hint="eastAsia"/>
          <w:b/>
          <w:sz w:val="28"/>
          <w:szCs w:val="28"/>
        </w:rPr>
        <w:t>二</w:t>
      </w:r>
      <w:r w:rsidR="00C57140">
        <w:rPr>
          <w:rFonts w:eastAsia="黑体" w:hint="eastAsia"/>
          <w:b/>
          <w:sz w:val="28"/>
          <w:szCs w:val="28"/>
        </w:rPr>
        <w:t>五</w:t>
      </w:r>
      <w:r>
        <w:rPr>
          <w:rFonts w:eastAsia="黑体"/>
          <w:b/>
          <w:sz w:val="28"/>
          <w:szCs w:val="28"/>
        </w:rPr>
        <w:t>年</w:t>
      </w:r>
      <w:r w:rsidR="00466A5C" w:rsidRPr="00B05829">
        <w:rPr>
          <w:rFonts w:eastAsia="黑体" w:hint="eastAsia"/>
          <w:b/>
          <w:sz w:val="28"/>
          <w:szCs w:val="28"/>
        </w:rPr>
        <w:t>四</w:t>
      </w:r>
      <w:r>
        <w:rPr>
          <w:rFonts w:eastAsia="黑体"/>
          <w:b/>
          <w:sz w:val="28"/>
          <w:szCs w:val="28"/>
        </w:rPr>
        <w:t>月</w:t>
      </w:r>
    </w:p>
    <w:p w14:paraId="168EE9B5" w14:textId="076BA3F6" w:rsidR="00CD5AD1" w:rsidRPr="00CD5AD1" w:rsidRDefault="00966BCB" w:rsidP="00776135">
      <w:pPr>
        <w:pStyle w:val="a0"/>
        <w:adjustRightInd w:val="0"/>
        <w:spacing w:before="156" w:afterLines="50" w:after="156"/>
        <w:ind w:firstLine="480"/>
        <w:rPr>
          <w:rFonts w:ascii="宋体" w:hAnsi="宋体" w:cs="宋体" w:hint="eastAsia"/>
          <w:noProof/>
          <w:snapToGrid w:val="0"/>
          <w:color w:val="000000"/>
          <w:kern w:val="0"/>
        </w:rPr>
      </w:pPr>
      <w:r>
        <w:rPr>
          <w:rFonts w:hint="eastAsia"/>
        </w:rPr>
        <w:lastRenderedPageBreak/>
        <w:t>福建广生堂药业股份有限公司（以下简称“广生堂”或“公司”）是在深圳证券交易所创业板上市的公司。为满足公司业务发展的资金需求，进一步增强公司资本实力及盈利能力，根据《公司法》《证券法》</w:t>
      </w:r>
      <w:r w:rsidR="00DC4F4A">
        <w:rPr>
          <w:rFonts w:hint="eastAsia"/>
        </w:rPr>
        <w:t>《注册管理办法》</w:t>
      </w:r>
      <w:r>
        <w:rPr>
          <w:rFonts w:hint="eastAsia"/>
        </w:rPr>
        <w:t>等有关法律、法规和规范性文件的规定，公司拟向特定对象发行</w:t>
      </w:r>
      <w:r>
        <w:rPr>
          <w:rFonts w:hint="eastAsia"/>
        </w:rPr>
        <w:t>A</w:t>
      </w:r>
      <w:r>
        <w:rPr>
          <w:rFonts w:hint="eastAsia"/>
        </w:rPr>
        <w:t>股股票，</w:t>
      </w:r>
      <w:r w:rsidRPr="009B5B0F">
        <w:rPr>
          <w:rFonts w:hint="eastAsia"/>
        </w:rPr>
        <w:t>募集资金总额</w:t>
      </w:r>
      <w:r w:rsidR="009B5B0F" w:rsidRPr="009B5B0F">
        <w:rPr>
          <w:rFonts w:hint="eastAsia"/>
        </w:rPr>
        <w:t>不超过</w:t>
      </w:r>
      <w:r w:rsidR="00FE0D06">
        <w:rPr>
          <w:rFonts w:eastAsiaTheme="minorEastAsia" w:hint="eastAsia"/>
          <w:noProof/>
          <w:snapToGrid w:val="0"/>
          <w:color w:val="000000"/>
          <w:spacing w:val="-2"/>
          <w:kern w:val="0"/>
        </w:rPr>
        <w:t>97,686.65</w:t>
      </w:r>
      <w:r w:rsidR="00CD5AD1" w:rsidRPr="009B5B0F">
        <w:rPr>
          <w:rFonts w:hint="eastAsia"/>
        </w:rPr>
        <w:t>万元</w:t>
      </w:r>
      <w:r w:rsidR="009B5B0F" w:rsidRPr="009B5B0F">
        <w:rPr>
          <w:rFonts w:hint="eastAsia"/>
        </w:rPr>
        <w:t>（含本数）</w:t>
      </w:r>
      <w:r w:rsidRPr="009B5B0F">
        <w:rPr>
          <w:rFonts w:hint="eastAsia"/>
        </w:rPr>
        <w:t>，</w:t>
      </w:r>
      <w:r w:rsidRPr="009B5B0F">
        <w:t>扣除发行费用后</w:t>
      </w:r>
      <w:r w:rsidRPr="009B5B0F">
        <w:rPr>
          <w:rFonts w:hint="eastAsia"/>
        </w:rPr>
        <w:t>全部用于以下项目：</w:t>
      </w:r>
    </w:p>
    <w:p w14:paraId="03A8747D" w14:textId="77777777" w:rsidR="00CD5AD1" w:rsidRPr="00CD5AD1" w:rsidRDefault="00CD5AD1" w:rsidP="00EF18C7">
      <w:pPr>
        <w:spacing w:beforeLines="50" w:before="156" w:afterLines="50" w:after="156"/>
        <w:jc w:val="right"/>
        <w:rPr>
          <w:szCs w:val="21"/>
        </w:rPr>
      </w:pPr>
      <w:bookmarkStart w:id="0" w:name="_Hlk192274778"/>
      <w:r w:rsidRPr="00CD5AD1">
        <w:rPr>
          <w:rFonts w:hint="eastAsia"/>
          <w:szCs w:val="21"/>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378"/>
        <w:gridCol w:w="1577"/>
        <w:gridCol w:w="1576"/>
        <w:gridCol w:w="1913"/>
      </w:tblGrid>
      <w:tr w:rsidR="00CD5AD1" w:rsidRPr="00CD5AD1" w14:paraId="7605F031" w14:textId="77777777" w:rsidTr="0088547F">
        <w:trPr>
          <w:trHeight w:val="397"/>
          <w:tblHeader/>
          <w:jc w:val="center"/>
        </w:trPr>
        <w:tc>
          <w:tcPr>
            <w:tcW w:w="2000" w:type="pct"/>
            <w:shd w:val="clear" w:color="auto" w:fill="FFFFFF"/>
            <w:tcMar>
              <w:top w:w="0" w:type="dxa"/>
              <w:left w:w="30" w:type="dxa"/>
              <w:bottom w:w="0" w:type="dxa"/>
              <w:right w:w="30" w:type="dxa"/>
            </w:tcMar>
            <w:vAlign w:val="center"/>
          </w:tcPr>
          <w:p w14:paraId="70898792" w14:textId="77777777" w:rsidR="00CD5AD1" w:rsidRPr="00CD5AD1" w:rsidRDefault="00CD5AD1" w:rsidP="00CD5AD1">
            <w:pPr>
              <w:keepNext/>
              <w:jc w:val="center"/>
              <w:rPr>
                <w:b/>
                <w:szCs w:val="21"/>
              </w:rPr>
            </w:pPr>
            <w:r w:rsidRPr="00CD5AD1">
              <w:rPr>
                <w:b/>
                <w:szCs w:val="21"/>
              </w:rPr>
              <w:t>项目名称</w:t>
            </w:r>
          </w:p>
        </w:tc>
        <w:tc>
          <w:tcPr>
            <w:tcW w:w="934" w:type="pct"/>
            <w:shd w:val="clear" w:color="auto" w:fill="FFFFFF"/>
            <w:tcMar>
              <w:top w:w="0" w:type="dxa"/>
              <w:left w:w="30" w:type="dxa"/>
              <w:bottom w:w="0" w:type="dxa"/>
              <w:right w:w="30" w:type="dxa"/>
            </w:tcMar>
            <w:vAlign w:val="center"/>
          </w:tcPr>
          <w:p w14:paraId="6722D3AA" w14:textId="77777777" w:rsidR="00CD5AD1" w:rsidRPr="00CD5AD1" w:rsidRDefault="00CD5AD1" w:rsidP="00CD5AD1">
            <w:pPr>
              <w:keepNext/>
              <w:jc w:val="center"/>
              <w:rPr>
                <w:b/>
                <w:szCs w:val="21"/>
              </w:rPr>
            </w:pPr>
            <w:r w:rsidRPr="00CD5AD1">
              <w:rPr>
                <w:b/>
                <w:szCs w:val="21"/>
              </w:rPr>
              <w:t>投资金额</w:t>
            </w:r>
          </w:p>
        </w:tc>
        <w:tc>
          <w:tcPr>
            <w:tcW w:w="933" w:type="pct"/>
            <w:shd w:val="clear" w:color="auto" w:fill="FFFFFF"/>
            <w:tcMar>
              <w:top w:w="0" w:type="dxa"/>
              <w:left w:w="30" w:type="dxa"/>
              <w:bottom w:w="0" w:type="dxa"/>
              <w:right w:w="30" w:type="dxa"/>
            </w:tcMar>
            <w:vAlign w:val="center"/>
          </w:tcPr>
          <w:p w14:paraId="3E1F02B1" w14:textId="77777777" w:rsidR="00CD5AD1" w:rsidRPr="00CD5AD1" w:rsidRDefault="00CD5AD1" w:rsidP="00CD5AD1">
            <w:pPr>
              <w:keepNext/>
              <w:jc w:val="center"/>
              <w:rPr>
                <w:b/>
                <w:szCs w:val="21"/>
              </w:rPr>
            </w:pPr>
            <w:r w:rsidRPr="00CD5AD1">
              <w:rPr>
                <w:b/>
                <w:szCs w:val="21"/>
              </w:rPr>
              <w:t>拟使用募集资金金额</w:t>
            </w:r>
          </w:p>
        </w:tc>
        <w:tc>
          <w:tcPr>
            <w:tcW w:w="1133" w:type="pct"/>
            <w:shd w:val="clear" w:color="auto" w:fill="FFFFFF"/>
            <w:vAlign w:val="center"/>
          </w:tcPr>
          <w:p w14:paraId="46B70349" w14:textId="77777777" w:rsidR="00CD5AD1" w:rsidRPr="00CD5AD1" w:rsidRDefault="00CD5AD1" w:rsidP="00CD5AD1">
            <w:pPr>
              <w:keepNext/>
              <w:jc w:val="center"/>
              <w:rPr>
                <w:b/>
                <w:szCs w:val="21"/>
              </w:rPr>
            </w:pPr>
            <w:r w:rsidRPr="00CD5AD1">
              <w:rPr>
                <w:b/>
                <w:szCs w:val="21"/>
              </w:rPr>
              <w:t>募集资金是否属于资本化阶段</w:t>
            </w:r>
          </w:p>
        </w:tc>
      </w:tr>
      <w:tr w:rsidR="00CD5AD1" w:rsidRPr="00CD5AD1" w14:paraId="79ECE6A6" w14:textId="77777777" w:rsidTr="0088547F">
        <w:trPr>
          <w:trHeight w:val="397"/>
          <w:jc w:val="center"/>
        </w:trPr>
        <w:tc>
          <w:tcPr>
            <w:tcW w:w="2000" w:type="pct"/>
            <w:shd w:val="clear" w:color="auto" w:fill="FFFFFF"/>
            <w:tcMar>
              <w:top w:w="0" w:type="dxa"/>
              <w:left w:w="30" w:type="dxa"/>
              <w:bottom w:w="0" w:type="dxa"/>
              <w:right w:w="30" w:type="dxa"/>
            </w:tcMar>
            <w:vAlign w:val="center"/>
          </w:tcPr>
          <w:p w14:paraId="5CDC7E7C" w14:textId="77777777" w:rsidR="00CD5AD1" w:rsidRPr="00CD5AD1" w:rsidRDefault="00CD5AD1" w:rsidP="00CD5AD1">
            <w:pPr>
              <w:rPr>
                <w:b/>
                <w:bCs/>
                <w:szCs w:val="21"/>
              </w:rPr>
            </w:pPr>
            <w:r w:rsidRPr="00CD5AD1">
              <w:rPr>
                <w:rFonts w:hint="eastAsia"/>
                <w:b/>
                <w:bCs/>
                <w:szCs w:val="21"/>
              </w:rPr>
              <w:t>一、创新药研发项目</w:t>
            </w:r>
          </w:p>
        </w:tc>
        <w:tc>
          <w:tcPr>
            <w:tcW w:w="934" w:type="pct"/>
            <w:shd w:val="clear" w:color="auto" w:fill="FFFFFF"/>
            <w:tcMar>
              <w:top w:w="0" w:type="dxa"/>
              <w:left w:w="30" w:type="dxa"/>
              <w:bottom w:w="0" w:type="dxa"/>
              <w:right w:w="30" w:type="dxa"/>
            </w:tcMar>
            <w:vAlign w:val="center"/>
          </w:tcPr>
          <w:p w14:paraId="11ED5076" w14:textId="77777777" w:rsidR="00CD5AD1" w:rsidRPr="00CD5AD1" w:rsidRDefault="00CD5AD1" w:rsidP="00CD5AD1">
            <w:pPr>
              <w:jc w:val="right"/>
              <w:rPr>
                <w:szCs w:val="21"/>
              </w:rPr>
            </w:pPr>
            <w:r w:rsidRPr="00CD5AD1">
              <w:rPr>
                <w:rFonts w:hint="eastAsia"/>
                <w:szCs w:val="21"/>
              </w:rPr>
              <w:t>63,100.60</w:t>
            </w:r>
          </w:p>
        </w:tc>
        <w:tc>
          <w:tcPr>
            <w:tcW w:w="933" w:type="pct"/>
            <w:shd w:val="clear" w:color="auto" w:fill="FFFFFF"/>
            <w:tcMar>
              <w:top w:w="0" w:type="dxa"/>
              <w:left w:w="30" w:type="dxa"/>
              <w:bottom w:w="0" w:type="dxa"/>
              <w:right w:w="30" w:type="dxa"/>
            </w:tcMar>
            <w:vAlign w:val="center"/>
          </w:tcPr>
          <w:p w14:paraId="58348A8B" w14:textId="77777777" w:rsidR="00CD5AD1" w:rsidRPr="00CD5AD1" w:rsidRDefault="00CD5AD1" w:rsidP="00CD5AD1">
            <w:pPr>
              <w:jc w:val="right"/>
              <w:rPr>
                <w:szCs w:val="21"/>
              </w:rPr>
            </w:pPr>
            <w:r w:rsidRPr="00CD5AD1">
              <w:rPr>
                <w:rFonts w:hint="eastAsia"/>
                <w:szCs w:val="21"/>
              </w:rPr>
              <w:t>59,837.60</w:t>
            </w:r>
          </w:p>
        </w:tc>
        <w:tc>
          <w:tcPr>
            <w:tcW w:w="1133" w:type="pct"/>
            <w:shd w:val="clear" w:color="auto" w:fill="FFFFFF"/>
            <w:vAlign w:val="center"/>
          </w:tcPr>
          <w:p w14:paraId="72B3E1DE" w14:textId="77777777" w:rsidR="00CD5AD1" w:rsidRPr="00CD5AD1" w:rsidRDefault="00CD5AD1" w:rsidP="00CD5AD1">
            <w:pPr>
              <w:jc w:val="center"/>
              <w:rPr>
                <w:szCs w:val="21"/>
              </w:rPr>
            </w:pPr>
            <w:r w:rsidRPr="00CD5AD1">
              <w:rPr>
                <w:rFonts w:hint="eastAsia"/>
                <w:szCs w:val="21"/>
              </w:rPr>
              <w:t>是</w:t>
            </w:r>
          </w:p>
        </w:tc>
      </w:tr>
      <w:tr w:rsidR="00CD5AD1" w:rsidRPr="00CD5AD1" w14:paraId="419A3511" w14:textId="77777777" w:rsidTr="0088547F">
        <w:trPr>
          <w:trHeight w:val="397"/>
          <w:jc w:val="center"/>
        </w:trPr>
        <w:tc>
          <w:tcPr>
            <w:tcW w:w="2000" w:type="pct"/>
            <w:shd w:val="clear" w:color="auto" w:fill="FFFFFF"/>
            <w:tcMar>
              <w:top w:w="0" w:type="dxa"/>
              <w:left w:w="30" w:type="dxa"/>
              <w:bottom w:w="0" w:type="dxa"/>
              <w:right w:w="30" w:type="dxa"/>
            </w:tcMar>
            <w:vAlign w:val="center"/>
          </w:tcPr>
          <w:p w14:paraId="105968D1" w14:textId="77777777" w:rsidR="00CD5AD1" w:rsidRPr="00CD5AD1" w:rsidRDefault="00CD5AD1" w:rsidP="00CD5AD1">
            <w:pPr>
              <w:rPr>
                <w:b/>
                <w:bCs/>
                <w:szCs w:val="21"/>
              </w:rPr>
            </w:pPr>
            <w:r w:rsidRPr="00CD5AD1">
              <w:rPr>
                <w:rFonts w:hint="eastAsia"/>
                <w:b/>
                <w:bCs/>
                <w:szCs w:val="21"/>
              </w:rPr>
              <w:t>二、中药传统名方产业化项目</w:t>
            </w:r>
          </w:p>
        </w:tc>
        <w:tc>
          <w:tcPr>
            <w:tcW w:w="934" w:type="pct"/>
            <w:shd w:val="clear" w:color="auto" w:fill="FFFFFF"/>
            <w:tcMar>
              <w:top w:w="0" w:type="dxa"/>
              <w:left w:w="30" w:type="dxa"/>
              <w:bottom w:w="0" w:type="dxa"/>
              <w:right w:w="30" w:type="dxa"/>
            </w:tcMar>
            <w:vAlign w:val="center"/>
          </w:tcPr>
          <w:p w14:paraId="5116CCCD" w14:textId="77777777" w:rsidR="00CD5AD1" w:rsidRPr="00CD5AD1" w:rsidRDefault="00CD5AD1" w:rsidP="00CD5AD1">
            <w:pPr>
              <w:jc w:val="right"/>
              <w:rPr>
                <w:szCs w:val="21"/>
              </w:rPr>
            </w:pPr>
            <w:r w:rsidRPr="00CD5AD1">
              <w:rPr>
                <w:szCs w:val="21"/>
              </w:rPr>
              <w:t>10,525.29</w:t>
            </w:r>
          </w:p>
        </w:tc>
        <w:tc>
          <w:tcPr>
            <w:tcW w:w="933" w:type="pct"/>
            <w:shd w:val="clear" w:color="auto" w:fill="FFFFFF"/>
            <w:tcMar>
              <w:top w:w="0" w:type="dxa"/>
              <w:left w:w="30" w:type="dxa"/>
              <w:bottom w:w="0" w:type="dxa"/>
              <w:right w:w="30" w:type="dxa"/>
            </w:tcMar>
            <w:vAlign w:val="center"/>
          </w:tcPr>
          <w:p w14:paraId="72BBBB1F" w14:textId="477DD45B" w:rsidR="00CD5AD1" w:rsidRPr="00CD5AD1" w:rsidRDefault="00FE0D06" w:rsidP="00CD5AD1">
            <w:pPr>
              <w:jc w:val="right"/>
              <w:rPr>
                <w:szCs w:val="21"/>
              </w:rPr>
            </w:pPr>
            <w:r>
              <w:rPr>
                <w:rFonts w:hint="eastAsia"/>
                <w:szCs w:val="21"/>
              </w:rPr>
              <w:t>8,849.05</w:t>
            </w:r>
          </w:p>
        </w:tc>
        <w:tc>
          <w:tcPr>
            <w:tcW w:w="1133" w:type="pct"/>
            <w:shd w:val="clear" w:color="auto" w:fill="FFFFFF"/>
            <w:vAlign w:val="center"/>
          </w:tcPr>
          <w:p w14:paraId="27068E9F" w14:textId="77777777" w:rsidR="00CD5AD1" w:rsidRPr="00CD5AD1" w:rsidRDefault="00CD5AD1" w:rsidP="00CD5AD1">
            <w:pPr>
              <w:jc w:val="center"/>
              <w:rPr>
                <w:szCs w:val="21"/>
              </w:rPr>
            </w:pPr>
            <w:r w:rsidRPr="00CD5AD1">
              <w:rPr>
                <w:szCs w:val="21"/>
              </w:rPr>
              <w:t>是</w:t>
            </w:r>
          </w:p>
        </w:tc>
      </w:tr>
      <w:tr w:rsidR="00CD5AD1" w:rsidRPr="00CD5AD1" w14:paraId="11FEEEBB" w14:textId="77777777" w:rsidTr="0088547F">
        <w:trPr>
          <w:trHeight w:val="397"/>
          <w:jc w:val="center"/>
        </w:trPr>
        <w:tc>
          <w:tcPr>
            <w:tcW w:w="2000" w:type="pct"/>
            <w:shd w:val="clear" w:color="auto" w:fill="FFFFFF"/>
            <w:tcMar>
              <w:top w:w="0" w:type="dxa"/>
              <w:left w:w="30" w:type="dxa"/>
              <w:bottom w:w="0" w:type="dxa"/>
              <w:right w:w="30" w:type="dxa"/>
            </w:tcMar>
            <w:vAlign w:val="center"/>
          </w:tcPr>
          <w:p w14:paraId="53F295B5" w14:textId="77777777" w:rsidR="00CD5AD1" w:rsidRPr="00CD5AD1" w:rsidRDefault="00CD5AD1" w:rsidP="00CD5AD1">
            <w:pPr>
              <w:rPr>
                <w:b/>
                <w:bCs/>
                <w:szCs w:val="21"/>
              </w:rPr>
            </w:pPr>
            <w:r w:rsidRPr="00CD5AD1">
              <w:rPr>
                <w:rFonts w:hint="eastAsia"/>
                <w:b/>
                <w:bCs/>
                <w:szCs w:val="21"/>
              </w:rPr>
              <w:t>三、</w:t>
            </w:r>
            <w:r w:rsidRPr="00CD5AD1">
              <w:rPr>
                <w:b/>
                <w:bCs/>
                <w:szCs w:val="21"/>
              </w:rPr>
              <w:t>补充流动资金</w:t>
            </w:r>
          </w:p>
        </w:tc>
        <w:tc>
          <w:tcPr>
            <w:tcW w:w="934" w:type="pct"/>
            <w:shd w:val="clear" w:color="auto" w:fill="FFFFFF"/>
            <w:tcMar>
              <w:top w:w="0" w:type="dxa"/>
              <w:left w:w="30" w:type="dxa"/>
              <w:bottom w:w="0" w:type="dxa"/>
              <w:right w:w="30" w:type="dxa"/>
            </w:tcMar>
            <w:vAlign w:val="center"/>
          </w:tcPr>
          <w:p w14:paraId="1C661400" w14:textId="77777777" w:rsidR="00CD5AD1" w:rsidRPr="00CD5AD1" w:rsidRDefault="00CD5AD1" w:rsidP="00CD5AD1">
            <w:pPr>
              <w:jc w:val="right"/>
              <w:rPr>
                <w:szCs w:val="21"/>
              </w:rPr>
            </w:pPr>
            <w:r w:rsidRPr="00CD5AD1">
              <w:rPr>
                <w:szCs w:val="21"/>
              </w:rPr>
              <w:t>2</w:t>
            </w:r>
            <w:r w:rsidRPr="00CD5AD1">
              <w:rPr>
                <w:rFonts w:hint="eastAsia"/>
                <w:szCs w:val="21"/>
              </w:rPr>
              <w:t>9</w:t>
            </w:r>
            <w:r w:rsidRPr="00CD5AD1">
              <w:rPr>
                <w:szCs w:val="21"/>
              </w:rPr>
              <w:t>,000.00</w:t>
            </w:r>
          </w:p>
        </w:tc>
        <w:tc>
          <w:tcPr>
            <w:tcW w:w="933" w:type="pct"/>
            <w:shd w:val="clear" w:color="auto" w:fill="FFFFFF"/>
            <w:tcMar>
              <w:top w:w="0" w:type="dxa"/>
              <w:left w:w="30" w:type="dxa"/>
              <w:bottom w:w="0" w:type="dxa"/>
              <w:right w:w="30" w:type="dxa"/>
            </w:tcMar>
            <w:vAlign w:val="center"/>
          </w:tcPr>
          <w:p w14:paraId="131A1646" w14:textId="77777777" w:rsidR="00CD5AD1" w:rsidRPr="00CD5AD1" w:rsidRDefault="00CD5AD1" w:rsidP="00CD5AD1">
            <w:pPr>
              <w:jc w:val="right"/>
              <w:rPr>
                <w:szCs w:val="21"/>
              </w:rPr>
            </w:pPr>
            <w:r w:rsidRPr="00CD5AD1">
              <w:rPr>
                <w:szCs w:val="21"/>
              </w:rPr>
              <w:t>2</w:t>
            </w:r>
            <w:r w:rsidRPr="00CD5AD1">
              <w:rPr>
                <w:rFonts w:hint="eastAsia"/>
                <w:szCs w:val="21"/>
              </w:rPr>
              <w:t>9</w:t>
            </w:r>
            <w:r w:rsidRPr="00CD5AD1">
              <w:rPr>
                <w:szCs w:val="21"/>
              </w:rPr>
              <w:t>,000.00</w:t>
            </w:r>
          </w:p>
        </w:tc>
        <w:tc>
          <w:tcPr>
            <w:tcW w:w="1133" w:type="pct"/>
            <w:shd w:val="clear" w:color="auto" w:fill="FFFFFF"/>
            <w:vAlign w:val="center"/>
          </w:tcPr>
          <w:p w14:paraId="6AD53FD6" w14:textId="77777777" w:rsidR="00CD5AD1" w:rsidRPr="00CD5AD1" w:rsidRDefault="00CD5AD1" w:rsidP="00CD5AD1">
            <w:pPr>
              <w:jc w:val="center"/>
              <w:rPr>
                <w:szCs w:val="21"/>
              </w:rPr>
            </w:pPr>
            <w:r w:rsidRPr="00CD5AD1">
              <w:rPr>
                <w:szCs w:val="21"/>
              </w:rPr>
              <w:t>否</w:t>
            </w:r>
          </w:p>
        </w:tc>
      </w:tr>
      <w:tr w:rsidR="00CD5AD1" w:rsidRPr="00CD5AD1" w14:paraId="142A7377" w14:textId="77777777" w:rsidTr="0088547F">
        <w:trPr>
          <w:trHeight w:val="397"/>
          <w:jc w:val="center"/>
        </w:trPr>
        <w:tc>
          <w:tcPr>
            <w:tcW w:w="2000" w:type="pct"/>
            <w:shd w:val="clear" w:color="auto" w:fill="FFFFFF"/>
            <w:vAlign w:val="center"/>
          </w:tcPr>
          <w:p w14:paraId="7C192451" w14:textId="77777777" w:rsidR="00CD5AD1" w:rsidRPr="00CD5AD1" w:rsidRDefault="00CD5AD1" w:rsidP="00CD5AD1">
            <w:pPr>
              <w:jc w:val="center"/>
              <w:rPr>
                <w:b/>
                <w:szCs w:val="21"/>
              </w:rPr>
            </w:pPr>
            <w:r w:rsidRPr="00CD5AD1">
              <w:rPr>
                <w:b/>
                <w:szCs w:val="21"/>
              </w:rPr>
              <w:t>合计：</w:t>
            </w:r>
          </w:p>
        </w:tc>
        <w:tc>
          <w:tcPr>
            <w:tcW w:w="934" w:type="pct"/>
            <w:shd w:val="clear" w:color="auto" w:fill="FFFFFF"/>
            <w:tcMar>
              <w:top w:w="0" w:type="dxa"/>
              <w:left w:w="30" w:type="dxa"/>
              <w:bottom w:w="0" w:type="dxa"/>
              <w:right w:w="30" w:type="dxa"/>
            </w:tcMar>
            <w:vAlign w:val="center"/>
          </w:tcPr>
          <w:p w14:paraId="6B9333F4" w14:textId="77777777" w:rsidR="00CD5AD1" w:rsidRPr="00CD5AD1" w:rsidRDefault="00CD5AD1" w:rsidP="00CD5AD1">
            <w:pPr>
              <w:jc w:val="right"/>
              <w:rPr>
                <w:b/>
                <w:bCs/>
                <w:szCs w:val="21"/>
              </w:rPr>
            </w:pPr>
            <w:r w:rsidRPr="00CD5AD1">
              <w:rPr>
                <w:b/>
                <w:bCs/>
                <w:szCs w:val="21"/>
              </w:rPr>
              <w:t>102,625.89</w:t>
            </w:r>
          </w:p>
        </w:tc>
        <w:tc>
          <w:tcPr>
            <w:tcW w:w="933" w:type="pct"/>
            <w:shd w:val="clear" w:color="auto" w:fill="FFFFFF"/>
            <w:tcMar>
              <w:top w:w="0" w:type="dxa"/>
              <w:left w:w="30" w:type="dxa"/>
              <w:bottom w:w="0" w:type="dxa"/>
              <w:right w:w="30" w:type="dxa"/>
            </w:tcMar>
            <w:vAlign w:val="center"/>
          </w:tcPr>
          <w:p w14:paraId="093D13A7" w14:textId="4148858B" w:rsidR="00CD5AD1" w:rsidRPr="00CD5AD1" w:rsidRDefault="00FE0D06" w:rsidP="00CD5AD1">
            <w:pPr>
              <w:jc w:val="right"/>
              <w:rPr>
                <w:b/>
                <w:bCs/>
                <w:szCs w:val="21"/>
              </w:rPr>
            </w:pPr>
            <w:r w:rsidRPr="00FE0D06">
              <w:rPr>
                <w:b/>
                <w:bCs/>
                <w:szCs w:val="21"/>
              </w:rPr>
              <w:t>97,686.65</w:t>
            </w:r>
            <w:r w:rsidR="00CD5AD1" w:rsidRPr="00CD5AD1">
              <w:rPr>
                <w:b/>
                <w:bCs/>
                <w:szCs w:val="21"/>
              </w:rPr>
              <w:t xml:space="preserve"> </w:t>
            </w:r>
          </w:p>
        </w:tc>
        <w:tc>
          <w:tcPr>
            <w:tcW w:w="1133" w:type="pct"/>
            <w:shd w:val="clear" w:color="auto" w:fill="FFFFFF"/>
            <w:vAlign w:val="center"/>
          </w:tcPr>
          <w:p w14:paraId="07279276" w14:textId="77777777" w:rsidR="00CD5AD1" w:rsidRPr="00CD5AD1" w:rsidRDefault="00CD5AD1" w:rsidP="00CD5AD1">
            <w:pPr>
              <w:jc w:val="center"/>
              <w:rPr>
                <w:b/>
                <w:szCs w:val="21"/>
              </w:rPr>
            </w:pPr>
            <w:r w:rsidRPr="00CD5AD1">
              <w:rPr>
                <w:b/>
                <w:szCs w:val="21"/>
              </w:rPr>
              <w:t>-</w:t>
            </w:r>
          </w:p>
        </w:tc>
      </w:tr>
    </w:tbl>
    <w:bookmarkEnd w:id="0"/>
    <w:p w14:paraId="17DF153F" w14:textId="77777777" w:rsidR="00C57140" w:rsidRPr="00C57140" w:rsidRDefault="00C57140" w:rsidP="00C57140">
      <w:pPr>
        <w:pStyle w:val="a0"/>
        <w:spacing w:before="156"/>
        <w:ind w:firstLine="480"/>
        <w:rPr>
          <w:szCs w:val="24"/>
        </w:rPr>
      </w:pPr>
      <w:r w:rsidRPr="00C57140">
        <w:rPr>
          <w:rFonts w:hint="eastAsia"/>
          <w:szCs w:val="24"/>
        </w:rPr>
        <w:t>若本次发行实际募集资金净额低于拟投资项目的实际资金需求，在不改变拟投资项目的前提下，董事会可根据项目的实际需求，对上述项目的募集资金投入金额、优先顺序进行适当调整，不足部分由公司自行筹措资金解决。</w:t>
      </w:r>
    </w:p>
    <w:p w14:paraId="68410F6F" w14:textId="643EDD30" w:rsidR="004C71D1" w:rsidRDefault="00C57140" w:rsidP="00C57140">
      <w:pPr>
        <w:pStyle w:val="a0"/>
        <w:spacing w:before="156"/>
        <w:ind w:firstLine="480"/>
      </w:pPr>
      <w:r w:rsidRPr="00C57140">
        <w:rPr>
          <w:rFonts w:hint="eastAsia"/>
          <w:szCs w:val="24"/>
        </w:rPr>
        <w:t>若公司在本次发行募集资金到位前，根据项目进度的实际情况，以自有资金或其他方式筹集的资金先行投入上述项目，则先行投入部分将在本次募集资金到位后按照相关法律法规予以置换。</w:t>
      </w:r>
    </w:p>
    <w:p w14:paraId="22FA0BB7" w14:textId="35E27ABD" w:rsidR="004C71D1" w:rsidRDefault="00966BCB">
      <w:pPr>
        <w:keepNext/>
        <w:spacing w:beforeLines="50" w:before="156" w:line="360" w:lineRule="auto"/>
        <w:outlineLvl w:val="1"/>
        <w:rPr>
          <w:b/>
          <w:snapToGrid w:val="0"/>
          <w:sz w:val="28"/>
          <w:szCs w:val="28"/>
        </w:rPr>
      </w:pPr>
      <w:bookmarkStart w:id="1" w:name="_Toc113441748"/>
      <w:r>
        <w:rPr>
          <w:rFonts w:hint="eastAsia"/>
          <w:b/>
          <w:snapToGrid w:val="0"/>
          <w:sz w:val="28"/>
          <w:szCs w:val="28"/>
        </w:rPr>
        <w:t>一</w:t>
      </w:r>
      <w:r>
        <w:rPr>
          <w:b/>
          <w:snapToGrid w:val="0"/>
          <w:sz w:val="28"/>
          <w:szCs w:val="28"/>
        </w:rPr>
        <w:t>、本次</w:t>
      </w:r>
      <w:r w:rsidR="003A35FD">
        <w:rPr>
          <w:b/>
          <w:snapToGrid w:val="0"/>
          <w:sz w:val="28"/>
          <w:szCs w:val="28"/>
        </w:rPr>
        <w:t>向特定对象发行</w:t>
      </w:r>
      <w:r w:rsidR="003A35FD">
        <w:rPr>
          <w:b/>
          <w:snapToGrid w:val="0"/>
          <w:sz w:val="28"/>
          <w:szCs w:val="28"/>
        </w:rPr>
        <w:t>A</w:t>
      </w:r>
      <w:r w:rsidR="003A35FD">
        <w:rPr>
          <w:b/>
          <w:snapToGrid w:val="0"/>
          <w:sz w:val="28"/>
          <w:szCs w:val="28"/>
        </w:rPr>
        <w:t>股股票</w:t>
      </w:r>
      <w:r>
        <w:rPr>
          <w:b/>
          <w:snapToGrid w:val="0"/>
          <w:sz w:val="28"/>
          <w:szCs w:val="28"/>
        </w:rPr>
        <w:t>的背景和目的</w:t>
      </w:r>
      <w:bookmarkEnd w:id="1"/>
    </w:p>
    <w:p w14:paraId="6DA01EA7" w14:textId="02253DDD" w:rsidR="004C71D1" w:rsidRDefault="00966BCB">
      <w:pPr>
        <w:spacing w:beforeLines="50" w:before="156" w:line="360" w:lineRule="auto"/>
        <w:ind w:firstLineChars="200" w:firstLine="482"/>
        <w:outlineLvl w:val="2"/>
        <w:rPr>
          <w:b/>
          <w:snapToGrid w:val="0"/>
          <w:sz w:val="24"/>
        </w:rPr>
      </w:pPr>
      <w:r>
        <w:rPr>
          <w:b/>
          <w:snapToGrid w:val="0"/>
          <w:sz w:val="24"/>
        </w:rPr>
        <w:t>（一）本次</w:t>
      </w:r>
      <w:r w:rsidR="003A35FD">
        <w:rPr>
          <w:b/>
          <w:snapToGrid w:val="0"/>
          <w:sz w:val="24"/>
        </w:rPr>
        <w:t>向特定对象发行</w:t>
      </w:r>
      <w:r w:rsidR="003A35FD">
        <w:rPr>
          <w:b/>
          <w:snapToGrid w:val="0"/>
          <w:sz w:val="24"/>
        </w:rPr>
        <w:t>A</w:t>
      </w:r>
      <w:r w:rsidR="003A35FD">
        <w:rPr>
          <w:b/>
          <w:snapToGrid w:val="0"/>
          <w:sz w:val="24"/>
        </w:rPr>
        <w:t>股股票</w:t>
      </w:r>
      <w:r>
        <w:rPr>
          <w:b/>
          <w:snapToGrid w:val="0"/>
          <w:sz w:val="24"/>
        </w:rPr>
        <w:t>的背景</w:t>
      </w:r>
    </w:p>
    <w:p w14:paraId="7DB08B5A" w14:textId="77777777" w:rsidR="00C57140" w:rsidRPr="00C57140" w:rsidRDefault="00C57140" w:rsidP="00C57140">
      <w:pPr>
        <w:adjustRightInd w:val="0"/>
        <w:spacing w:beforeLines="50" w:before="156" w:line="360" w:lineRule="auto"/>
        <w:ind w:firstLineChars="200" w:firstLine="482"/>
        <w:rPr>
          <w:b/>
          <w:sz w:val="24"/>
        </w:rPr>
      </w:pPr>
      <w:r w:rsidRPr="00C57140">
        <w:rPr>
          <w:rFonts w:hint="eastAsia"/>
          <w:b/>
          <w:sz w:val="24"/>
        </w:rPr>
        <w:t>1</w:t>
      </w:r>
      <w:r w:rsidRPr="00C57140">
        <w:rPr>
          <w:rFonts w:hint="eastAsia"/>
          <w:b/>
          <w:sz w:val="24"/>
        </w:rPr>
        <w:t>、医药行业市场持续增长，市场发展前景广阔</w:t>
      </w:r>
    </w:p>
    <w:p w14:paraId="78DEF886" w14:textId="77777777" w:rsidR="00C57140" w:rsidRPr="00C57140" w:rsidRDefault="00C57140" w:rsidP="00C57140">
      <w:pPr>
        <w:pStyle w:val="a0"/>
        <w:spacing w:before="156"/>
        <w:ind w:firstLine="480"/>
        <w:rPr>
          <w:szCs w:val="24"/>
        </w:rPr>
      </w:pPr>
      <w:r w:rsidRPr="00C57140">
        <w:rPr>
          <w:rFonts w:hint="eastAsia"/>
          <w:szCs w:val="24"/>
        </w:rPr>
        <w:t>随着世界经济发展、人口总量增长、人口老龄化程度提高以及人们保健意识增强，新型国家城市化建设的推进和各国医疗保障体制的不断完善，全球医药市场呈持续增长趋势。根据</w:t>
      </w:r>
      <w:r w:rsidRPr="00C57140">
        <w:rPr>
          <w:rFonts w:hint="eastAsia"/>
          <w:szCs w:val="24"/>
        </w:rPr>
        <w:t>IQVIA 2024</w:t>
      </w:r>
      <w:r w:rsidRPr="00C57140">
        <w:rPr>
          <w:rFonts w:hint="eastAsia"/>
          <w:szCs w:val="24"/>
        </w:rPr>
        <w:t>年发布的《</w:t>
      </w:r>
      <w:r w:rsidRPr="00C57140">
        <w:rPr>
          <w:rFonts w:hint="eastAsia"/>
          <w:szCs w:val="24"/>
        </w:rPr>
        <w:t>The Global Use of Medicines 2024</w:t>
      </w:r>
      <w:r w:rsidRPr="00C57140">
        <w:rPr>
          <w:rFonts w:hint="eastAsia"/>
          <w:szCs w:val="24"/>
        </w:rPr>
        <w:t>：</w:t>
      </w:r>
      <w:r w:rsidRPr="00C57140">
        <w:rPr>
          <w:rFonts w:hint="eastAsia"/>
          <w:szCs w:val="24"/>
        </w:rPr>
        <w:t>Outlook to 2028</w:t>
      </w:r>
      <w:r w:rsidRPr="00C57140">
        <w:rPr>
          <w:rFonts w:hint="eastAsia"/>
          <w:szCs w:val="24"/>
        </w:rPr>
        <w:t>》显示，</w:t>
      </w:r>
      <w:r w:rsidRPr="00C57140">
        <w:rPr>
          <w:rFonts w:hint="eastAsia"/>
          <w:szCs w:val="24"/>
        </w:rPr>
        <w:t>2023</w:t>
      </w:r>
      <w:r w:rsidRPr="00C57140">
        <w:rPr>
          <w:rFonts w:hint="eastAsia"/>
          <w:szCs w:val="24"/>
        </w:rPr>
        <w:t>年全球药品支出约</w:t>
      </w:r>
      <w:r w:rsidRPr="00C57140">
        <w:rPr>
          <w:rFonts w:hint="eastAsia"/>
          <w:szCs w:val="24"/>
        </w:rPr>
        <w:t>1.6</w:t>
      </w:r>
      <w:r w:rsidRPr="00C57140">
        <w:rPr>
          <w:rFonts w:hint="eastAsia"/>
          <w:szCs w:val="24"/>
        </w:rPr>
        <w:t>万亿美元，</w:t>
      </w:r>
      <w:r w:rsidRPr="00C57140">
        <w:rPr>
          <w:rFonts w:hint="eastAsia"/>
          <w:szCs w:val="24"/>
        </w:rPr>
        <w:t>2019-2023</w:t>
      </w:r>
      <w:r w:rsidRPr="00C57140">
        <w:rPr>
          <w:rFonts w:hint="eastAsia"/>
          <w:szCs w:val="24"/>
        </w:rPr>
        <w:t>年复合增速为</w:t>
      </w:r>
      <w:r w:rsidRPr="00C57140">
        <w:rPr>
          <w:rFonts w:hint="eastAsia"/>
          <w:szCs w:val="24"/>
        </w:rPr>
        <w:t>6.0%</w:t>
      </w:r>
      <w:r w:rsidRPr="00C57140">
        <w:rPr>
          <w:rFonts w:hint="eastAsia"/>
          <w:szCs w:val="24"/>
        </w:rPr>
        <w:t>。</w:t>
      </w:r>
      <w:r w:rsidRPr="00C57140">
        <w:rPr>
          <w:rFonts w:hint="eastAsia"/>
          <w:szCs w:val="24"/>
        </w:rPr>
        <w:t>2024-2028</w:t>
      </w:r>
      <w:r w:rsidRPr="00C57140">
        <w:rPr>
          <w:rFonts w:hint="eastAsia"/>
          <w:szCs w:val="24"/>
        </w:rPr>
        <w:t>年预计将以</w:t>
      </w:r>
      <w:r w:rsidRPr="00C57140">
        <w:rPr>
          <w:rFonts w:hint="eastAsia"/>
          <w:szCs w:val="24"/>
        </w:rPr>
        <w:t>6.6%</w:t>
      </w:r>
      <w:r w:rsidRPr="00C57140">
        <w:rPr>
          <w:rFonts w:hint="eastAsia"/>
          <w:szCs w:val="24"/>
        </w:rPr>
        <w:t>的增长率增长，预计到</w:t>
      </w:r>
      <w:r w:rsidRPr="00C57140">
        <w:rPr>
          <w:rFonts w:hint="eastAsia"/>
          <w:szCs w:val="24"/>
        </w:rPr>
        <w:t>2028</w:t>
      </w:r>
      <w:r w:rsidRPr="00C57140">
        <w:rPr>
          <w:rFonts w:hint="eastAsia"/>
          <w:szCs w:val="24"/>
        </w:rPr>
        <w:t>年全球药品支出将达到约</w:t>
      </w:r>
      <w:r w:rsidRPr="00C57140">
        <w:rPr>
          <w:rFonts w:hint="eastAsia"/>
          <w:szCs w:val="24"/>
        </w:rPr>
        <w:t>2.2</w:t>
      </w:r>
      <w:r w:rsidRPr="00C57140">
        <w:rPr>
          <w:rFonts w:hint="eastAsia"/>
          <w:szCs w:val="24"/>
        </w:rPr>
        <w:t>万亿美元。</w:t>
      </w:r>
    </w:p>
    <w:p w14:paraId="1CF11E33" w14:textId="77777777" w:rsidR="00C57140" w:rsidRPr="00C57140" w:rsidRDefault="00C57140" w:rsidP="00C57140">
      <w:pPr>
        <w:pStyle w:val="a0"/>
        <w:spacing w:before="156"/>
        <w:ind w:firstLine="480"/>
        <w:rPr>
          <w:szCs w:val="24"/>
        </w:rPr>
      </w:pPr>
      <w:r w:rsidRPr="00C57140">
        <w:rPr>
          <w:rFonts w:hint="eastAsia"/>
          <w:szCs w:val="24"/>
        </w:rPr>
        <w:lastRenderedPageBreak/>
        <w:t>医药行业是我国国民经济的重要组成部分，其发展进步与国民生活质量提高息息相关，重大公共卫生事件的发生更加凸显了医药行业在国民健康和公共卫生方面的守门人角色。医药行业对于保护和增进人民健康、提高生活质量以及促进经济发展和社会进步均具有十分重要的作用。近年来，随着我国经济持续增长，人民生活水平不断提高，医疗保障制度逐渐完善，医药行业利好措施的推进，以及老龄化进程加快、大健康产业推动医药消费升级等多重因素影响下，我国医药行业越来越受到公众及政府的关注，在国民经济中占据着越来越重要的位置，医药产品需求市场不断增长，呈现出持续良好的发展趋势，发展空间巨大。根据</w:t>
      </w:r>
      <w:r w:rsidRPr="00C57140">
        <w:rPr>
          <w:rFonts w:hint="eastAsia"/>
          <w:szCs w:val="24"/>
        </w:rPr>
        <w:t>IQVIA</w:t>
      </w:r>
      <w:r w:rsidRPr="00C57140">
        <w:rPr>
          <w:rFonts w:hint="eastAsia"/>
          <w:szCs w:val="24"/>
        </w:rPr>
        <w:t>《</w:t>
      </w:r>
      <w:r w:rsidRPr="00C57140">
        <w:rPr>
          <w:rFonts w:hint="eastAsia"/>
          <w:szCs w:val="24"/>
        </w:rPr>
        <w:t>2023</w:t>
      </w:r>
      <w:r w:rsidRPr="00C57140">
        <w:rPr>
          <w:rFonts w:hint="eastAsia"/>
          <w:szCs w:val="24"/>
        </w:rPr>
        <w:t>年中国医药市场全景解读》数据显示，</w:t>
      </w:r>
      <w:r w:rsidRPr="00C57140">
        <w:rPr>
          <w:rFonts w:hint="eastAsia"/>
          <w:szCs w:val="24"/>
        </w:rPr>
        <w:t>2023</w:t>
      </w:r>
      <w:r w:rsidRPr="00C57140">
        <w:rPr>
          <w:rFonts w:hint="eastAsia"/>
          <w:szCs w:val="24"/>
        </w:rPr>
        <w:t>年中国整体药品市场销售规模达</w:t>
      </w:r>
      <w:r w:rsidRPr="00C57140">
        <w:rPr>
          <w:rFonts w:hint="eastAsia"/>
          <w:szCs w:val="24"/>
        </w:rPr>
        <w:t>16,333</w:t>
      </w:r>
      <w:r w:rsidRPr="00C57140">
        <w:rPr>
          <w:rFonts w:hint="eastAsia"/>
          <w:szCs w:val="24"/>
        </w:rPr>
        <w:t>亿元人民币（按终端零售价计算），同比增长</w:t>
      </w:r>
      <w:r w:rsidRPr="00C57140">
        <w:rPr>
          <w:rFonts w:hint="eastAsia"/>
          <w:szCs w:val="24"/>
        </w:rPr>
        <w:t>4.3%</w:t>
      </w:r>
      <w:r w:rsidRPr="00C57140">
        <w:rPr>
          <w:rFonts w:hint="eastAsia"/>
          <w:szCs w:val="24"/>
        </w:rPr>
        <w:t>。处方药和非处方药增速均较快，其中处方药市场占据</w:t>
      </w:r>
      <w:r w:rsidRPr="00C57140">
        <w:rPr>
          <w:rFonts w:hint="eastAsia"/>
          <w:szCs w:val="24"/>
        </w:rPr>
        <w:t>83.1%</w:t>
      </w:r>
      <w:r w:rsidRPr="00C57140">
        <w:rPr>
          <w:rFonts w:hint="eastAsia"/>
          <w:szCs w:val="24"/>
        </w:rPr>
        <w:t>的份额，增速为</w:t>
      </w:r>
      <w:r w:rsidRPr="00C57140">
        <w:rPr>
          <w:rFonts w:hint="eastAsia"/>
          <w:szCs w:val="24"/>
        </w:rPr>
        <w:t>4.3%</w:t>
      </w:r>
      <w:r w:rsidRPr="00C57140">
        <w:rPr>
          <w:rFonts w:hint="eastAsia"/>
          <w:szCs w:val="24"/>
        </w:rPr>
        <w:t>。按细分渠道贡献分布看，医院依然为主流端，贡献了超六成的市场份额。就处方药市场而言，医院渠道贡献了超七成的份额。而非处方药市场中，线下零售药店占比最大，规模占比超五成。据</w:t>
      </w:r>
      <w:r w:rsidRPr="00C57140">
        <w:rPr>
          <w:rFonts w:hint="eastAsia"/>
          <w:szCs w:val="24"/>
        </w:rPr>
        <w:t xml:space="preserve">Frost </w:t>
      </w:r>
      <w:r w:rsidRPr="00C57140">
        <w:rPr>
          <w:rFonts w:hint="eastAsia"/>
          <w:szCs w:val="24"/>
        </w:rPr>
        <w:t>＆</w:t>
      </w:r>
      <w:r w:rsidRPr="00C57140">
        <w:rPr>
          <w:rFonts w:hint="eastAsia"/>
          <w:szCs w:val="24"/>
        </w:rPr>
        <w:t xml:space="preserve"> Sullivan</w:t>
      </w:r>
      <w:r w:rsidRPr="00C57140">
        <w:rPr>
          <w:rFonts w:hint="eastAsia"/>
          <w:szCs w:val="24"/>
        </w:rPr>
        <w:t>统计，中国医药市场规模预计</w:t>
      </w:r>
      <w:r w:rsidRPr="00C57140">
        <w:rPr>
          <w:rFonts w:hint="eastAsia"/>
          <w:szCs w:val="24"/>
        </w:rPr>
        <w:t>2025</w:t>
      </w:r>
      <w:r w:rsidRPr="00C57140">
        <w:rPr>
          <w:rFonts w:hint="eastAsia"/>
          <w:szCs w:val="24"/>
        </w:rPr>
        <w:t>年及</w:t>
      </w:r>
      <w:r w:rsidRPr="00C57140">
        <w:rPr>
          <w:rFonts w:hint="eastAsia"/>
          <w:szCs w:val="24"/>
        </w:rPr>
        <w:t>2030</w:t>
      </w:r>
      <w:r w:rsidRPr="00C57140">
        <w:rPr>
          <w:rFonts w:hint="eastAsia"/>
          <w:szCs w:val="24"/>
        </w:rPr>
        <w:t>年将分别达到</w:t>
      </w:r>
      <w:r w:rsidRPr="00C57140">
        <w:rPr>
          <w:rFonts w:hint="eastAsia"/>
          <w:szCs w:val="24"/>
        </w:rPr>
        <w:t>22,873</w:t>
      </w:r>
      <w:r w:rsidRPr="00C57140">
        <w:rPr>
          <w:rFonts w:hint="eastAsia"/>
          <w:szCs w:val="24"/>
        </w:rPr>
        <w:t>亿元及</w:t>
      </w:r>
      <w:r w:rsidRPr="00C57140">
        <w:rPr>
          <w:rFonts w:hint="eastAsia"/>
          <w:szCs w:val="24"/>
        </w:rPr>
        <w:t>29,911</w:t>
      </w:r>
      <w:r w:rsidRPr="00C57140">
        <w:rPr>
          <w:rFonts w:hint="eastAsia"/>
          <w:szCs w:val="24"/>
        </w:rPr>
        <w:t>亿元，</w:t>
      </w:r>
      <w:r w:rsidRPr="00C57140">
        <w:rPr>
          <w:rFonts w:hint="eastAsia"/>
          <w:szCs w:val="24"/>
        </w:rPr>
        <w:t>2023-2025</w:t>
      </w:r>
      <w:r w:rsidRPr="00C57140">
        <w:rPr>
          <w:rFonts w:hint="eastAsia"/>
          <w:szCs w:val="24"/>
        </w:rPr>
        <w:t>年行业整体增速将恢复至</w:t>
      </w:r>
      <w:r w:rsidRPr="00C57140">
        <w:rPr>
          <w:rFonts w:hint="eastAsia"/>
          <w:szCs w:val="24"/>
        </w:rPr>
        <w:t>7-9%</w:t>
      </w:r>
      <w:r w:rsidRPr="00C57140">
        <w:rPr>
          <w:rFonts w:hint="eastAsia"/>
          <w:szCs w:val="24"/>
        </w:rPr>
        <w:t>，此后五年内维持在</w:t>
      </w:r>
      <w:r w:rsidRPr="00C57140">
        <w:rPr>
          <w:rFonts w:hint="eastAsia"/>
          <w:szCs w:val="24"/>
        </w:rPr>
        <w:t>5%</w:t>
      </w:r>
      <w:r w:rsidRPr="00C57140">
        <w:rPr>
          <w:rFonts w:hint="eastAsia"/>
          <w:szCs w:val="24"/>
        </w:rPr>
        <w:t>以上。从细分药物市场来看，中国化学药物市场规模预计到</w:t>
      </w:r>
      <w:r w:rsidRPr="00C57140">
        <w:rPr>
          <w:rFonts w:hint="eastAsia"/>
          <w:szCs w:val="24"/>
        </w:rPr>
        <w:t>2030</w:t>
      </w:r>
      <w:r w:rsidRPr="00C57140">
        <w:rPr>
          <w:rFonts w:hint="eastAsia"/>
          <w:szCs w:val="24"/>
        </w:rPr>
        <w:t>年的市场规模将达到</w:t>
      </w:r>
      <w:r w:rsidRPr="00C57140">
        <w:rPr>
          <w:rFonts w:hint="eastAsia"/>
          <w:szCs w:val="24"/>
        </w:rPr>
        <w:t>11,438</w:t>
      </w:r>
      <w:r w:rsidRPr="00C57140">
        <w:rPr>
          <w:rFonts w:hint="eastAsia"/>
          <w:szCs w:val="24"/>
        </w:rPr>
        <w:t>亿元，增长空间十分广阔。</w:t>
      </w:r>
    </w:p>
    <w:p w14:paraId="69204532" w14:textId="69C2F8E3" w:rsidR="00C57140" w:rsidRPr="00C57140" w:rsidRDefault="00C57140" w:rsidP="00C57140">
      <w:pPr>
        <w:adjustRightInd w:val="0"/>
        <w:spacing w:beforeLines="50" w:before="156" w:line="360" w:lineRule="auto"/>
        <w:ind w:firstLineChars="200" w:firstLine="482"/>
        <w:rPr>
          <w:b/>
          <w:sz w:val="24"/>
        </w:rPr>
      </w:pPr>
      <w:r w:rsidRPr="00C57140">
        <w:rPr>
          <w:rFonts w:hint="eastAsia"/>
          <w:b/>
          <w:sz w:val="24"/>
        </w:rPr>
        <w:t>2</w:t>
      </w:r>
      <w:r w:rsidRPr="00C57140">
        <w:rPr>
          <w:rFonts w:hint="eastAsia"/>
          <w:b/>
          <w:sz w:val="24"/>
        </w:rPr>
        <w:t>、</w:t>
      </w:r>
      <w:r w:rsidR="00670784" w:rsidRPr="00670784">
        <w:rPr>
          <w:rFonts w:hint="eastAsia"/>
          <w:b/>
          <w:sz w:val="24"/>
        </w:rPr>
        <w:t>创新药成为新质生产力发展的重要方向，持续受益于产业政策支持</w:t>
      </w:r>
    </w:p>
    <w:p w14:paraId="160B719F" w14:textId="2CE45CA5" w:rsidR="00C57140" w:rsidRPr="00C57140" w:rsidRDefault="00EF18C7" w:rsidP="00C57140">
      <w:pPr>
        <w:pStyle w:val="a0"/>
        <w:spacing w:before="156"/>
        <w:ind w:firstLine="480"/>
        <w:rPr>
          <w:szCs w:val="24"/>
        </w:rPr>
      </w:pPr>
      <w:r w:rsidRPr="00EF18C7">
        <w:rPr>
          <w:rFonts w:hint="eastAsia"/>
          <w:szCs w:val="24"/>
        </w:rPr>
        <w:t>创新药从技术属性、产业模式到战略价值均满足新质生产力的核心定义，是生物医药领域培育新质生产力的典型代表。创新药关乎国家生物医药产业转型升级，也与国家生物安全自主可控、国民生命健康紧密相连。我国对创新药的支持政策和行业发展呈现出持续的积极态势。</w:t>
      </w:r>
      <w:r w:rsidR="00670784" w:rsidRPr="00670784">
        <w:rPr>
          <w:rFonts w:hint="eastAsia"/>
          <w:szCs w:val="24"/>
        </w:rPr>
        <w:t>在</w:t>
      </w:r>
      <w:r w:rsidR="00670784" w:rsidRPr="00670784">
        <w:rPr>
          <w:rFonts w:hint="eastAsia"/>
          <w:szCs w:val="24"/>
        </w:rPr>
        <w:t>"</w:t>
      </w:r>
      <w:r w:rsidR="00670784" w:rsidRPr="00670784">
        <w:rPr>
          <w:rFonts w:hint="eastAsia"/>
          <w:szCs w:val="24"/>
        </w:rPr>
        <w:t>十四五</w:t>
      </w:r>
      <w:r w:rsidR="00670784" w:rsidRPr="00670784">
        <w:rPr>
          <w:rFonts w:hint="eastAsia"/>
          <w:szCs w:val="24"/>
        </w:rPr>
        <w:t>"</w:t>
      </w:r>
      <w:r w:rsidR="00670784" w:rsidRPr="00670784">
        <w:rPr>
          <w:rFonts w:hint="eastAsia"/>
          <w:szCs w:val="24"/>
        </w:rPr>
        <w:t>规划中，提出了医药工业行业全行业研发投入年均增长</w:t>
      </w:r>
      <w:r w:rsidR="00670784" w:rsidRPr="00670784">
        <w:rPr>
          <w:rFonts w:hint="eastAsia"/>
          <w:szCs w:val="24"/>
        </w:rPr>
        <w:t>10%</w:t>
      </w:r>
      <w:r w:rsidR="00670784" w:rsidRPr="00670784">
        <w:rPr>
          <w:rFonts w:hint="eastAsia"/>
          <w:szCs w:val="24"/>
        </w:rPr>
        <w:t>以上的目标，这进一步促进了医药工业的技术创新和发展。药品审评审批流程得到明显优化和加速。数据显示，</w:t>
      </w:r>
      <w:r w:rsidR="00FE0D06" w:rsidRPr="00FE0D06">
        <w:rPr>
          <w:rFonts w:hint="eastAsia"/>
          <w:szCs w:val="24"/>
        </w:rPr>
        <w:t>2024</w:t>
      </w:r>
      <w:r w:rsidR="00FE0D06" w:rsidRPr="00FE0D06">
        <w:rPr>
          <w:rFonts w:hint="eastAsia"/>
          <w:szCs w:val="24"/>
        </w:rPr>
        <w:t>年药品审评中心采取多种措施提高审评效率，加快药品审评速度，全年批准上市</w:t>
      </w:r>
      <w:r w:rsidR="00FE0D06" w:rsidRPr="00FE0D06">
        <w:rPr>
          <w:rFonts w:hint="eastAsia"/>
          <w:szCs w:val="24"/>
        </w:rPr>
        <w:t>1</w:t>
      </w:r>
      <w:r w:rsidR="00FE0D06" w:rsidRPr="00FE0D06">
        <w:rPr>
          <w:rFonts w:hint="eastAsia"/>
          <w:szCs w:val="24"/>
        </w:rPr>
        <w:t>类创新药</w:t>
      </w:r>
      <w:r w:rsidR="00FE0D06" w:rsidRPr="00FE0D06">
        <w:rPr>
          <w:rFonts w:hint="eastAsia"/>
          <w:szCs w:val="24"/>
        </w:rPr>
        <w:t>48</w:t>
      </w:r>
      <w:r w:rsidR="00FE0D06" w:rsidRPr="00FE0D06">
        <w:rPr>
          <w:rFonts w:hint="eastAsia"/>
          <w:szCs w:val="24"/>
        </w:rPr>
        <w:t>个品种，罕见病用药</w:t>
      </w:r>
      <w:r w:rsidR="00FE0D06" w:rsidRPr="00FE0D06">
        <w:rPr>
          <w:rFonts w:hint="eastAsia"/>
          <w:szCs w:val="24"/>
        </w:rPr>
        <w:t>55</w:t>
      </w:r>
      <w:r w:rsidR="00FE0D06" w:rsidRPr="00FE0D06">
        <w:rPr>
          <w:rFonts w:hint="eastAsia"/>
          <w:szCs w:val="24"/>
        </w:rPr>
        <w:t>个品种，儿童用药产品</w:t>
      </w:r>
      <w:r w:rsidR="00FE0D06" w:rsidRPr="00FE0D06">
        <w:rPr>
          <w:rFonts w:hint="eastAsia"/>
          <w:szCs w:val="24"/>
        </w:rPr>
        <w:t>106</w:t>
      </w:r>
      <w:r w:rsidR="00FE0D06" w:rsidRPr="00FE0D06">
        <w:rPr>
          <w:rFonts w:hint="eastAsia"/>
          <w:szCs w:val="24"/>
        </w:rPr>
        <w:t>个品种，境外已上市、境内未上市的原研药品</w:t>
      </w:r>
      <w:r w:rsidR="00FE0D06" w:rsidRPr="00FE0D06">
        <w:rPr>
          <w:rFonts w:hint="eastAsia"/>
          <w:szCs w:val="24"/>
        </w:rPr>
        <w:t>89</w:t>
      </w:r>
      <w:r w:rsidR="00FE0D06" w:rsidRPr="00FE0D06">
        <w:rPr>
          <w:rFonts w:hint="eastAsia"/>
          <w:szCs w:val="24"/>
        </w:rPr>
        <w:t>个品种。此外，</w:t>
      </w:r>
      <w:r w:rsidR="00FE0D06" w:rsidRPr="00FE0D06">
        <w:rPr>
          <w:rFonts w:hint="eastAsia"/>
          <w:szCs w:val="24"/>
        </w:rPr>
        <w:t>2024</w:t>
      </w:r>
      <w:r w:rsidR="00FE0D06" w:rsidRPr="00FE0D06">
        <w:rPr>
          <w:rFonts w:hint="eastAsia"/>
          <w:szCs w:val="24"/>
        </w:rPr>
        <w:t>年度共纳入优先审评审批注册申请</w:t>
      </w:r>
      <w:r w:rsidR="00FE0D06" w:rsidRPr="00FE0D06">
        <w:rPr>
          <w:rFonts w:hint="eastAsia"/>
          <w:szCs w:val="24"/>
        </w:rPr>
        <w:t>124</w:t>
      </w:r>
      <w:r w:rsidR="00FE0D06" w:rsidRPr="00FE0D06">
        <w:rPr>
          <w:rFonts w:hint="eastAsia"/>
          <w:szCs w:val="24"/>
        </w:rPr>
        <w:t>件（</w:t>
      </w:r>
      <w:r w:rsidR="00FE0D06" w:rsidRPr="00FE0D06">
        <w:rPr>
          <w:rFonts w:hint="eastAsia"/>
          <w:szCs w:val="24"/>
        </w:rPr>
        <w:t>88</w:t>
      </w:r>
      <w:r w:rsidR="00FE0D06" w:rsidRPr="00FE0D06">
        <w:rPr>
          <w:rFonts w:hint="eastAsia"/>
          <w:szCs w:val="24"/>
        </w:rPr>
        <w:t>个品种），同比增加</w:t>
      </w:r>
      <w:r w:rsidR="00FE0D06" w:rsidRPr="00FE0D06">
        <w:rPr>
          <w:rFonts w:hint="eastAsia"/>
          <w:szCs w:val="24"/>
        </w:rPr>
        <w:t>14.81%</w:t>
      </w:r>
      <w:r w:rsidR="00FE0D06" w:rsidRPr="00FE0D06">
        <w:rPr>
          <w:rFonts w:hint="eastAsia"/>
          <w:szCs w:val="24"/>
        </w:rPr>
        <w:t>。</w:t>
      </w:r>
      <w:r w:rsidR="00670784" w:rsidRPr="00670784">
        <w:rPr>
          <w:rFonts w:hint="eastAsia"/>
          <w:szCs w:val="24"/>
        </w:rPr>
        <w:t>2024</w:t>
      </w:r>
      <w:r w:rsidR="00670784" w:rsidRPr="00670784">
        <w:rPr>
          <w:rFonts w:hint="eastAsia"/>
          <w:szCs w:val="24"/>
        </w:rPr>
        <w:t>年</w:t>
      </w:r>
      <w:r w:rsidR="00670784" w:rsidRPr="00670784">
        <w:rPr>
          <w:rFonts w:hint="eastAsia"/>
          <w:szCs w:val="24"/>
        </w:rPr>
        <w:t>3</w:t>
      </w:r>
      <w:r w:rsidR="00670784" w:rsidRPr="00670784">
        <w:rPr>
          <w:rFonts w:hint="eastAsia"/>
          <w:szCs w:val="24"/>
        </w:rPr>
        <w:t>月政府工作报告提出，加快创新药等产业发展，积极打造生物制造等新增长引擎，“创新药”一词首次进</w:t>
      </w:r>
      <w:r w:rsidR="00670784" w:rsidRPr="00670784">
        <w:rPr>
          <w:rFonts w:hint="eastAsia"/>
          <w:szCs w:val="24"/>
        </w:rPr>
        <w:lastRenderedPageBreak/>
        <w:t>入政府工作报告。</w:t>
      </w:r>
      <w:r w:rsidR="00670784" w:rsidRPr="00670784">
        <w:rPr>
          <w:rFonts w:hint="eastAsia"/>
          <w:szCs w:val="24"/>
        </w:rPr>
        <w:t>2024</w:t>
      </w:r>
      <w:r w:rsidR="00670784" w:rsidRPr="00670784">
        <w:rPr>
          <w:rFonts w:hint="eastAsia"/>
          <w:szCs w:val="24"/>
        </w:rPr>
        <w:t>年</w:t>
      </w:r>
      <w:r w:rsidR="00670784" w:rsidRPr="00670784">
        <w:rPr>
          <w:rFonts w:hint="eastAsia"/>
          <w:szCs w:val="24"/>
        </w:rPr>
        <w:t>7</w:t>
      </w:r>
      <w:r w:rsidR="00670784" w:rsidRPr="00670784">
        <w:rPr>
          <w:rFonts w:hint="eastAsia"/>
          <w:szCs w:val="24"/>
        </w:rPr>
        <w:t>月</w:t>
      </w:r>
      <w:r w:rsidR="00670784" w:rsidRPr="00670784">
        <w:rPr>
          <w:rFonts w:hint="eastAsia"/>
          <w:szCs w:val="24"/>
        </w:rPr>
        <w:t>5</w:t>
      </w:r>
      <w:r w:rsidR="00670784" w:rsidRPr="00670784">
        <w:rPr>
          <w:rFonts w:hint="eastAsia"/>
          <w:szCs w:val="24"/>
        </w:rPr>
        <w:t>日，国务院批准《全链条支持创新药发展实施方案》，旨在通过全面政策支持，加强价格管理、医保支付、商业保险、药品配置和使用以及投融资等环节的协调，同时改进审评审批流程和医疗机构考核机制，以促进创新药的快速发展，加强新药研发的基础研究，为我国创新药产业打下坚实基础。</w:t>
      </w:r>
      <w:r w:rsidR="00FE0D06">
        <w:rPr>
          <w:rFonts w:hint="eastAsia"/>
          <w:szCs w:val="24"/>
        </w:rPr>
        <w:t>2024</w:t>
      </w:r>
      <w:r w:rsidR="00FE0D06">
        <w:rPr>
          <w:rFonts w:hint="eastAsia"/>
          <w:szCs w:val="24"/>
        </w:rPr>
        <w:t>年</w:t>
      </w:r>
      <w:r w:rsidR="00670784" w:rsidRPr="00670784">
        <w:rPr>
          <w:rFonts w:hint="eastAsia"/>
          <w:szCs w:val="24"/>
        </w:rPr>
        <w:t>7</w:t>
      </w:r>
      <w:r w:rsidR="00670784" w:rsidRPr="00670784">
        <w:rPr>
          <w:rFonts w:hint="eastAsia"/>
          <w:szCs w:val="24"/>
        </w:rPr>
        <w:t>月</w:t>
      </w:r>
      <w:r w:rsidR="00670784" w:rsidRPr="00670784">
        <w:rPr>
          <w:rFonts w:hint="eastAsia"/>
          <w:szCs w:val="24"/>
        </w:rPr>
        <w:t>31</w:t>
      </w:r>
      <w:r w:rsidR="00670784" w:rsidRPr="00670784">
        <w:rPr>
          <w:rFonts w:hint="eastAsia"/>
          <w:szCs w:val="24"/>
        </w:rPr>
        <w:t>日，国家药监局进一步发布了《优化创新药临床试验审评审批试点工作方案》，以提高创新药临床试验的审评审批效率。政策环境的优化、审批流程的加速等积极变化，将共同推动了我国创新药行业的快速发展。</w:t>
      </w:r>
    </w:p>
    <w:p w14:paraId="5012AE29" w14:textId="77777777" w:rsidR="00C57140" w:rsidRPr="00C57140" w:rsidRDefault="00C57140" w:rsidP="00C57140">
      <w:pPr>
        <w:adjustRightInd w:val="0"/>
        <w:spacing w:beforeLines="50" w:before="156" w:line="360" w:lineRule="auto"/>
        <w:ind w:firstLineChars="200" w:firstLine="482"/>
        <w:rPr>
          <w:b/>
          <w:sz w:val="24"/>
        </w:rPr>
      </w:pPr>
      <w:r w:rsidRPr="00C57140">
        <w:rPr>
          <w:rFonts w:hint="eastAsia"/>
          <w:b/>
          <w:sz w:val="24"/>
        </w:rPr>
        <w:t>3</w:t>
      </w:r>
      <w:r w:rsidRPr="00C57140">
        <w:rPr>
          <w:rFonts w:hint="eastAsia"/>
          <w:b/>
          <w:sz w:val="24"/>
        </w:rPr>
        <w:t>、乙肝药物具有广阔发展空间</w:t>
      </w:r>
    </w:p>
    <w:p w14:paraId="418A17F0" w14:textId="64336BFA" w:rsidR="00C57140" w:rsidRPr="00C57140" w:rsidRDefault="00C57140" w:rsidP="00C57140">
      <w:pPr>
        <w:pStyle w:val="a0"/>
        <w:spacing w:before="156"/>
        <w:ind w:firstLine="480"/>
        <w:rPr>
          <w:szCs w:val="24"/>
        </w:rPr>
      </w:pPr>
      <w:r w:rsidRPr="00C57140">
        <w:rPr>
          <w:rFonts w:hint="eastAsia"/>
          <w:szCs w:val="24"/>
        </w:rPr>
        <w:t>据世界卫生组织（</w:t>
      </w:r>
      <w:r w:rsidRPr="00C57140">
        <w:rPr>
          <w:rFonts w:hint="eastAsia"/>
          <w:szCs w:val="24"/>
        </w:rPr>
        <w:t>WHO</w:t>
      </w:r>
      <w:r w:rsidRPr="00C57140">
        <w:rPr>
          <w:rFonts w:hint="eastAsia"/>
          <w:szCs w:val="24"/>
        </w:rPr>
        <w:t>）《</w:t>
      </w:r>
      <w:r w:rsidRPr="00C57140">
        <w:rPr>
          <w:rFonts w:hint="eastAsia"/>
          <w:szCs w:val="24"/>
        </w:rPr>
        <w:t>2024</w:t>
      </w:r>
      <w:r w:rsidRPr="00C57140">
        <w:rPr>
          <w:rFonts w:hint="eastAsia"/>
          <w:szCs w:val="24"/>
        </w:rPr>
        <w:t>年全球肝炎报告》</w:t>
      </w:r>
      <w:r w:rsidRPr="00C57140">
        <w:rPr>
          <w:rFonts w:hint="eastAsia"/>
          <w:szCs w:val="24"/>
        </w:rPr>
        <w:t xml:space="preserve"> </w:t>
      </w:r>
      <w:r w:rsidRPr="00C57140">
        <w:rPr>
          <w:rFonts w:hint="eastAsia"/>
          <w:szCs w:val="24"/>
        </w:rPr>
        <w:t>估计，</w:t>
      </w:r>
      <w:r w:rsidRPr="00C57140">
        <w:rPr>
          <w:rFonts w:hint="eastAsia"/>
          <w:szCs w:val="24"/>
        </w:rPr>
        <w:t>2022</w:t>
      </w:r>
      <w:r w:rsidRPr="00C57140">
        <w:rPr>
          <w:rFonts w:hint="eastAsia"/>
          <w:szCs w:val="24"/>
        </w:rPr>
        <w:t>年全球有</w:t>
      </w:r>
      <w:r w:rsidRPr="00C57140">
        <w:rPr>
          <w:rFonts w:hint="eastAsia"/>
          <w:szCs w:val="24"/>
        </w:rPr>
        <w:t>2.54</w:t>
      </w:r>
      <w:r w:rsidRPr="00C57140">
        <w:rPr>
          <w:rFonts w:hint="eastAsia"/>
          <w:szCs w:val="24"/>
        </w:rPr>
        <w:t>亿人患有慢性乙肝感染，每年有</w:t>
      </w:r>
      <w:r w:rsidRPr="00C57140">
        <w:rPr>
          <w:rFonts w:hint="eastAsia"/>
          <w:szCs w:val="24"/>
        </w:rPr>
        <w:t>120</w:t>
      </w:r>
      <w:r w:rsidRPr="00C57140">
        <w:rPr>
          <w:rFonts w:hint="eastAsia"/>
          <w:szCs w:val="24"/>
        </w:rPr>
        <w:t>万新发感染者。西太平洋区域和非洲区域的感染负担</w:t>
      </w:r>
      <w:r w:rsidR="00CB0C13">
        <w:rPr>
          <w:rFonts w:hint="eastAsia"/>
          <w:szCs w:val="24"/>
        </w:rPr>
        <w:t>严重</w:t>
      </w:r>
      <w:r w:rsidRPr="00C57140">
        <w:rPr>
          <w:rFonts w:hint="eastAsia"/>
          <w:szCs w:val="24"/>
        </w:rPr>
        <w:t>，分别有</w:t>
      </w:r>
      <w:r w:rsidRPr="00C57140">
        <w:rPr>
          <w:rFonts w:hint="eastAsia"/>
          <w:szCs w:val="24"/>
        </w:rPr>
        <w:t>9,700</w:t>
      </w:r>
      <w:r w:rsidRPr="00C57140">
        <w:rPr>
          <w:rFonts w:hint="eastAsia"/>
          <w:szCs w:val="24"/>
        </w:rPr>
        <w:t>万人和</w:t>
      </w:r>
      <w:r w:rsidRPr="00C57140">
        <w:rPr>
          <w:rFonts w:hint="eastAsia"/>
          <w:szCs w:val="24"/>
        </w:rPr>
        <w:t>6,500</w:t>
      </w:r>
      <w:r w:rsidRPr="00C57140">
        <w:rPr>
          <w:rFonts w:hint="eastAsia"/>
          <w:szCs w:val="24"/>
        </w:rPr>
        <w:t>万人存在慢性感染。</w:t>
      </w:r>
      <w:r w:rsidRPr="00C57140">
        <w:rPr>
          <w:rFonts w:hint="eastAsia"/>
          <w:szCs w:val="24"/>
        </w:rPr>
        <w:t>2022</w:t>
      </w:r>
      <w:r w:rsidRPr="00C57140">
        <w:rPr>
          <w:rFonts w:hint="eastAsia"/>
          <w:szCs w:val="24"/>
        </w:rPr>
        <w:t>年，乙肝导致约</w:t>
      </w:r>
      <w:r w:rsidRPr="00C57140">
        <w:rPr>
          <w:rFonts w:hint="eastAsia"/>
          <w:szCs w:val="24"/>
        </w:rPr>
        <w:t>110</w:t>
      </w:r>
      <w:r w:rsidRPr="00C57140">
        <w:rPr>
          <w:rFonts w:hint="eastAsia"/>
          <w:szCs w:val="24"/>
        </w:rPr>
        <w:t>万人死亡，主要原因是肝硬化和肝细胞癌（原发性肝癌）。报告表示，</w:t>
      </w:r>
      <w:r w:rsidRPr="00C57140">
        <w:rPr>
          <w:rFonts w:hint="eastAsia"/>
          <w:szCs w:val="24"/>
        </w:rPr>
        <w:t>2024~2026</w:t>
      </w:r>
      <w:r w:rsidRPr="00C57140">
        <w:rPr>
          <w:rFonts w:hint="eastAsia"/>
          <w:szCs w:val="24"/>
        </w:rPr>
        <w:t>年是全球乙肝防控的窗口期，预估仍有</w:t>
      </w:r>
      <w:r w:rsidRPr="00C57140">
        <w:rPr>
          <w:rFonts w:hint="eastAsia"/>
          <w:szCs w:val="24"/>
        </w:rPr>
        <w:t>4,000</w:t>
      </w:r>
      <w:r w:rsidRPr="00C57140">
        <w:rPr>
          <w:rFonts w:hint="eastAsia"/>
          <w:szCs w:val="24"/>
        </w:rPr>
        <w:t>万乙肝患者需接受治疗，以实现全球防控病毒性肝炎的目标。</w:t>
      </w:r>
      <w:r w:rsidRPr="00C57140">
        <w:rPr>
          <w:rFonts w:hint="eastAsia"/>
          <w:szCs w:val="24"/>
        </w:rPr>
        <w:t>2016</w:t>
      </w:r>
      <w:r w:rsidRPr="00C57140">
        <w:rPr>
          <w:rFonts w:hint="eastAsia"/>
          <w:szCs w:val="24"/>
        </w:rPr>
        <w:t>年，第</w:t>
      </w:r>
      <w:r w:rsidRPr="00C57140">
        <w:rPr>
          <w:rFonts w:hint="eastAsia"/>
          <w:szCs w:val="24"/>
        </w:rPr>
        <w:t>69</w:t>
      </w:r>
      <w:r w:rsidRPr="00C57140">
        <w:rPr>
          <w:rFonts w:hint="eastAsia"/>
          <w:szCs w:val="24"/>
        </w:rPr>
        <w:t>届世界卫生大会通过《全球卫生部门关于病毒性肝炎策略</w:t>
      </w:r>
      <w:r w:rsidRPr="00C57140">
        <w:rPr>
          <w:rFonts w:hint="eastAsia"/>
          <w:szCs w:val="24"/>
        </w:rPr>
        <w:t>(2016-2021)</w:t>
      </w:r>
      <w:r w:rsidRPr="00C57140">
        <w:rPr>
          <w:rFonts w:hint="eastAsia"/>
          <w:szCs w:val="24"/>
        </w:rPr>
        <w:t>》决议，提出到</w:t>
      </w:r>
      <w:r w:rsidRPr="00C57140">
        <w:rPr>
          <w:rFonts w:hint="eastAsia"/>
          <w:szCs w:val="24"/>
        </w:rPr>
        <w:t>2030</w:t>
      </w:r>
      <w:r w:rsidRPr="00C57140">
        <w:rPr>
          <w:rFonts w:hint="eastAsia"/>
          <w:szCs w:val="24"/>
        </w:rPr>
        <w:t>年消除病毒性肝炎公共卫生危害的目标，具体目标包括到</w:t>
      </w:r>
      <w:r w:rsidRPr="00C57140">
        <w:rPr>
          <w:rFonts w:hint="eastAsia"/>
          <w:szCs w:val="24"/>
        </w:rPr>
        <w:t>2030</w:t>
      </w:r>
      <w:r w:rsidRPr="00C57140">
        <w:rPr>
          <w:rFonts w:hint="eastAsia"/>
          <w:szCs w:val="24"/>
        </w:rPr>
        <w:t>年，乙肝新发感染减少</w:t>
      </w:r>
      <w:r w:rsidRPr="00C57140">
        <w:rPr>
          <w:rFonts w:hint="eastAsia"/>
          <w:szCs w:val="24"/>
        </w:rPr>
        <w:t>90%</w:t>
      </w:r>
      <w:r w:rsidRPr="00C57140">
        <w:rPr>
          <w:rFonts w:hint="eastAsia"/>
          <w:szCs w:val="24"/>
        </w:rPr>
        <w:t>，乙肝导致的死亡减少</w:t>
      </w:r>
      <w:r w:rsidRPr="00C57140">
        <w:rPr>
          <w:rFonts w:hint="eastAsia"/>
          <w:szCs w:val="24"/>
        </w:rPr>
        <w:t>65%</w:t>
      </w:r>
      <w:r w:rsidRPr="00C57140">
        <w:rPr>
          <w:rFonts w:hint="eastAsia"/>
          <w:szCs w:val="24"/>
        </w:rPr>
        <w:t>，乙肝诊断率达到</w:t>
      </w:r>
      <w:r w:rsidRPr="00C57140">
        <w:rPr>
          <w:rFonts w:hint="eastAsia"/>
          <w:szCs w:val="24"/>
        </w:rPr>
        <w:t>90%</w:t>
      </w:r>
      <w:r w:rsidRPr="00C57140">
        <w:rPr>
          <w:rFonts w:hint="eastAsia"/>
          <w:szCs w:val="24"/>
        </w:rPr>
        <w:t>和乙肝治疗率达到</w:t>
      </w:r>
      <w:r w:rsidRPr="00C57140">
        <w:rPr>
          <w:rFonts w:hint="eastAsia"/>
          <w:szCs w:val="24"/>
        </w:rPr>
        <w:t>80%</w:t>
      </w:r>
      <w:r w:rsidRPr="00C57140">
        <w:rPr>
          <w:rFonts w:hint="eastAsia"/>
          <w:szCs w:val="24"/>
        </w:rPr>
        <w:t>。</w:t>
      </w:r>
      <w:r w:rsidRPr="00C57140">
        <w:rPr>
          <w:rFonts w:hint="eastAsia"/>
          <w:szCs w:val="24"/>
        </w:rPr>
        <w:t>2022</w:t>
      </w:r>
      <w:r w:rsidRPr="00C57140">
        <w:rPr>
          <w:rFonts w:hint="eastAsia"/>
          <w:szCs w:val="24"/>
        </w:rPr>
        <w:t>年，全球乙型肝炎的诊断率和治疗率分别为</w:t>
      </w:r>
      <w:r w:rsidRPr="00C57140">
        <w:rPr>
          <w:rFonts w:hint="eastAsia"/>
          <w:szCs w:val="24"/>
        </w:rPr>
        <w:t>13.4%</w:t>
      </w:r>
      <w:r w:rsidRPr="00C57140">
        <w:rPr>
          <w:rFonts w:hint="eastAsia"/>
          <w:szCs w:val="24"/>
        </w:rPr>
        <w:t>和</w:t>
      </w:r>
      <w:r w:rsidRPr="00C57140">
        <w:rPr>
          <w:rFonts w:hint="eastAsia"/>
          <w:szCs w:val="24"/>
        </w:rPr>
        <w:t>2.6%</w:t>
      </w:r>
      <w:r w:rsidRPr="00C57140">
        <w:rPr>
          <w:rFonts w:hint="eastAsia"/>
          <w:szCs w:val="24"/>
        </w:rPr>
        <w:t>，远低于</w:t>
      </w:r>
      <w:r w:rsidRPr="00C57140">
        <w:rPr>
          <w:rFonts w:hint="eastAsia"/>
          <w:szCs w:val="24"/>
        </w:rPr>
        <w:t>WHO</w:t>
      </w:r>
      <w:r w:rsidRPr="00C57140">
        <w:rPr>
          <w:rFonts w:hint="eastAsia"/>
          <w:szCs w:val="24"/>
        </w:rPr>
        <w:t>提出的消除病毒性肝炎目标。</w:t>
      </w:r>
    </w:p>
    <w:p w14:paraId="69C52F05" w14:textId="72E2C53C" w:rsidR="00C57140" w:rsidRPr="00C57140" w:rsidRDefault="00C57140" w:rsidP="00C57140">
      <w:pPr>
        <w:pStyle w:val="a0"/>
        <w:spacing w:before="156"/>
        <w:ind w:firstLine="480"/>
        <w:rPr>
          <w:szCs w:val="24"/>
        </w:rPr>
      </w:pPr>
      <w:r w:rsidRPr="00C57140">
        <w:rPr>
          <w:rFonts w:hint="eastAsia"/>
          <w:szCs w:val="24"/>
        </w:rPr>
        <w:t>据《中国卫生健康统计年鉴（</w:t>
      </w:r>
      <w:r w:rsidRPr="00C57140">
        <w:rPr>
          <w:rFonts w:hint="eastAsia"/>
          <w:szCs w:val="24"/>
        </w:rPr>
        <w:t>2022</w:t>
      </w:r>
      <w:r w:rsidRPr="00C57140">
        <w:rPr>
          <w:rFonts w:hint="eastAsia"/>
          <w:szCs w:val="24"/>
        </w:rPr>
        <w:t>）》数据显示，</w:t>
      </w:r>
      <w:r w:rsidRPr="00C57140">
        <w:rPr>
          <w:rFonts w:hint="eastAsia"/>
          <w:szCs w:val="24"/>
        </w:rPr>
        <w:t>2021</w:t>
      </w:r>
      <w:r w:rsidRPr="00C57140">
        <w:rPr>
          <w:rFonts w:hint="eastAsia"/>
          <w:szCs w:val="24"/>
        </w:rPr>
        <w:t>年共有</w:t>
      </w:r>
      <w:r w:rsidRPr="00C57140">
        <w:rPr>
          <w:rFonts w:hint="eastAsia"/>
          <w:szCs w:val="24"/>
        </w:rPr>
        <w:t>2,800</w:t>
      </w:r>
      <w:r w:rsidRPr="00C57140">
        <w:rPr>
          <w:rFonts w:hint="eastAsia"/>
          <w:szCs w:val="24"/>
        </w:rPr>
        <w:t>万乙肝患者，中国乙肝病毒携带者数量约为</w:t>
      </w:r>
      <w:r w:rsidRPr="00C57140">
        <w:rPr>
          <w:rFonts w:hint="eastAsia"/>
          <w:szCs w:val="24"/>
        </w:rPr>
        <w:t>8,600</w:t>
      </w:r>
      <w:r w:rsidRPr="00C57140">
        <w:rPr>
          <w:rFonts w:hint="eastAsia"/>
          <w:szCs w:val="24"/>
        </w:rPr>
        <w:t>万人，每年新发乙肝病人约</w:t>
      </w:r>
      <w:r w:rsidRPr="00C57140">
        <w:rPr>
          <w:rFonts w:hint="eastAsia"/>
          <w:szCs w:val="24"/>
        </w:rPr>
        <w:t>100</w:t>
      </w:r>
      <w:r w:rsidRPr="00C57140">
        <w:rPr>
          <w:rFonts w:hint="eastAsia"/>
          <w:szCs w:val="24"/>
        </w:rPr>
        <w:t>万人，我国乙型肝炎发病率为</w:t>
      </w:r>
      <w:r w:rsidRPr="00C57140">
        <w:rPr>
          <w:rFonts w:hint="eastAsia"/>
          <w:szCs w:val="24"/>
        </w:rPr>
        <w:t>69.25</w:t>
      </w:r>
      <w:r w:rsidRPr="00C57140">
        <w:rPr>
          <w:rFonts w:hint="eastAsia"/>
          <w:szCs w:val="24"/>
        </w:rPr>
        <w:t>人</w:t>
      </w:r>
      <w:r w:rsidRPr="00C57140">
        <w:rPr>
          <w:rFonts w:hint="eastAsia"/>
          <w:szCs w:val="24"/>
        </w:rPr>
        <w:t>/10</w:t>
      </w:r>
      <w:r w:rsidRPr="00C57140">
        <w:rPr>
          <w:rFonts w:hint="eastAsia"/>
          <w:szCs w:val="24"/>
        </w:rPr>
        <w:t>万人，死亡率为</w:t>
      </w:r>
      <w:r w:rsidRPr="00C57140">
        <w:rPr>
          <w:rFonts w:hint="eastAsia"/>
          <w:szCs w:val="24"/>
        </w:rPr>
        <w:t>0.03/10</w:t>
      </w:r>
      <w:r w:rsidRPr="00C57140">
        <w:rPr>
          <w:rFonts w:hint="eastAsia"/>
          <w:szCs w:val="24"/>
        </w:rPr>
        <w:t>万人。数据显示，我国自</w:t>
      </w:r>
      <w:r w:rsidRPr="00C57140">
        <w:rPr>
          <w:rFonts w:hint="eastAsia"/>
          <w:szCs w:val="24"/>
        </w:rPr>
        <w:t>2017</w:t>
      </w:r>
      <w:r w:rsidRPr="00C57140">
        <w:rPr>
          <w:rFonts w:hint="eastAsia"/>
          <w:szCs w:val="24"/>
        </w:rPr>
        <w:t>年以来每年乙肝新发患者数量基本维持在</w:t>
      </w:r>
      <w:r w:rsidRPr="00C57140">
        <w:rPr>
          <w:rFonts w:hint="eastAsia"/>
          <w:szCs w:val="24"/>
        </w:rPr>
        <w:t>100</w:t>
      </w:r>
      <w:r w:rsidRPr="00C57140">
        <w:rPr>
          <w:rFonts w:hint="eastAsia"/>
          <w:szCs w:val="24"/>
        </w:rPr>
        <w:t>万人左右。《慢性乙型肝炎防治指南（</w:t>
      </w:r>
      <w:r w:rsidRPr="00C57140">
        <w:rPr>
          <w:rFonts w:hint="eastAsia"/>
          <w:szCs w:val="24"/>
        </w:rPr>
        <w:t>2022</w:t>
      </w:r>
      <w:r w:rsidRPr="00C57140">
        <w:rPr>
          <w:rFonts w:hint="eastAsia"/>
          <w:szCs w:val="24"/>
        </w:rPr>
        <w:t>年版）》</w:t>
      </w:r>
      <w:r w:rsidRPr="00C57140">
        <w:rPr>
          <w:rFonts w:hint="eastAsia"/>
          <w:szCs w:val="24"/>
        </w:rPr>
        <w:t xml:space="preserve"> </w:t>
      </w:r>
      <w:r w:rsidRPr="00C57140">
        <w:rPr>
          <w:rFonts w:hint="eastAsia"/>
          <w:szCs w:val="24"/>
        </w:rPr>
        <w:t>指出，目前我国</w:t>
      </w:r>
      <w:r w:rsidRPr="00C57140">
        <w:rPr>
          <w:rFonts w:hint="eastAsia"/>
          <w:szCs w:val="24"/>
        </w:rPr>
        <w:t>CHB</w:t>
      </w:r>
      <w:r w:rsidRPr="00C57140">
        <w:rPr>
          <w:rFonts w:hint="eastAsia"/>
          <w:szCs w:val="24"/>
        </w:rPr>
        <w:t>的诊断率为</w:t>
      </w:r>
      <w:r w:rsidRPr="00C57140">
        <w:rPr>
          <w:rFonts w:hint="eastAsia"/>
          <w:szCs w:val="24"/>
        </w:rPr>
        <w:t>22%</w:t>
      </w:r>
      <w:r w:rsidRPr="00C57140">
        <w:rPr>
          <w:rFonts w:hint="eastAsia"/>
          <w:szCs w:val="24"/>
        </w:rPr>
        <w:t>，治疗率为</w:t>
      </w:r>
      <w:r w:rsidRPr="00C57140">
        <w:rPr>
          <w:rFonts w:hint="eastAsia"/>
          <w:szCs w:val="24"/>
        </w:rPr>
        <w:t>15%</w:t>
      </w:r>
      <w:r w:rsidRPr="00C57140">
        <w:rPr>
          <w:rFonts w:hint="eastAsia"/>
          <w:szCs w:val="24"/>
        </w:rPr>
        <w:t>，远低于</w:t>
      </w:r>
      <w:r w:rsidRPr="00C57140">
        <w:rPr>
          <w:rFonts w:hint="eastAsia"/>
          <w:szCs w:val="24"/>
        </w:rPr>
        <w:t>WHO</w:t>
      </w:r>
      <w:r w:rsidRPr="00C57140">
        <w:rPr>
          <w:rFonts w:hint="eastAsia"/>
          <w:szCs w:val="24"/>
        </w:rPr>
        <w:t>提出的“</w:t>
      </w:r>
      <w:r w:rsidRPr="00C57140">
        <w:rPr>
          <w:rFonts w:hint="eastAsia"/>
          <w:szCs w:val="24"/>
        </w:rPr>
        <w:t>2030</w:t>
      </w:r>
      <w:r w:rsidRPr="00C57140">
        <w:rPr>
          <w:rFonts w:hint="eastAsia"/>
          <w:szCs w:val="24"/>
        </w:rPr>
        <w:t>年消除病毒性肝炎作为公共卫生危害”的目标，即</w:t>
      </w:r>
      <w:r w:rsidRPr="00C57140">
        <w:rPr>
          <w:rFonts w:hint="eastAsia"/>
          <w:szCs w:val="24"/>
        </w:rPr>
        <w:t>CHB</w:t>
      </w:r>
      <w:r w:rsidRPr="00C57140">
        <w:rPr>
          <w:rFonts w:hint="eastAsia"/>
          <w:szCs w:val="24"/>
        </w:rPr>
        <w:t>新发感染率减少</w:t>
      </w:r>
      <w:r w:rsidRPr="00C57140">
        <w:rPr>
          <w:rFonts w:hint="eastAsia"/>
          <w:szCs w:val="24"/>
        </w:rPr>
        <w:t>90%</w:t>
      </w:r>
      <w:r w:rsidRPr="00C57140">
        <w:rPr>
          <w:rFonts w:hint="eastAsia"/>
          <w:szCs w:val="24"/>
        </w:rPr>
        <w:t>、死亡率减少</w:t>
      </w:r>
      <w:r w:rsidRPr="00C57140">
        <w:rPr>
          <w:rFonts w:hint="eastAsia"/>
          <w:szCs w:val="24"/>
        </w:rPr>
        <w:t>65%</w:t>
      </w:r>
      <w:r w:rsidRPr="00C57140">
        <w:rPr>
          <w:rFonts w:hint="eastAsia"/>
          <w:szCs w:val="24"/>
        </w:rPr>
        <w:t>、诊断率达到</w:t>
      </w:r>
      <w:r w:rsidRPr="00C57140">
        <w:rPr>
          <w:rFonts w:hint="eastAsia"/>
          <w:szCs w:val="24"/>
        </w:rPr>
        <w:t>90%</w:t>
      </w:r>
      <w:r w:rsidRPr="00C57140">
        <w:rPr>
          <w:rFonts w:hint="eastAsia"/>
          <w:szCs w:val="24"/>
        </w:rPr>
        <w:t>和治疗率达到</w:t>
      </w:r>
      <w:r w:rsidRPr="00C57140">
        <w:rPr>
          <w:rFonts w:hint="eastAsia"/>
          <w:szCs w:val="24"/>
        </w:rPr>
        <w:t>80%</w:t>
      </w:r>
      <w:r w:rsidRPr="00C57140">
        <w:rPr>
          <w:rFonts w:hint="eastAsia"/>
          <w:szCs w:val="24"/>
        </w:rPr>
        <w:t>。</w:t>
      </w:r>
    </w:p>
    <w:p w14:paraId="4CA9D50B" w14:textId="44AB18CA" w:rsidR="00C57140" w:rsidRDefault="0061258F" w:rsidP="00C57140">
      <w:pPr>
        <w:pStyle w:val="a0"/>
        <w:spacing w:before="156"/>
        <w:ind w:firstLine="480"/>
        <w:rPr>
          <w:szCs w:val="24"/>
        </w:rPr>
      </w:pPr>
      <w:r>
        <w:rPr>
          <w:rFonts w:hint="eastAsia"/>
          <w:szCs w:val="24"/>
        </w:rPr>
        <w:lastRenderedPageBreak/>
        <w:t>目前</w:t>
      </w:r>
      <w:r w:rsidR="00C57140" w:rsidRPr="00C57140">
        <w:rPr>
          <w:rFonts w:hint="eastAsia"/>
          <w:szCs w:val="24"/>
        </w:rPr>
        <w:t>我国</w:t>
      </w:r>
      <w:r>
        <w:rPr>
          <w:rFonts w:hint="eastAsia"/>
          <w:szCs w:val="24"/>
        </w:rPr>
        <w:t>乙肝</w:t>
      </w:r>
      <w:r w:rsidR="00C57140" w:rsidRPr="00C57140">
        <w:rPr>
          <w:rFonts w:hint="eastAsia"/>
          <w:szCs w:val="24"/>
        </w:rPr>
        <w:t>就诊率和治疗率偏低，由于</w:t>
      </w:r>
      <w:r w:rsidR="00C57140" w:rsidRPr="00C57140">
        <w:rPr>
          <w:rFonts w:hint="eastAsia"/>
          <w:szCs w:val="24"/>
        </w:rPr>
        <w:t>HBV</w:t>
      </w:r>
      <w:r w:rsidR="00C57140" w:rsidRPr="00C57140">
        <w:rPr>
          <w:rFonts w:hint="eastAsia"/>
          <w:szCs w:val="24"/>
        </w:rPr>
        <w:t>感染引起的原发性肝癌和肝硬化患者比例高达</w:t>
      </w:r>
      <w:r w:rsidR="00C57140" w:rsidRPr="00C57140">
        <w:rPr>
          <w:rFonts w:hint="eastAsia"/>
          <w:szCs w:val="24"/>
        </w:rPr>
        <w:t>80%</w:t>
      </w:r>
      <w:r w:rsidR="00C57140" w:rsidRPr="00C57140">
        <w:rPr>
          <w:rFonts w:hint="eastAsia"/>
          <w:szCs w:val="24"/>
        </w:rPr>
        <w:t>和</w:t>
      </w:r>
      <w:r w:rsidR="00C57140" w:rsidRPr="00C57140">
        <w:rPr>
          <w:rFonts w:hint="eastAsia"/>
          <w:szCs w:val="24"/>
        </w:rPr>
        <w:t>60%</w:t>
      </w:r>
      <w:r w:rsidR="00C57140" w:rsidRPr="00C57140">
        <w:rPr>
          <w:rFonts w:hint="eastAsia"/>
          <w:szCs w:val="24"/>
        </w:rPr>
        <w:t>，乙肝患者对于功能性治愈需求迫切，未来乙肝功能性治愈存在巨量需求。预计未来随着诊断率的进一步提升，核苷（酸）类药物渗透率的提高以及更多创新型乙型肝炎病毒药物的上市，乙肝药物市场有望开始大幅增长，根据</w:t>
      </w:r>
      <w:r w:rsidR="00C57140" w:rsidRPr="00C57140">
        <w:rPr>
          <w:rFonts w:hint="eastAsia"/>
          <w:szCs w:val="24"/>
        </w:rPr>
        <w:t>Frost&amp;Sullivan</w:t>
      </w:r>
      <w:r w:rsidR="00C57140" w:rsidRPr="00C57140">
        <w:rPr>
          <w:rFonts w:hint="eastAsia"/>
          <w:szCs w:val="24"/>
        </w:rPr>
        <w:t>统计数据显示，预计到</w:t>
      </w:r>
      <w:r w:rsidR="00C57140" w:rsidRPr="00C57140">
        <w:rPr>
          <w:rFonts w:hint="eastAsia"/>
          <w:szCs w:val="24"/>
        </w:rPr>
        <w:t>2030</w:t>
      </w:r>
      <w:r w:rsidR="00C57140" w:rsidRPr="00C57140">
        <w:rPr>
          <w:rFonts w:hint="eastAsia"/>
          <w:szCs w:val="24"/>
        </w:rPr>
        <w:t>年，我国乙肝病毒药物市场规模将突破</w:t>
      </w:r>
      <w:r w:rsidR="00C57140" w:rsidRPr="00C57140">
        <w:rPr>
          <w:rFonts w:hint="eastAsia"/>
          <w:szCs w:val="24"/>
        </w:rPr>
        <w:t>700</w:t>
      </w:r>
      <w:r w:rsidR="00C57140" w:rsidRPr="00C57140">
        <w:rPr>
          <w:rFonts w:hint="eastAsia"/>
          <w:szCs w:val="24"/>
        </w:rPr>
        <w:t>亿元。</w:t>
      </w:r>
    </w:p>
    <w:p w14:paraId="2A5ED500" w14:textId="77777777" w:rsidR="00C57140" w:rsidRPr="00C57140" w:rsidRDefault="00C57140" w:rsidP="00C57140">
      <w:pPr>
        <w:pStyle w:val="a0"/>
        <w:spacing w:before="156"/>
        <w:ind w:firstLine="480"/>
        <w:rPr>
          <w:szCs w:val="24"/>
        </w:rPr>
      </w:pPr>
      <w:r w:rsidRPr="00C57140">
        <w:rPr>
          <w:rFonts w:hint="eastAsia"/>
          <w:szCs w:val="24"/>
        </w:rPr>
        <w:t>因此，乙肝治愈药物将为众多需要长期服药的慢性乙肝患者提供持续优化的解决方案，具有广阔的市场空间和市场需求。</w:t>
      </w:r>
    </w:p>
    <w:p w14:paraId="131E17DA" w14:textId="77777777" w:rsidR="00C57140" w:rsidRPr="00C57140" w:rsidRDefault="00C57140" w:rsidP="00C57140">
      <w:pPr>
        <w:adjustRightInd w:val="0"/>
        <w:spacing w:beforeLines="50" w:before="156" w:line="360" w:lineRule="auto"/>
        <w:ind w:firstLineChars="200" w:firstLine="482"/>
        <w:rPr>
          <w:b/>
          <w:sz w:val="24"/>
        </w:rPr>
      </w:pPr>
      <w:r w:rsidRPr="00C57140">
        <w:rPr>
          <w:rFonts w:hint="eastAsia"/>
          <w:b/>
          <w:sz w:val="24"/>
        </w:rPr>
        <w:t>4</w:t>
      </w:r>
      <w:r w:rsidRPr="00C57140">
        <w:rPr>
          <w:rFonts w:hint="eastAsia"/>
          <w:b/>
          <w:sz w:val="24"/>
        </w:rPr>
        <w:t>、中医药产业进入红利窗口期</w:t>
      </w:r>
    </w:p>
    <w:p w14:paraId="4923E2CE" w14:textId="77777777" w:rsidR="00FE0D06" w:rsidRPr="00FE0D06" w:rsidRDefault="00FE0D06" w:rsidP="00FE0D06">
      <w:pPr>
        <w:adjustRightInd w:val="0"/>
        <w:spacing w:beforeLines="50" w:before="156" w:line="360" w:lineRule="auto"/>
        <w:ind w:firstLineChars="200" w:firstLine="480"/>
        <w:rPr>
          <w:sz w:val="24"/>
        </w:rPr>
      </w:pPr>
      <w:r w:rsidRPr="00FE0D06">
        <w:rPr>
          <w:rFonts w:hint="eastAsia"/>
          <w:sz w:val="24"/>
        </w:rPr>
        <w:t>随着我国人口老龄化进程不断加剧，国人对养生保健的需求呈刚性增长。中药在“治未病”以及调理身心、养生保健方面具有独特的优势，能够有效增强国民体质，降低疾病发生率，进而减少就医频次，有助于实现医保控费的目标。所以政府鼓励中药产业发展。同时，中药养生也符合大消费概念。受药品集中采购和医保控费影响，药企上市公司也在向创新药和大健康、大消费转型。</w:t>
      </w:r>
    </w:p>
    <w:p w14:paraId="18F74FBF" w14:textId="75DC543F" w:rsidR="00C57140" w:rsidRPr="00C57140" w:rsidRDefault="00FE0D06" w:rsidP="00C57140">
      <w:pPr>
        <w:pStyle w:val="a0"/>
        <w:spacing w:before="156"/>
        <w:ind w:firstLine="480"/>
        <w:rPr>
          <w:szCs w:val="24"/>
        </w:rPr>
      </w:pPr>
      <w:r w:rsidRPr="00FE0D06">
        <w:rPr>
          <w:rFonts w:hint="eastAsia"/>
        </w:rPr>
        <w:t>我国老龄化社会来临，疾病防治需求提升。国家统计局数据显示，</w:t>
      </w:r>
      <w:r w:rsidRPr="00FE0D06">
        <w:rPr>
          <w:rFonts w:hint="eastAsia"/>
        </w:rPr>
        <w:t>2022</w:t>
      </w:r>
      <w:r w:rsidRPr="00FE0D06">
        <w:rPr>
          <w:rFonts w:hint="eastAsia"/>
        </w:rPr>
        <w:t>年底中国</w:t>
      </w:r>
      <w:r w:rsidRPr="00FE0D06">
        <w:rPr>
          <w:rFonts w:hint="eastAsia"/>
        </w:rPr>
        <w:t>65</w:t>
      </w:r>
      <w:r w:rsidRPr="00FE0D06">
        <w:rPr>
          <w:rFonts w:hint="eastAsia"/>
        </w:rPr>
        <w:t>岁以上老年人口达到</w:t>
      </w:r>
      <w:r w:rsidRPr="00FE0D06">
        <w:rPr>
          <w:rFonts w:hint="eastAsia"/>
        </w:rPr>
        <w:t>2.1</w:t>
      </w:r>
      <w:r w:rsidRPr="00FE0D06">
        <w:rPr>
          <w:rFonts w:hint="eastAsia"/>
        </w:rPr>
        <w:t>亿人，老年人口占全国人口的比例亦提升到</w:t>
      </w:r>
      <w:r w:rsidRPr="00FE0D06">
        <w:rPr>
          <w:rFonts w:hint="eastAsia"/>
        </w:rPr>
        <w:t>14.2%</w:t>
      </w:r>
      <w:r w:rsidRPr="00FE0D06">
        <w:rPr>
          <w:rFonts w:hint="eastAsia"/>
        </w:rPr>
        <w:t>，</w:t>
      </w:r>
      <w:r w:rsidRPr="00FE0D06">
        <w:rPr>
          <w:rFonts w:hint="eastAsia"/>
        </w:rPr>
        <w:t>2024</w:t>
      </w:r>
      <w:r w:rsidRPr="00FE0D06">
        <w:rPr>
          <w:rFonts w:hint="eastAsia"/>
        </w:rPr>
        <w:t>年末进一步升高达到</w:t>
      </w:r>
      <w:r w:rsidRPr="00FE0D06">
        <w:rPr>
          <w:rFonts w:hint="eastAsia"/>
        </w:rPr>
        <w:t>15.6%</w:t>
      </w:r>
      <w:r w:rsidRPr="00FE0D06">
        <w:rPr>
          <w:rFonts w:hint="eastAsia"/>
        </w:rPr>
        <w:t>，标志着我国跨入中度老龄化社会，疾病预防、治疗与康复需求进一步提升，中医药提前介入下有望延缓或阻断疾病发展，医疗保健需求逐步升级，中医药产业进入红利窗口期。</w:t>
      </w:r>
    </w:p>
    <w:p w14:paraId="12CBE1A2" w14:textId="62BB0B1B" w:rsidR="004C71D1" w:rsidRPr="00C57140" w:rsidRDefault="00C57140" w:rsidP="00C57140">
      <w:pPr>
        <w:pStyle w:val="a0"/>
        <w:spacing w:before="156"/>
        <w:ind w:firstLine="480"/>
        <w:rPr>
          <w:szCs w:val="24"/>
        </w:rPr>
      </w:pPr>
      <w:r w:rsidRPr="00C57140">
        <w:rPr>
          <w:rFonts w:hint="eastAsia"/>
          <w:szCs w:val="24"/>
        </w:rPr>
        <w:t>政策推动中医药产业高质量发展。</w:t>
      </w:r>
      <w:r w:rsidRPr="00C57140">
        <w:rPr>
          <w:rFonts w:hint="eastAsia"/>
          <w:szCs w:val="24"/>
        </w:rPr>
        <w:t>2016</w:t>
      </w:r>
      <w:r w:rsidRPr="00C57140">
        <w:rPr>
          <w:rFonts w:hint="eastAsia"/>
          <w:szCs w:val="24"/>
        </w:rPr>
        <w:t>年至今，中医药政策不断出台，推进中医药现代化，助力产业升级，在审评审批端、医保支付端上给予更多的利好，并明确中医药的发展定位：在治未病中作主导作用、在重大疾病治疗起协同作用、在疾病康复中发挥核心作用。《“十四五”中医药发展规划》提出持续提升中医药健康服务能力，明确中医药在预防、治疗与康复中的特色优势领域，其多对应现代高发疾病，未来更多中医优势病种临床路径与诊疗方案公布后，中医需求或将扩大，行业有望加速发展。</w:t>
      </w:r>
    </w:p>
    <w:p w14:paraId="329BCCE8" w14:textId="2FC6A7F3" w:rsidR="004C71D1" w:rsidRDefault="00966BCB">
      <w:pPr>
        <w:spacing w:beforeLines="50" w:before="156" w:line="360" w:lineRule="auto"/>
        <w:ind w:firstLineChars="200" w:firstLine="482"/>
        <w:outlineLvl w:val="2"/>
        <w:rPr>
          <w:b/>
          <w:snapToGrid w:val="0"/>
          <w:sz w:val="24"/>
        </w:rPr>
      </w:pPr>
      <w:r>
        <w:rPr>
          <w:b/>
          <w:snapToGrid w:val="0"/>
          <w:sz w:val="24"/>
        </w:rPr>
        <w:t>（</w:t>
      </w:r>
      <w:r>
        <w:rPr>
          <w:rFonts w:hint="eastAsia"/>
          <w:b/>
          <w:snapToGrid w:val="0"/>
          <w:sz w:val="24"/>
        </w:rPr>
        <w:t>二</w:t>
      </w:r>
      <w:r>
        <w:rPr>
          <w:b/>
          <w:snapToGrid w:val="0"/>
          <w:sz w:val="24"/>
        </w:rPr>
        <w:t>）本次</w:t>
      </w:r>
      <w:r w:rsidR="003A35FD">
        <w:rPr>
          <w:b/>
          <w:snapToGrid w:val="0"/>
          <w:sz w:val="24"/>
        </w:rPr>
        <w:t>向特定对象发行</w:t>
      </w:r>
      <w:r w:rsidR="003A35FD">
        <w:rPr>
          <w:b/>
          <w:snapToGrid w:val="0"/>
          <w:sz w:val="24"/>
        </w:rPr>
        <w:t>A</w:t>
      </w:r>
      <w:r w:rsidR="003A35FD">
        <w:rPr>
          <w:b/>
          <w:snapToGrid w:val="0"/>
          <w:sz w:val="24"/>
        </w:rPr>
        <w:t>股股票</w:t>
      </w:r>
      <w:r>
        <w:rPr>
          <w:b/>
          <w:snapToGrid w:val="0"/>
          <w:sz w:val="24"/>
        </w:rPr>
        <w:t>的目的</w:t>
      </w:r>
    </w:p>
    <w:p w14:paraId="1E10BDF2" w14:textId="77777777" w:rsidR="004C71D1" w:rsidRDefault="00966BCB">
      <w:pPr>
        <w:spacing w:beforeLines="50" w:before="156" w:line="360" w:lineRule="auto"/>
        <w:ind w:firstLineChars="200" w:firstLine="482"/>
        <w:rPr>
          <w:b/>
          <w:sz w:val="24"/>
        </w:rPr>
      </w:pPr>
      <w:r>
        <w:rPr>
          <w:b/>
          <w:sz w:val="24"/>
        </w:rPr>
        <w:lastRenderedPageBreak/>
        <w:t>1</w:t>
      </w:r>
      <w:r>
        <w:rPr>
          <w:rFonts w:hint="eastAsia"/>
          <w:b/>
          <w:sz w:val="24"/>
        </w:rPr>
        <w:t>、加快推进公司新药研发进程，增强公司研发创新能力与盈利能力</w:t>
      </w:r>
    </w:p>
    <w:p w14:paraId="0353A258" w14:textId="3354EC4D" w:rsidR="004C71D1" w:rsidRDefault="00FE0D06">
      <w:pPr>
        <w:spacing w:beforeLines="50" w:before="156" w:line="360" w:lineRule="auto"/>
        <w:ind w:firstLineChars="200" w:firstLine="480"/>
        <w:rPr>
          <w:sz w:val="24"/>
          <w:szCs w:val="22"/>
        </w:rPr>
      </w:pPr>
      <w:r w:rsidRPr="00FE0D06">
        <w:rPr>
          <w:rFonts w:hint="eastAsia"/>
          <w:sz w:val="24"/>
          <w:szCs w:val="22"/>
        </w:rPr>
        <w:t>在医药企业持续增强研发的行业大趋势下，为增强公司研发创新能力，强化核心竞争力，进一步丰富公司的产品布局，公司基于自身主营业务领域，持续推进创新药研发。截至本</w:t>
      </w:r>
      <w:r>
        <w:rPr>
          <w:rFonts w:hint="eastAsia"/>
          <w:sz w:val="24"/>
          <w:szCs w:val="22"/>
        </w:rPr>
        <w:t>报告</w:t>
      </w:r>
      <w:r w:rsidRPr="00FE0D06">
        <w:rPr>
          <w:rFonts w:hint="eastAsia"/>
          <w:sz w:val="24"/>
          <w:szCs w:val="22"/>
        </w:rPr>
        <w:t>公告之日，公司已有一款国家一类创新药成功注册上市，另有五款处于临床试验阶段的在研创新药物，部分药物目前已取得了良好的试验结果。通过本次向特定对象发行</w:t>
      </w:r>
      <w:r w:rsidRPr="00FE0D06">
        <w:rPr>
          <w:rFonts w:hint="eastAsia"/>
          <w:sz w:val="24"/>
          <w:szCs w:val="22"/>
        </w:rPr>
        <w:t>A</w:t>
      </w:r>
      <w:r w:rsidRPr="00FE0D06">
        <w:rPr>
          <w:rFonts w:hint="eastAsia"/>
          <w:sz w:val="24"/>
          <w:szCs w:val="22"/>
        </w:rPr>
        <w:t>股股票，有助于进一步扩充公司的资金来源，加快上述创新药研发进程，扩充公司新产品管线，为公司创造新的利润增长点，增强公司抵御市场风险的能力。同时，本项目成功实施后，有利于增强公司的研发创新能力，提升公司在创新药领域的整体实力和市场布局。公司通过收购中药传统名方并建设配套生产线，通过优质工艺、高品质道地药材提升产品品质，以实现更高的附加值，适应国内快速增长的大健康消费升级需求。因此，实施中药传统名方产业化项目，有利于增强公司未来盈利能力，符合公司利益及发展战略。</w:t>
      </w:r>
    </w:p>
    <w:p w14:paraId="3A87AAA3" w14:textId="77777777" w:rsidR="004C71D1" w:rsidRDefault="00966BCB">
      <w:pPr>
        <w:spacing w:beforeLines="50" w:before="156" w:afterLines="50" w:after="156" w:line="360" w:lineRule="auto"/>
        <w:ind w:firstLineChars="200" w:firstLine="482"/>
        <w:rPr>
          <w:sz w:val="24"/>
        </w:rPr>
      </w:pPr>
      <w:r>
        <w:rPr>
          <w:rFonts w:hint="eastAsia"/>
          <w:b/>
          <w:sz w:val="24"/>
        </w:rPr>
        <w:t>2</w:t>
      </w:r>
      <w:r>
        <w:rPr>
          <w:rFonts w:hint="eastAsia"/>
          <w:b/>
          <w:sz w:val="24"/>
        </w:rPr>
        <w:t>、优化财务结构，保障公司的持续、稳定、健康发展</w:t>
      </w:r>
    </w:p>
    <w:p w14:paraId="01AA108E" w14:textId="400AE71A" w:rsidR="004C71D1" w:rsidRDefault="00C57140">
      <w:pPr>
        <w:spacing w:beforeLines="50" w:before="156" w:line="360" w:lineRule="auto"/>
        <w:ind w:firstLineChars="200" w:firstLine="480"/>
        <w:rPr>
          <w:sz w:val="24"/>
          <w:szCs w:val="22"/>
        </w:rPr>
      </w:pPr>
      <w:r w:rsidRPr="00C57140">
        <w:rPr>
          <w:rFonts w:hint="eastAsia"/>
          <w:sz w:val="24"/>
          <w:szCs w:val="22"/>
        </w:rPr>
        <w:t>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C57140">
        <w:rPr>
          <w:rFonts w:hint="eastAsia"/>
          <w:sz w:val="24"/>
          <w:szCs w:val="22"/>
        </w:rPr>
        <w:t>募集资金到位后，公司的资产总额和资产净额均将有较大幅度的提高，资产结构将更加稳健，有利于降低财务风险，提高偿债能力、后续融资能力，保障公司的持续、稳定、健康发展。公司整体资本实力的提高，也有利于公司在未来充满变化的市场竞争环境中提升抗风险能力，为核心业务增长与业务战略布局提供长期资金支持，从而提升公司的核心竞争能力和持续盈利能力。</w:t>
      </w:r>
    </w:p>
    <w:p w14:paraId="7449B9D3" w14:textId="77777777" w:rsidR="004C71D1" w:rsidRDefault="00966BCB">
      <w:pPr>
        <w:keepNext/>
        <w:spacing w:beforeLines="50" w:before="156" w:line="360" w:lineRule="auto"/>
        <w:outlineLvl w:val="1"/>
        <w:rPr>
          <w:b/>
          <w:snapToGrid w:val="0"/>
          <w:sz w:val="28"/>
          <w:szCs w:val="28"/>
        </w:rPr>
      </w:pPr>
      <w:r>
        <w:rPr>
          <w:rFonts w:hint="eastAsia"/>
          <w:b/>
          <w:snapToGrid w:val="0"/>
          <w:sz w:val="28"/>
          <w:szCs w:val="28"/>
        </w:rPr>
        <w:t>二、本次发行证券及其品种选择的必要性</w:t>
      </w:r>
    </w:p>
    <w:p w14:paraId="4B6AD43B"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（一）本次发行证券的品种</w:t>
      </w:r>
    </w:p>
    <w:p w14:paraId="5C5CB51F" w14:textId="7D50AC74" w:rsidR="004C71D1" w:rsidRDefault="00966BCB">
      <w:pPr>
        <w:pStyle w:val="a0"/>
        <w:spacing w:before="156"/>
        <w:ind w:firstLineChars="0" w:firstLine="480"/>
      </w:pPr>
      <w:r>
        <w:t>本次</w:t>
      </w:r>
      <w:r w:rsidR="003A35FD">
        <w:t>向特定对象发行</w:t>
      </w:r>
      <w:r w:rsidR="003A35FD">
        <w:t>A</w:t>
      </w:r>
      <w:r w:rsidR="003A35FD">
        <w:t>股股票</w:t>
      </w:r>
      <w:r>
        <w:t>的股票种类为境内上市人民币普通股（</w:t>
      </w:r>
      <w:r>
        <w:t>A</w:t>
      </w:r>
      <w:r>
        <w:t>股）</w:t>
      </w:r>
      <w:r>
        <w:rPr>
          <w:rFonts w:hint="eastAsia"/>
        </w:rPr>
        <w:t>，每股面值为人民币</w:t>
      </w:r>
      <w:r>
        <w:rPr>
          <w:rFonts w:hint="eastAsia"/>
        </w:rPr>
        <w:t>1.00</w:t>
      </w:r>
      <w:r>
        <w:rPr>
          <w:rFonts w:hint="eastAsia"/>
        </w:rPr>
        <w:t>元。</w:t>
      </w:r>
    </w:p>
    <w:p w14:paraId="6B9D505C"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（二）本次发行证券品种选择的必要性</w:t>
      </w:r>
    </w:p>
    <w:p w14:paraId="0D20BB0F" w14:textId="2E97BAC3" w:rsidR="004C71D1" w:rsidRDefault="00966BCB">
      <w:pPr>
        <w:spacing w:beforeLines="50" w:before="156" w:afterLines="50" w:after="156" w:line="360" w:lineRule="auto"/>
        <w:ind w:firstLineChars="200" w:firstLine="482"/>
        <w:rPr>
          <w:b/>
          <w:sz w:val="24"/>
        </w:rPr>
      </w:pPr>
      <w:r>
        <w:rPr>
          <w:rFonts w:hint="eastAsia"/>
          <w:b/>
          <w:sz w:val="24"/>
        </w:rPr>
        <w:t>1</w:t>
      </w:r>
      <w:r>
        <w:rPr>
          <w:rFonts w:hint="eastAsia"/>
          <w:b/>
          <w:sz w:val="24"/>
        </w:rPr>
        <w:t>、通过向特定对象发行</w:t>
      </w:r>
      <w:r w:rsidR="00A8509F">
        <w:rPr>
          <w:rFonts w:hint="eastAsia"/>
          <w:b/>
          <w:sz w:val="24"/>
        </w:rPr>
        <w:t>A</w:t>
      </w:r>
      <w:r w:rsidR="00A8509F">
        <w:rPr>
          <w:rFonts w:hint="eastAsia"/>
          <w:b/>
          <w:sz w:val="24"/>
        </w:rPr>
        <w:t>股</w:t>
      </w:r>
      <w:r>
        <w:rPr>
          <w:rFonts w:hint="eastAsia"/>
          <w:b/>
          <w:sz w:val="24"/>
        </w:rPr>
        <w:t>股票募集资金满足公司业务发展需求</w:t>
      </w:r>
    </w:p>
    <w:p w14:paraId="3BB4D5A3" w14:textId="382A718B" w:rsidR="004C71D1" w:rsidRDefault="00966BCB">
      <w:pPr>
        <w:spacing w:beforeLines="50" w:before="156" w:line="360" w:lineRule="auto"/>
        <w:ind w:firstLineChars="200" w:firstLine="480"/>
        <w:rPr>
          <w:sz w:val="24"/>
        </w:rPr>
      </w:pPr>
      <w:r>
        <w:rPr>
          <w:rFonts w:hint="eastAsia"/>
          <w:sz w:val="24"/>
        </w:rPr>
        <w:lastRenderedPageBreak/>
        <w:t>公司通过向特定对象发行</w:t>
      </w:r>
      <w:r w:rsidR="00A8509F">
        <w:rPr>
          <w:rFonts w:hint="eastAsia"/>
          <w:sz w:val="24"/>
        </w:rPr>
        <w:t>A</w:t>
      </w:r>
      <w:r w:rsidR="00A8509F">
        <w:rPr>
          <w:rFonts w:hint="eastAsia"/>
          <w:sz w:val="24"/>
        </w:rPr>
        <w:t>股</w:t>
      </w:r>
      <w:r>
        <w:rPr>
          <w:rFonts w:hint="eastAsia"/>
          <w:sz w:val="24"/>
        </w:rPr>
        <w:t>股票募集资金</w:t>
      </w:r>
      <w:r w:rsidR="00670784">
        <w:rPr>
          <w:rFonts w:hint="eastAsia"/>
          <w:sz w:val="24"/>
        </w:rPr>
        <w:t>用于</w:t>
      </w:r>
      <w:r w:rsidR="002F368E" w:rsidRPr="002F368E">
        <w:rPr>
          <w:rFonts w:hint="eastAsia"/>
          <w:sz w:val="24"/>
        </w:rPr>
        <w:t>“创新药研发项目”、“中药传统名方产业化”及“补充流动资金项目”</w:t>
      </w:r>
      <w:r>
        <w:rPr>
          <w:rFonts w:hint="eastAsia"/>
          <w:sz w:val="24"/>
        </w:rPr>
        <w:t>，募集资金投资项目的实施符合国家相关的产业政策以及公司未来的发展方向，是提升公司综合实力，扩大公司在创新药领域核心竞争力的重要举措，对公司的发展战略具有积极影响；有助于提高公司的抗风险能力和综合竞争力，巩固公司在行业内的优势地位，符合公司及公司全体股东的利益。</w:t>
      </w:r>
    </w:p>
    <w:p w14:paraId="2374A7FB" w14:textId="77777777" w:rsidR="004C71D1" w:rsidRDefault="00966BCB">
      <w:pPr>
        <w:spacing w:beforeLines="50" w:before="156" w:afterLines="50" w:after="156" w:line="360" w:lineRule="auto"/>
        <w:ind w:firstLineChars="200" w:firstLine="482"/>
        <w:rPr>
          <w:b/>
          <w:sz w:val="24"/>
        </w:rPr>
      </w:pPr>
      <w:r>
        <w:rPr>
          <w:rFonts w:hint="eastAsia"/>
          <w:b/>
          <w:sz w:val="24"/>
        </w:rPr>
        <w:t>2</w:t>
      </w:r>
      <w:r>
        <w:rPr>
          <w:rFonts w:hint="eastAsia"/>
          <w:b/>
          <w:sz w:val="24"/>
        </w:rPr>
        <w:t>、股权融资是适合公司现阶段选择的融资方式</w:t>
      </w:r>
    </w:p>
    <w:p w14:paraId="4D5D12E3" w14:textId="17389A4D" w:rsidR="004C71D1" w:rsidRDefault="00966BCB">
      <w:pPr>
        <w:spacing w:beforeLines="50" w:before="156" w:line="360" w:lineRule="auto"/>
        <w:ind w:firstLineChars="200" w:firstLine="480"/>
        <w:rPr>
          <w:sz w:val="24"/>
        </w:rPr>
      </w:pPr>
      <w:r>
        <w:rPr>
          <w:rFonts w:hint="eastAsia"/>
          <w:sz w:val="24"/>
        </w:rPr>
        <w:t>股权融资能使公司保持较为稳健的资本结构，减少公司未来的偿债压力，降低公司财务风险。随着公司经营业绩的增长，公司有能力消化股本扩张对即期收益的摊薄影响，保障公司股东的利益。通过本次向特定对象发行</w:t>
      </w:r>
      <w:r w:rsidR="00A8509F">
        <w:rPr>
          <w:rFonts w:hint="eastAsia"/>
          <w:sz w:val="24"/>
        </w:rPr>
        <w:t>A</w:t>
      </w:r>
      <w:r w:rsidR="00A8509F">
        <w:rPr>
          <w:rFonts w:hint="eastAsia"/>
          <w:sz w:val="24"/>
        </w:rPr>
        <w:t>股</w:t>
      </w:r>
      <w:r>
        <w:rPr>
          <w:rFonts w:hint="eastAsia"/>
          <w:sz w:val="24"/>
        </w:rPr>
        <w:t>股票募集资金，公司的总资产及净资产规模均相应增加，进一步增强资金实力，为后续发展提供有力保障。</w:t>
      </w:r>
    </w:p>
    <w:p w14:paraId="06AA6BFB" w14:textId="77777777" w:rsidR="004C71D1" w:rsidRDefault="00966BCB">
      <w:pPr>
        <w:keepNext/>
        <w:spacing w:beforeLines="50" w:before="156" w:line="360" w:lineRule="auto"/>
        <w:outlineLvl w:val="1"/>
        <w:rPr>
          <w:b/>
          <w:snapToGrid w:val="0"/>
          <w:sz w:val="28"/>
          <w:szCs w:val="28"/>
        </w:rPr>
      </w:pPr>
      <w:r>
        <w:rPr>
          <w:rFonts w:hint="eastAsia"/>
          <w:b/>
          <w:snapToGrid w:val="0"/>
          <w:sz w:val="28"/>
          <w:szCs w:val="28"/>
        </w:rPr>
        <w:t>三、本次发行对象的选择范围、数量和标准的适当性</w:t>
      </w:r>
    </w:p>
    <w:p w14:paraId="52FD23AC"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（一）本次发行对象选择范围的适当性</w:t>
      </w:r>
    </w:p>
    <w:p w14:paraId="713DA99A" w14:textId="3C3255C2"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本次向特定对象发行</w:t>
      </w:r>
      <w:r w:rsidR="00A8509F">
        <w:rPr>
          <w:rFonts w:hint="eastAsia"/>
          <w:sz w:val="24"/>
        </w:rPr>
        <w:t>A</w:t>
      </w:r>
      <w:r w:rsidR="00A8509F">
        <w:rPr>
          <w:rFonts w:hint="eastAsia"/>
          <w:sz w:val="24"/>
        </w:rPr>
        <w:t>股</w:t>
      </w:r>
      <w:r w:rsidRPr="00C57140">
        <w:rPr>
          <w:rFonts w:hint="eastAsia"/>
          <w:sz w:val="24"/>
        </w:rPr>
        <w:t>股票的发行对象为符合中国证监会规定的证券投资基金管理公司、证券公司、信托投资公司、财务公司、保险机构投资者、合格境外机构投资者及符合中国证监会规定的其他机构投资者、自然人或其他合格的投资者等不超过</w:t>
      </w:r>
      <w:r w:rsidRPr="00C57140">
        <w:rPr>
          <w:rFonts w:hint="eastAsia"/>
          <w:sz w:val="24"/>
        </w:rPr>
        <w:t>35</w:t>
      </w:r>
      <w:r w:rsidRPr="00C57140">
        <w:rPr>
          <w:rFonts w:hint="eastAsia"/>
          <w:sz w:val="24"/>
        </w:rPr>
        <w:t>名的特定投资者。证券投资基金管理公司、证券公司、合格境外机构投资者、人民币合格境外机构投资者以其管理的二只以上产品认购的，视为一个发行对象；信托公司作为发行对象，只能以自有资金认购。</w:t>
      </w:r>
    </w:p>
    <w:p w14:paraId="65A05FBF" w14:textId="6085D9FA"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最终发行对象由股东大会授权董事会在本次向特定对象发行</w:t>
      </w:r>
      <w:r w:rsidR="00A8509F">
        <w:rPr>
          <w:rFonts w:hint="eastAsia"/>
          <w:sz w:val="24"/>
        </w:rPr>
        <w:t>A</w:t>
      </w:r>
      <w:r w:rsidR="00A8509F">
        <w:rPr>
          <w:rFonts w:hint="eastAsia"/>
          <w:sz w:val="24"/>
        </w:rPr>
        <w:t>股</w:t>
      </w:r>
      <w:r w:rsidRPr="00C57140">
        <w:rPr>
          <w:rFonts w:hint="eastAsia"/>
          <w:sz w:val="24"/>
        </w:rPr>
        <w:t>股票申请获得深交所审核通过，并经中国证监会同意注册后，与保荐机构（主承销商）按照中国证监会及深交所相关规定协商确定。若国家法律、法规对向特定对象发行</w:t>
      </w:r>
      <w:r w:rsidR="00A8509F">
        <w:rPr>
          <w:rFonts w:hint="eastAsia"/>
          <w:sz w:val="24"/>
        </w:rPr>
        <w:t>A</w:t>
      </w:r>
      <w:r w:rsidR="00A8509F">
        <w:rPr>
          <w:rFonts w:hint="eastAsia"/>
          <w:sz w:val="24"/>
        </w:rPr>
        <w:t>股</w:t>
      </w:r>
      <w:r w:rsidRPr="00C57140">
        <w:rPr>
          <w:rFonts w:hint="eastAsia"/>
          <w:sz w:val="24"/>
        </w:rPr>
        <w:t>股票的发行对象有新的规定，公司将按新的规定进行调整。</w:t>
      </w:r>
    </w:p>
    <w:p w14:paraId="7539149A" w14:textId="77777777" w:rsidR="00C57140" w:rsidRDefault="00C57140" w:rsidP="00C57140">
      <w:pPr>
        <w:adjustRightInd w:val="0"/>
        <w:spacing w:beforeLines="50" w:before="156" w:line="360" w:lineRule="auto"/>
        <w:ind w:firstLineChars="200" w:firstLine="480"/>
        <w:rPr>
          <w:sz w:val="24"/>
        </w:rPr>
      </w:pPr>
      <w:r w:rsidRPr="00C57140">
        <w:rPr>
          <w:rFonts w:hint="eastAsia"/>
          <w:sz w:val="24"/>
        </w:rPr>
        <w:t>所有发行对象均以现金方式认购本次向特定对象发行的</w:t>
      </w:r>
      <w:r w:rsidRPr="00C57140">
        <w:rPr>
          <w:rFonts w:hint="eastAsia"/>
          <w:sz w:val="24"/>
        </w:rPr>
        <w:t>A</w:t>
      </w:r>
      <w:r w:rsidRPr="00C57140">
        <w:rPr>
          <w:rFonts w:hint="eastAsia"/>
          <w:sz w:val="24"/>
        </w:rPr>
        <w:t>股股票。</w:t>
      </w:r>
    </w:p>
    <w:p w14:paraId="3C4E9BA2" w14:textId="3DFDB77F" w:rsidR="004C71D1" w:rsidRDefault="00966BCB" w:rsidP="00C57140">
      <w:pPr>
        <w:adjustRightInd w:val="0"/>
        <w:spacing w:beforeLines="50" w:before="156" w:line="360" w:lineRule="auto"/>
        <w:ind w:firstLineChars="200" w:firstLine="480"/>
        <w:rPr>
          <w:sz w:val="24"/>
        </w:rPr>
      </w:pPr>
      <w:r>
        <w:rPr>
          <w:rFonts w:hint="eastAsia"/>
          <w:sz w:val="24"/>
        </w:rPr>
        <w:t>本次发行对象的选择范围符合</w:t>
      </w:r>
      <w:r w:rsidR="00DC4F4A">
        <w:rPr>
          <w:rFonts w:hint="eastAsia"/>
          <w:sz w:val="24"/>
        </w:rPr>
        <w:t>《注册管理办法》</w:t>
      </w:r>
      <w:r>
        <w:rPr>
          <w:rFonts w:hint="eastAsia"/>
          <w:sz w:val="24"/>
        </w:rPr>
        <w:t>等法律</w:t>
      </w:r>
      <w:r w:rsidR="00670784">
        <w:rPr>
          <w:rFonts w:hint="eastAsia"/>
          <w:sz w:val="24"/>
        </w:rPr>
        <w:t>、</w:t>
      </w:r>
      <w:r>
        <w:rPr>
          <w:rFonts w:hint="eastAsia"/>
          <w:sz w:val="24"/>
        </w:rPr>
        <w:t>法规</w:t>
      </w:r>
      <w:r w:rsidR="00670784">
        <w:rPr>
          <w:rFonts w:hint="eastAsia"/>
          <w:sz w:val="24"/>
        </w:rPr>
        <w:t>及规范性文件</w:t>
      </w:r>
      <w:r>
        <w:rPr>
          <w:rFonts w:hint="eastAsia"/>
          <w:sz w:val="24"/>
        </w:rPr>
        <w:lastRenderedPageBreak/>
        <w:t>的相关规定</w:t>
      </w:r>
      <w:r w:rsidR="00670784">
        <w:rPr>
          <w:rFonts w:hint="eastAsia"/>
          <w:sz w:val="24"/>
        </w:rPr>
        <w:t>，本次发行对象的选择范围适当</w:t>
      </w:r>
      <w:r>
        <w:rPr>
          <w:rFonts w:hint="eastAsia"/>
          <w:sz w:val="24"/>
        </w:rPr>
        <w:t>。</w:t>
      </w:r>
    </w:p>
    <w:p w14:paraId="2EB55F6F"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（二）本次发行对象的数量的适当性</w:t>
      </w:r>
    </w:p>
    <w:p w14:paraId="7F1AE708" w14:textId="61103B6C" w:rsidR="004C71D1" w:rsidRDefault="00966BCB">
      <w:pPr>
        <w:adjustRightInd w:val="0"/>
        <w:spacing w:beforeLines="50" w:before="156" w:line="360" w:lineRule="auto"/>
        <w:ind w:firstLineChars="200" w:firstLine="480"/>
        <w:rPr>
          <w:sz w:val="24"/>
        </w:rPr>
      </w:pPr>
      <w:r>
        <w:rPr>
          <w:rFonts w:hint="eastAsia"/>
          <w:sz w:val="24"/>
        </w:rPr>
        <w:t>本次向特定对象发行</w:t>
      </w:r>
      <w:r w:rsidR="00C57140">
        <w:rPr>
          <w:rFonts w:hint="eastAsia"/>
          <w:sz w:val="24"/>
        </w:rPr>
        <w:t>A</w:t>
      </w:r>
      <w:r>
        <w:rPr>
          <w:rFonts w:hint="eastAsia"/>
          <w:sz w:val="24"/>
        </w:rPr>
        <w:t>股股票的发行对象为不超过</w:t>
      </w:r>
      <w:r w:rsidR="00C57140">
        <w:rPr>
          <w:rFonts w:hint="eastAsia"/>
          <w:sz w:val="24"/>
        </w:rPr>
        <w:t>35</w:t>
      </w:r>
      <w:r>
        <w:rPr>
          <w:rFonts w:hint="eastAsia"/>
          <w:sz w:val="24"/>
        </w:rPr>
        <w:t>名符合相关法律法规规定的特定对象。本次发行对象的数量符合</w:t>
      </w:r>
      <w:r w:rsidR="00DC4F4A">
        <w:rPr>
          <w:rFonts w:hint="eastAsia"/>
          <w:sz w:val="24"/>
        </w:rPr>
        <w:t>《注册管理办法》</w:t>
      </w:r>
      <w:r>
        <w:rPr>
          <w:rFonts w:hint="eastAsia"/>
          <w:sz w:val="24"/>
        </w:rPr>
        <w:t>等法律、法规及规范性文件的相关规定，</w:t>
      </w:r>
      <w:r w:rsidR="00670784">
        <w:rPr>
          <w:rFonts w:hint="eastAsia"/>
          <w:sz w:val="24"/>
        </w:rPr>
        <w:t>本次</w:t>
      </w:r>
      <w:r>
        <w:rPr>
          <w:rFonts w:hint="eastAsia"/>
          <w:sz w:val="24"/>
        </w:rPr>
        <w:t>发行对象</w:t>
      </w:r>
      <w:r w:rsidR="00670784">
        <w:rPr>
          <w:rFonts w:hint="eastAsia"/>
          <w:sz w:val="24"/>
        </w:rPr>
        <w:t>的</w:t>
      </w:r>
      <w:r>
        <w:rPr>
          <w:rFonts w:hint="eastAsia"/>
          <w:sz w:val="24"/>
        </w:rPr>
        <w:t>数量适当。</w:t>
      </w:r>
    </w:p>
    <w:p w14:paraId="461E2993"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（三）本次发行对象的标准的适当性</w:t>
      </w:r>
    </w:p>
    <w:p w14:paraId="0E2DB60F" w14:textId="66DC6BCE" w:rsidR="004C71D1" w:rsidRDefault="00966BCB">
      <w:pPr>
        <w:adjustRightInd w:val="0"/>
        <w:spacing w:beforeLines="50" w:before="156" w:line="360" w:lineRule="auto"/>
        <w:ind w:firstLineChars="200" w:firstLine="480"/>
        <w:rPr>
          <w:sz w:val="24"/>
        </w:rPr>
      </w:pPr>
      <w:r>
        <w:rPr>
          <w:sz w:val="24"/>
        </w:rPr>
        <w:t>本次发行对象应具有一定风险识别能力和风险承担能力，并具备相应的资金实力。本次发行对象的标准符合</w:t>
      </w:r>
      <w:r w:rsidR="00DC4F4A">
        <w:rPr>
          <w:sz w:val="24"/>
        </w:rPr>
        <w:t>《注册管理办法》</w:t>
      </w:r>
      <w:r>
        <w:rPr>
          <w:sz w:val="24"/>
        </w:rPr>
        <w:t>等法律、法规及规范性文件的相关规定，</w:t>
      </w:r>
      <w:r w:rsidR="00670784">
        <w:rPr>
          <w:rFonts w:hint="eastAsia"/>
          <w:sz w:val="24"/>
        </w:rPr>
        <w:t>本次</w:t>
      </w:r>
      <w:r>
        <w:rPr>
          <w:sz w:val="24"/>
        </w:rPr>
        <w:t>发行对象</w:t>
      </w:r>
      <w:r w:rsidR="00670784">
        <w:rPr>
          <w:rFonts w:hint="eastAsia"/>
          <w:sz w:val="24"/>
        </w:rPr>
        <w:t>的</w:t>
      </w:r>
      <w:r>
        <w:rPr>
          <w:sz w:val="24"/>
        </w:rPr>
        <w:t>标准适当。</w:t>
      </w:r>
    </w:p>
    <w:p w14:paraId="0AAE2622" w14:textId="781C5949" w:rsidR="004C71D1" w:rsidRDefault="00966BCB">
      <w:pPr>
        <w:keepNext/>
        <w:spacing w:beforeLines="50" w:before="156" w:line="360" w:lineRule="auto"/>
        <w:outlineLvl w:val="1"/>
        <w:rPr>
          <w:b/>
          <w:snapToGrid w:val="0"/>
          <w:sz w:val="28"/>
          <w:szCs w:val="28"/>
        </w:rPr>
      </w:pPr>
      <w:r>
        <w:rPr>
          <w:rFonts w:hint="eastAsia"/>
          <w:b/>
          <w:snapToGrid w:val="0"/>
          <w:sz w:val="28"/>
          <w:szCs w:val="28"/>
        </w:rPr>
        <w:t>四、本次发行定价的原则、依据、方法和程序的合理性</w:t>
      </w:r>
    </w:p>
    <w:p w14:paraId="55F9A12B"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（一）本次发行定价的原则及依据</w:t>
      </w:r>
    </w:p>
    <w:p w14:paraId="7DCE1B1E"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本次向特定对象发行</w:t>
      </w:r>
      <w:r w:rsidRPr="00C57140">
        <w:rPr>
          <w:rFonts w:hint="eastAsia"/>
          <w:sz w:val="24"/>
        </w:rPr>
        <w:t>A</w:t>
      </w:r>
      <w:r w:rsidRPr="00C57140">
        <w:rPr>
          <w:rFonts w:hint="eastAsia"/>
          <w:sz w:val="24"/>
        </w:rPr>
        <w:t>股股票采取询价发行方式，定价基准日为发行期首日。发行价格不低于定价基准日前</w:t>
      </w:r>
      <w:r w:rsidRPr="00C57140">
        <w:rPr>
          <w:rFonts w:hint="eastAsia"/>
          <w:sz w:val="24"/>
        </w:rPr>
        <w:t>20</w:t>
      </w:r>
      <w:r w:rsidRPr="00C57140">
        <w:rPr>
          <w:rFonts w:hint="eastAsia"/>
          <w:sz w:val="24"/>
        </w:rPr>
        <w:t>个交易日公司股票交易均价的</w:t>
      </w:r>
      <w:r w:rsidRPr="00C57140">
        <w:rPr>
          <w:rFonts w:hint="eastAsia"/>
          <w:sz w:val="24"/>
        </w:rPr>
        <w:t>80%</w:t>
      </w:r>
      <w:r w:rsidRPr="00C57140">
        <w:rPr>
          <w:rFonts w:hint="eastAsia"/>
          <w:sz w:val="24"/>
        </w:rPr>
        <w:t>（定价基准日前</w:t>
      </w:r>
      <w:r w:rsidRPr="00C57140">
        <w:rPr>
          <w:rFonts w:hint="eastAsia"/>
          <w:sz w:val="24"/>
        </w:rPr>
        <w:t>20</w:t>
      </w:r>
      <w:r w:rsidRPr="00C57140">
        <w:rPr>
          <w:rFonts w:hint="eastAsia"/>
          <w:sz w:val="24"/>
        </w:rPr>
        <w:t>个交易日股票交易均价＝定价基准日前</w:t>
      </w:r>
      <w:r w:rsidRPr="00C57140">
        <w:rPr>
          <w:rFonts w:hint="eastAsia"/>
          <w:sz w:val="24"/>
        </w:rPr>
        <w:t>20</w:t>
      </w:r>
      <w:r w:rsidRPr="00C57140">
        <w:rPr>
          <w:rFonts w:hint="eastAsia"/>
          <w:sz w:val="24"/>
        </w:rPr>
        <w:t>个交易日公司股票交易总额</w:t>
      </w:r>
      <w:r w:rsidRPr="00C57140">
        <w:rPr>
          <w:rFonts w:hint="eastAsia"/>
          <w:sz w:val="24"/>
        </w:rPr>
        <w:t>/</w:t>
      </w:r>
      <w:r w:rsidRPr="00C57140">
        <w:rPr>
          <w:rFonts w:hint="eastAsia"/>
          <w:sz w:val="24"/>
        </w:rPr>
        <w:t>定价基准日前</w:t>
      </w:r>
      <w:r w:rsidRPr="00C57140">
        <w:rPr>
          <w:rFonts w:hint="eastAsia"/>
          <w:sz w:val="24"/>
        </w:rPr>
        <w:t>20</w:t>
      </w:r>
      <w:r w:rsidRPr="00C57140">
        <w:rPr>
          <w:rFonts w:hint="eastAsia"/>
          <w:sz w:val="24"/>
        </w:rPr>
        <w:t>个交易日公司股票交易总量）。最终发行价格由股东大会授权董事会在本次发行申请获得深圳证券交易所审核通过，并经中国证监会同意注册后，与保荐机构（主承销商）按照中国证监会及深圳证券交易所的相关规定根据询价结果协商确定。</w:t>
      </w:r>
    </w:p>
    <w:p w14:paraId="66F33A05"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若公司在定价基准日至发行日期间发生派息、送股、资本公积转增股本等除息、除权事项，则本次发行的发行底价将相应调整，调整方式如下：</w:t>
      </w:r>
    </w:p>
    <w:p w14:paraId="1C05AFDB"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1</w:t>
      </w:r>
      <w:r w:rsidRPr="00C57140">
        <w:rPr>
          <w:rFonts w:hint="eastAsia"/>
          <w:sz w:val="24"/>
        </w:rPr>
        <w:t>、分红派息：</w:t>
      </w:r>
      <w:r w:rsidRPr="00C57140">
        <w:rPr>
          <w:rFonts w:hint="eastAsia"/>
          <w:sz w:val="24"/>
        </w:rPr>
        <w:t>P1=P0-D</w:t>
      </w:r>
    </w:p>
    <w:p w14:paraId="21381677"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2</w:t>
      </w:r>
      <w:r w:rsidRPr="00C57140">
        <w:rPr>
          <w:rFonts w:hint="eastAsia"/>
          <w:sz w:val="24"/>
        </w:rPr>
        <w:t>、资本公积转增股本或送股：</w:t>
      </w:r>
      <w:r w:rsidRPr="00C57140">
        <w:rPr>
          <w:rFonts w:hint="eastAsia"/>
          <w:sz w:val="24"/>
        </w:rPr>
        <w:t>P1=P0/</w:t>
      </w:r>
      <w:r w:rsidRPr="00C57140">
        <w:rPr>
          <w:rFonts w:hint="eastAsia"/>
          <w:sz w:val="24"/>
        </w:rPr>
        <w:t>（</w:t>
      </w:r>
      <w:r w:rsidRPr="00C57140">
        <w:rPr>
          <w:rFonts w:hint="eastAsia"/>
          <w:sz w:val="24"/>
        </w:rPr>
        <w:t>1+N</w:t>
      </w:r>
      <w:r w:rsidRPr="00C57140">
        <w:rPr>
          <w:rFonts w:hint="eastAsia"/>
          <w:sz w:val="24"/>
        </w:rPr>
        <w:t>）</w:t>
      </w:r>
    </w:p>
    <w:p w14:paraId="7FC285A7"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3</w:t>
      </w:r>
      <w:r w:rsidRPr="00C57140">
        <w:rPr>
          <w:rFonts w:hint="eastAsia"/>
          <w:sz w:val="24"/>
        </w:rPr>
        <w:t>、两项同时进行：</w:t>
      </w:r>
      <w:r w:rsidRPr="00C57140">
        <w:rPr>
          <w:rFonts w:hint="eastAsia"/>
          <w:sz w:val="24"/>
        </w:rPr>
        <w:t>P1=</w:t>
      </w:r>
      <w:r w:rsidRPr="00C57140">
        <w:rPr>
          <w:rFonts w:hint="eastAsia"/>
          <w:sz w:val="24"/>
        </w:rPr>
        <w:t>（</w:t>
      </w:r>
      <w:r w:rsidRPr="00C57140">
        <w:rPr>
          <w:rFonts w:hint="eastAsia"/>
          <w:sz w:val="24"/>
        </w:rPr>
        <w:t>P0-D</w:t>
      </w:r>
      <w:r w:rsidRPr="00C57140">
        <w:rPr>
          <w:rFonts w:hint="eastAsia"/>
          <w:sz w:val="24"/>
        </w:rPr>
        <w:t>）</w:t>
      </w:r>
      <w:r w:rsidRPr="00C57140">
        <w:rPr>
          <w:rFonts w:hint="eastAsia"/>
          <w:sz w:val="24"/>
        </w:rPr>
        <w:t>/</w:t>
      </w:r>
      <w:r w:rsidRPr="00C57140">
        <w:rPr>
          <w:rFonts w:hint="eastAsia"/>
          <w:sz w:val="24"/>
        </w:rPr>
        <w:t>（</w:t>
      </w:r>
      <w:r w:rsidRPr="00C57140">
        <w:rPr>
          <w:rFonts w:hint="eastAsia"/>
          <w:sz w:val="24"/>
        </w:rPr>
        <w:t>1+N</w:t>
      </w:r>
      <w:r w:rsidRPr="00C57140">
        <w:rPr>
          <w:rFonts w:hint="eastAsia"/>
          <w:sz w:val="24"/>
        </w:rPr>
        <w:t>）</w:t>
      </w:r>
    </w:p>
    <w:p w14:paraId="648E613C" w14:textId="77777777" w:rsidR="00C57140" w:rsidRPr="00C57140" w:rsidRDefault="00C57140" w:rsidP="00C57140">
      <w:pPr>
        <w:adjustRightInd w:val="0"/>
        <w:spacing w:beforeLines="50" w:before="156" w:line="360" w:lineRule="auto"/>
        <w:ind w:firstLineChars="200" w:firstLine="480"/>
        <w:rPr>
          <w:sz w:val="24"/>
        </w:rPr>
      </w:pPr>
      <w:r w:rsidRPr="00C57140">
        <w:rPr>
          <w:rFonts w:hint="eastAsia"/>
          <w:sz w:val="24"/>
        </w:rPr>
        <w:t>其中，</w:t>
      </w:r>
      <w:r w:rsidRPr="00C57140">
        <w:rPr>
          <w:rFonts w:hint="eastAsia"/>
          <w:sz w:val="24"/>
        </w:rPr>
        <w:t>P0</w:t>
      </w:r>
      <w:r w:rsidRPr="00C57140">
        <w:rPr>
          <w:rFonts w:hint="eastAsia"/>
          <w:sz w:val="24"/>
        </w:rPr>
        <w:t>为调整前发行价格，每股分红派息金额为</w:t>
      </w:r>
      <w:r w:rsidRPr="00C57140">
        <w:rPr>
          <w:rFonts w:hint="eastAsia"/>
          <w:sz w:val="24"/>
        </w:rPr>
        <w:t>D</w:t>
      </w:r>
      <w:r w:rsidRPr="00C57140">
        <w:rPr>
          <w:rFonts w:hint="eastAsia"/>
          <w:sz w:val="24"/>
        </w:rPr>
        <w:t>，每股资本公积转增股本或送股数为</w:t>
      </w:r>
      <w:r w:rsidRPr="00C57140">
        <w:rPr>
          <w:rFonts w:hint="eastAsia"/>
          <w:sz w:val="24"/>
        </w:rPr>
        <w:t>N</w:t>
      </w:r>
      <w:r w:rsidRPr="00C57140">
        <w:rPr>
          <w:rFonts w:hint="eastAsia"/>
          <w:sz w:val="24"/>
        </w:rPr>
        <w:t>，调整后发行价格为</w:t>
      </w:r>
      <w:r w:rsidRPr="00C57140">
        <w:rPr>
          <w:rFonts w:hint="eastAsia"/>
          <w:sz w:val="24"/>
        </w:rPr>
        <w:t>P1</w:t>
      </w:r>
      <w:r w:rsidRPr="00C57140">
        <w:rPr>
          <w:rFonts w:hint="eastAsia"/>
          <w:sz w:val="24"/>
        </w:rPr>
        <w:t>。</w:t>
      </w:r>
    </w:p>
    <w:p w14:paraId="099A367A" w14:textId="6F9D325B" w:rsidR="004C71D1" w:rsidRDefault="00966BCB">
      <w:pPr>
        <w:spacing w:beforeLines="50" w:before="156" w:line="360" w:lineRule="auto"/>
        <w:ind w:firstLineChars="200" w:firstLine="480"/>
        <w:rPr>
          <w:sz w:val="24"/>
        </w:rPr>
      </w:pPr>
      <w:r>
        <w:rPr>
          <w:rFonts w:hint="eastAsia"/>
          <w:sz w:val="24"/>
        </w:rPr>
        <w:lastRenderedPageBreak/>
        <w:t>本次发行定价的原则和依据符合</w:t>
      </w:r>
      <w:r w:rsidR="00DC4F4A">
        <w:rPr>
          <w:rFonts w:hint="eastAsia"/>
          <w:sz w:val="24"/>
        </w:rPr>
        <w:t>《注册管理办法》</w:t>
      </w:r>
      <w:r>
        <w:rPr>
          <w:rFonts w:hint="eastAsia"/>
          <w:sz w:val="24"/>
        </w:rPr>
        <w:t>等法律、法规及规范性文件的相关规定，本次发行定价的原则和依据合理。</w:t>
      </w:r>
    </w:p>
    <w:p w14:paraId="7C28A435" w14:textId="77777777" w:rsidR="004C71D1" w:rsidRDefault="00966BCB">
      <w:pPr>
        <w:spacing w:beforeLines="50" w:before="156" w:line="360" w:lineRule="auto"/>
        <w:ind w:firstLineChars="200" w:firstLine="482"/>
        <w:outlineLvl w:val="2"/>
        <w:rPr>
          <w:b/>
          <w:snapToGrid w:val="0"/>
          <w:sz w:val="24"/>
        </w:rPr>
      </w:pPr>
      <w:bookmarkStart w:id="2" w:name="bookmark20"/>
      <w:r>
        <w:rPr>
          <w:b/>
          <w:snapToGrid w:val="0"/>
          <w:sz w:val="24"/>
        </w:rPr>
        <w:t>（二）本次发行定价方法和程序的合理性</w:t>
      </w:r>
      <w:bookmarkEnd w:id="2"/>
    </w:p>
    <w:p w14:paraId="3E3086CE" w14:textId="4B4C6CA3" w:rsidR="004C71D1" w:rsidRDefault="00966BCB">
      <w:pPr>
        <w:adjustRightInd w:val="0"/>
        <w:spacing w:beforeLines="50" w:before="156" w:line="360" w:lineRule="auto"/>
        <w:ind w:firstLineChars="200" w:firstLine="480"/>
        <w:rPr>
          <w:sz w:val="24"/>
        </w:rPr>
      </w:pPr>
      <w:r>
        <w:rPr>
          <w:rFonts w:hint="eastAsia"/>
          <w:sz w:val="24"/>
        </w:rPr>
        <w:t>本</w:t>
      </w:r>
      <w:r>
        <w:rPr>
          <w:sz w:val="24"/>
        </w:rPr>
        <w:t>次发行的定价方法和程序均根据</w:t>
      </w:r>
      <w:r w:rsidR="00DC4F4A">
        <w:rPr>
          <w:sz w:val="24"/>
        </w:rPr>
        <w:t>《注册管理办法》</w:t>
      </w:r>
      <w:r>
        <w:rPr>
          <w:sz w:val="24"/>
        </w:rPr>
        <w:t>等法律、法规及规范性文件的相关规定，召开董事会并将相关公告在交易所网站及指定的信息披露媒体上进行披露，并将提请公司股东大会审议，并需报深交所审核和中国证监会注册。</w:t>
      </w:r>
    </w:p>
    <w:p w14:paraId="66B068EC" w14:textId="005C883C" w:rsidR="004C71D1" w:rsidRDefault="00966BCB">
      <w:pPr>
        <w:adjustRightInd w:val="0"/>
        <w:spacing w:beforeLines="50" w:before="156" w:line="360" w:lineRule="auto"/>
        <w:ind w:firstLineChars="200" w:firstLine="480"/>
        <w:rPr>
          <w:sz w:val="24"/>
        </w:rPr>
      </w:pPr>
      <w:r>
        <w:rPr>
          <w:sz w:val="24"/>
        </w:rPr>
        <w:t>本次发行定价的方法和程序符合</w:t>
      </w:r>
      <w:r w:rsidR="00DC4F4A">
        <w:rPr>
          <w:sz w:val="24"/>
        </w:rPr>
        <w:t>《注册管理办法》</w:t>
      </w:r>
      <w:r>
        <w:rPr>
          <w:sz w:val="24"/>
        </w:rPr>
        <w:t>等法律、法规及规范性文件的相关规定，本次发行定价的方法和程序合理。</w:t>
      </w:r>
    </w:p>
    <w:p w14:paraId="18B608A4" w14:textId="2520B2F8" w:rsidR="004C71D1" w:rsidRDefault="00966BCB">
      <w:pPr>
        <w:adjustRightInd w:val="0"/>
        <w:spacing w:beforeLines="50" w:before="156" w:line="360" w:lineRule="auto"/>
        <w:ind w:firstLineChars="200" w:firstLine="480"/>
        <w:rPr>
          <w:sz w:val="24"/>
        </w:rPr>
      </w:pPr>
      <w:r>
        <w:rPr>
          <w:sz w:val="24"/>
        </w:rPr>
        <w:t>综上所述，本次发行定价的原则、依据、方法和程序的均符合相关法律</w:t>
      </w:r>
      <w:r w:rsidR="00A8509F">
        <w:rPr>
          <w:rFonts w:hint="eastAsia"/>
          <w:sz w:val="24"/>
        </w:rPr>
        <w:t>、</w:t>
      </w:r>
      <w:r>
        <w:rPr>
          <w:sz w:val="24"/>
        </w:rPr>
        <w:t>法规的要求，合规合理。</w:t>
      </w:r>
    </w:p>
    <w:p w14:paraId="1A764C6E" w14:textId="77777777" w:rsidR="004C71D1" w:rsidRDefault="00966BCB">
      <w:pPr>
        <w:keepNext/>
        <w:spacing w:beforeLines="50" w:before="156" w:line="360" w:lineRule="auto"/>
        <w:outlineLvl w:val="1"/>
        <w:rPr>
          <w:b/>
          <w:snapToGrid w:val="0"/>
          <w:sz w:val="28"/>
          <w:szCs w:val="28"/>
        </w:rPr>
      </w:pPr>
      <w:r>
        <w:rPr>
          <w:rFonts w:hint="eastAsia"/>
          <w:b/>
          <w:snapToGrid w:val="0"/>
          <w:sz w:val="28"/>
          <w:szCs w:val="28"/>
        </w:rPr>
        <w:t>五、本次发行方式的可行性</w:t>
      </w:r>
    </w:p>
    <w:p w14:paraId="475ECB10"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（一）本次发行方式合法合规</w:t>
      </w:r>
    </w:p>
    <w:p w14:paraId="1AA0FA02" w14:textId="77777777" w:rsidR="004C71D1" w:rsidRDefault="00966BCB">
      <w:pPr>
        <w:adjustRightInd w:val="0"/>
        <w:spacing w:beforeLines="50" w:before="156" w:line="360" w:lineRule="auto"/>
        <w:ind w:firstLineChars="200" w:firstLine="482"/>
        <w:rPr>
          <w:b/>
          <w:bCs/>
          <w:sz w:val="24"/>
        </w:rPr>
      </w:pPr>
      <w:r>
        <w:rPr>
          <w:rFonts w:hint="eastAsia"/>
          <w:b/>
          <w:bCs/>
          <w:sz w:val="24"/>
        </w:rPr>
        <w:t>1</w:t>
      </w:r>
      <w:r>
        <w:rPr>
          <w:rFonts w:hint="eastAsia"/>
          <w:b/>
          <w:bCs/>
          <w:sz w:val="24"/>
        </w:rPr>
        <w:t>、本次发行符合《证券法》规定的发行条件</w:t>
      </w:r>
    </w:p>
    <w:p w14:paraId="2CA3E65C" w14:textId="57AD0F8C" w:rsidR="004C71D1" w:rsidRDefault="00966BCB">
      <w:pPr>
        <w:adjustRightInd w:val="0"/>
        <w:spacing w:beforeLines="50" w:before="156" w:line="360" w:lineRule="auto"/>
        <w:ind w:firstLineChars="200" w:firstLine="480"/>
        <w:rPr>
          <w:sz w:val="24"/>
        </w:rPr>
      </w:pPr>
      <w:r>
        <w:rPr>
          <w:rFonts w:hint="eastAsia"/>
          <w:sz w:val="24"/>
        </w:rPr>
        <w:t>（</w:t>
      </w:r>
      <w:r>
        <w:rPr>
          <w:rFonts w:hint="eastAsia"/>
          <w:sz w:val="24"/>
        </w:rPr>
        <w:t>1</w:t>
      </w:r>
      <w:r>
        <w:rPr>
          <w:rFonts w:hint="eastAsia"/>
          <w:sz w:val="24"/>
        </w:rPr>
        <w:t>）</w:t>
      </w:r>
      <w:bookmarkStart w:id="3" w:name="_Hlk192235913"/>
      <w:r>
        <w:rPr>
          <w:rFonts w:hint="eastAsia"/>
          <w:sz w:val="24"/>
        </w:rPr>
        <w:t>本次发行符合《证券法》第九条的相关规定</w:t>
      </w:r>
      <w:bookmarkEnd w:id="3"/>
      <w:r>
        <w:rPr>
          <w:rFonts w:hint="eastAsia"/>
          <w:sz w:val="24"/>
        </w:rPr>
        <w:t>：“非公开发行证券，不得采用广告、公开劝诱和变相公开方式。”</w:t>
      </w:r>
    </w:p>
    <w:p w14:paraId="26C923C7" w14:textId="33D209B4" w:rsidR="004C71D1" w:rsidRDefault="00966BCB">
      <w:pPr>
        <w:adjustRightInd w:val="0"/>
        <w:spacing w:beforeLines="50" w:before="156" w:line="360" w:lineRule="auto"/>
        <w:ind w:firstLineChars="200" w:firstLine="480"/>
        <w:rPr>
          <w:sz w:val="24"/>
        </w:rPr>
      </w:pPr>
      <w:r>
        <w:rPr>
          <w:rFonts w:hint="eastAsia"/>
          <w:sz w:val="24"/>
        </w:rPr>
        <w:t>（</w:t>
      </w:r>
      <w:r>
        <w:rPr>
          <w:rFonts w:hint="eastAsia"/>
          <w:sz w:val="24"/>
        </w:rPr>
        <w:t>2</w:t>
      </w:r>
      <w:r>
        <w:rPr>
          <w:rFonts w:hint="eastAsia"/>
          <w:sz w:val="24"/>
        </w:rPr>
        <w:t>）本次发行符合《证券法》第十二条的相关规定：“上市公司发行新股，应当符合经国务院批准的国务院证券监督管理机构规定的条件，具体管理办法由国务院证券监督管理机构规定。”</w:t>
      </w:r>
    </w:p>
    <w:p w14:paraId="0D6E404B" w14:textId="78E308C9" w:rsidR="004C71D1" w:rsidRDefault="00966BCB">
      <w:pPr>
        <w:adjustRightInd w:val="0"/>
        <w:spacing w:beforeLines="50" w:before="156" w:line="360" w:lineRule="auto"/>
        <w:ind w:firstLineChars="200" w:firstLine="482"/>
        <w:rPr>
          <w:b/>
          <w:bCs/>
          <w:sz w:val="24"/>
        </w:rPr>
      </w:pPr>
      <w:r>
        <w:rPr>
          <w:rFonts w:hint="eastAsia"/>
          <w:b/>
          <w:bCs/>
          <w:sz w:val="24"/>
        </w:rPr>
        <w:t>2</w:t>
      </w:r>
      <w:r>
        <w:rPr>
          <w:rFonts w:hint="eastAsia"/>
          <w:b/>
          <w:bCs/>
          <w:sz w:val="24"/>
        </w:rPr>
        <w:t>、本次发行符合</w:t>
      </w:r>
      <w:r w:rsidR="00DC4F4A">
        <w:rPr>
          <w:rFonts w:hint="eastAsia"/>
          <w:b/>
          <w:bCs/>
          <w:sz w:val="24"/>
        </w:rPr>
        <w:t>《注册管理办法》</w:t>
      </w:r>
      <w:r>
        <w:rPr>
          <w:rFonts w:hint="eastAsia"/>
          <w:b/>
          <w:bCs/>
          <w:sz w:val="24"/>
        </w:rPr>
        <w:t>第十一条的规定</w:t>
      </w:r>
    </w:p>
    <w:p w14:paraId="2081BD24" w14:textId="1AF4E072" w:rsidR="003F2CC8" w:rsidRDefault="00806178" w:rsidP="003F2CC8">
      <w:pPr>
        <w:adjustRightInd w:val="0"/>
        <w:spacing w:beforeLines="50" w:before="156" w:line="360" w:lineRule="auto"/>
        <w:ind w:firstLineChars="200" w:firstLine="480"/>
        <w:rPr>
          <w:sz w:val="24"/>
        </w:rPr>
      </w:pPr>
      <w:r w:rsidRPr="00806178">
        <w:rPr>
          <w:rFonts w:hint="eastAsia"/>
          <w:sz w:val="24"/>
        </w:rPr>
        <w:t>公司不存在《注册管理办法》第十一条不得</w:t>
      </w:r>
      <w:r w:rsidR="003A35FD">
        <w:rPr>
          <w:rFonts w:hint="eastAsia"/>
          <w:sz w:val="24"/>
        </w:rPr>
        <w:t>向特定对象发行</w:t>
      </w:r>
      <w:r w:rsidR="003A35FD">
        <w:rPr>
          <w:rFonts w:hint="eastAsia"/>
          <w:sz w:val="24"/>
        </w:rPr>
        <w:t>A</w:t>
      </w:r>
      <w:r w:rsidR="003A35FD">
        <w:rPr>
          <w:rFonts w:hint="eastAsia"/>
          <w:sz w:val="24"/>
        </w:rPr>
        <w:t>股股票</w:t>
      </w:r>
      <w:r w:rsidRPr="00806178">
        <w:rPr>
          <w:rFonts w:hint="eastAsia"/>
          <w:sz w:val="24"/>
        </w:rPr>
        <w:t>的情形</w:t>
      </w:r>
      <w:r w:rsidR="003F2CC8">
        <w:rPr>
          <w:rFonts w:hint="eastAsia"/>
          <w:sz w:val="24"/>
        </w:rPr>
        <w:t>：</w:t>
      </w:r>
    </w:p>
    <w:p w14:paraId="59A53D29" w14:textId="3F532418" w:rsidR="004C71D1" w:rsidRDefault="003F2CC8" w:rsidP="003F2CC8">
      <w:pPr>
        <w:adjustRightInd w:val="0"/>
        <w:spacing w:beforeLines="50" w:before="156" w:line="360" w:lineRule="auto"/>
        <w:ind w:firstLineChars="200" w:firstLine="480"/>
        <w:rPr>
          <w:sz w:val="24"/>
        </w:rPr>
      </w:pPr>
      <w:r>
        <w:rPr>
          <w:rFonts w:hint="eastAsia"/>
          <w:sz w:val="24"/>
        </w:rPr>
        <w:t>“</w:t>
      </w:r>
      <w:r w:rsidRPr="003F2CC8">
        <w:rPr>
          <w:rFonts w:hint="eastAsia"/>
          <w:sz w:val="24"/>
        </w:rPr>
        <w:t>上市公司存在下列情形之一的，不得</w:t>
      </w:r>
      <w:r w:rsidR="003A35FD">
        <w:rPr>
          <w:rFonts w:hint="eastAsia"/>
          <w:sz w:val="24"/>
        </w:rPr>
        <w:t>向特定对象发行</w:t>
      </w:r>
      <w:r w:rsidR="003A35FD">
        <w:rPr>
          <w:rFonts w:hint="eastAsia"/>
          <w:sz w:val="24"/>
        </w:rPr>
        <w:t>A</w:t>
      </w:r>
      <w:r w:rsidR="003A35FD">
        <w:rPr>
          <w:rFonts w:hint="eastAsia"/>
          <w:sz w:val="24"/>
        </w:rPr>
        <w:t>股股票</w:t>
      </w:r>
      <w:r w:rsidR="00966BCB">
        <w:rPr>
          <w:rFonts w:hint="eastAsia"/>
          <w:sz w:val="24"/>
        </w:rPr>
        <w:t>：</w:t>
      </w:r>
    </w:p>
    <w:p w14:paraId="33282569" w14:textId="2A35FEC3" w:rsidR="004C71D1" w:rsidRDefault="00966BCB" w:rsidP="003F2CC8">
      <w:pPr>
        <w:adjustRightInd w:val="0"/>
        <w:spacing w:beforeLines="50" w:before="156" w:line="360" w:lineRule="auto"/>
        <w:ind w:firstLineChars="200" w:firstLine="480"/>
        <w:rPr>
          <w:sz w:val="24"/>
        </w:rPr>
      </w:pPr>
      <w:r>
        <w:rPr>
          <w:rFonts w:hint="eastAsia"/>
          <w:sz w:val="24"/>
        </w:rPr>
        <w:t>（</w:t>
      </w:r>
      <w:r>
        <w:rPr>
          <w:rFonts w:hint="eastAsia"/>
          <w:sz w:val="24"/>
        </w:rPr>
        <w:t>1</w:t>
      </w:r>
      <w:r>
        <w:rPr>
          <w:rFonts w:hint="eastAsia"/>
          <w:sz w:val="24"/>
        </w:rPr>
        <w:t>）</w:t>
      </w:r>
      <w:r w:rsidR="003F2CC8" w:rsidRPr="003F2CC8">
        <w:rPr>
          <w:rFonts w:hint="eastAsia"/>
          <w:sz w:val="24"/>
        </w:rPr>
        <w:t>擅自改变前次募集资金用途未作纠正，或者未经股东大会认可</w:t>
      </w:r>
      <w:r>
        <w:rPr>
          <w:rFonts w:hint="eastAsia"/>
          <w:sz w:val="24"/>
        </w:rPr>
        <w:t>；</w:t>
      </w:r>
    </w:p>
    <w:p w14:paraId="26300CFB" w14:textId="43C9DA6B" w:rsidR="004C71D1" w:rsidRDefault="00966BCB" w:rsidP="003F2CC8">
      <w:pPr>
        <w:adjustRightInd w:val="0"/>
        <w:spacing w:beforeLines="50" w:before="156" w:line="360" w:lineRule="auto"/>
        <w:ind w:firstLineChars="200" w:firstLine="480"/>
        <w:rPr>
          <w:sz w:val="24"/>
        </w:rPr>
      </w:pPr>
      <w:r>
        <w:rPr>
          <w:rFonts w:hint="eastAsia"/>
          <w:sz w:val="24"/>
        </w:rPr>
        <w:t>（</w:t>
      </w:r>
      <w:r>
        <w:rPr>
          <w:rFonts w:hint="eastAsia"/>
          <w:sz w:val="24"/>
        </w:rPr>
        <w:t>2</w:t>
      </w:r>
      <w:r>
        <w:rPr>
          <w:rFonts w:hint="eastAsia"/>
          <w:sz w:val="24"/>
        </w:rPr>
        <w:t>）</w:t>
      </w:r>
      <w:r w:rsidR="003F2CC8" w:rsidRPr="003F2CC8">
        <w:rPr>
          <w:rFonts w:hint="eastAsia"/>
          <w:sz w:val="24"/>
        </w:rPr>
        <w:t>最近一年财务报表的编制和披露在重大方面不符合企业会计准则或者</w:t>
      </w:r>
      <w:r w:rsidR="003F2CC8" w:rsidRPr="003F2CC8">
        <w:rPr>
          <w:rFonts w:hint="eastAsia"/>
          <w:sz w:val="24"/>
        </w:rPr>
        <w:lastRenderedPageBreak/>
        <w:t>相关信息披露规则的规定；最近一年财务会计报告被出具否定意见或者无法表示意见的审计报告；最近一年财务会计报告被出具保留意见的审计报告，且保留意见所涉及事项对上市公司的重大不利影响尚未消除。本次发行涉及重大资产重组的除外</w:t>
      </w:r>
      <w:r>
        <w:rPr>
          <w:rFonts w:hint="eastAsia"/>
          <w:sz w:val="24"/>
        </w:rPr>
        <w:t>；</w:t>
      </w:r>
    </w:p>
    <w:p w14:paraId="1C6EB8E0" w14:textId="3899CBA1" w:rsidR="004C71D1" w:rsidRDefault="00966BCB" w:rsidP="00EB0BD1">
      <w:pPr>
        <w:adjustRightInd w:val="0"/>
        <w:spacing w:beforeLines="50" w:before="156" w:line="360" w:lineRule="auto"/>
        <w:ind w:firstLineChars="200" w:firstLine="480"/>
        <w:rPr>
          <w:sz w:val="24"/>
        </w:rPr>
      </w:pPr>
      <w:r>
        <w:rPr>
          <w:rFonts w:hint="eastAsia"/>
          <w:sz w:val="24"/>
        </w:rPr>
        <w:t>（</w:t>
      </w:r>
      <w:r>
        <w:rPr>
          <w:rFonts w:hint="eastAsia"/>
          <w:sz w:val="24"/>
        </w:rPr>
        <w:t>3</w:t>
      </w:r>
      <w:r>
        <w:rPr>
          <w:rFonts w:hint="eastAsia"/>
          <w:sz w:val="24"/>
        </w:rPr>
        <w:t>）</w:t>
      </w:r>
      <w:r w:rsidR="00EB0BD1" w:rsidRPr="00EB0BD1">
        <w:rPr>
          <w:rFonts w:hint="eastAsia"/>
          <w:sz w:val="24"/>
        </w:rPr>
        <w:t>现任董事、监事和高级管理人员最近三年受到中国证监会行政处罚，或者最近一年受到证券交易所公开谴责</w:t>
      </w:r>
      <w:r>
        <w:rPr>
          <w:rFonts w:hint="eastAsia"/>
          <w:sz w:val="24"/>
        </w:rPr>
        <w:t>；</w:t>
      </w:r>
    </w:p>
    <w:p w14:paraId="5EB72BFC" w14:textId="1F980692" w:rsidR="004C71D1" w:rsidRDefault="00966BCB" w:rsidP="001D6C66">
      <w:pPr>
        <w:adjustRightInd w:val="0"/>
        <w:spacing w:beforeLines="50" w:before="156" w:line="360" w:lineRule="auto"/>
        <w:ind w:firstLineChars="200" w:firstLine="480"/>
        <w:rPr>
          <w:sz w:val="24"/>
        </w:rPr>
      </w:pPr>
      <w:r>
        <w:rPr>
          <w:rFonts w:hint="eastAsia"/>
          <w:sz w:val="24"/>
        </w:rPr>
        <w:t>（</w:t>
      </w:r>
      <w:r>
        <w:rPr>
          <w:rFonts w:hint="eastAsia"/>
          <w:sz w:val="24"/>
        </w:rPr>
        <w:t>4</w:t>
      </w:r>
      <w:r>
        <w:rPr>
          <w:rFonts w:hint="eastAsia"/>
          <w:sz w:val="24"/>
        </w:rPr>
        <w:t>）</w:t>
      </w:r>
      <w:r w:rsidR="001D6C66" w:rsidRPr="001D6C66">
        <w:rPr>
          <w:rFonts w:hint="eastAsia"/>
          <w:sz w:val="24"/>
        </w:rPr>
        <w:t>上市公司或者其现任董事、监事和高级管理人员因涉嫌犯罪正在被司法机关立案侦查或者涉嫌违法违规正在被中国证监会立案调查</w:t>
      </w:r>
      <w:r>
        <w:rPr>
          <w:rFonts w:hint="eastAsia"/>
          <w:sz w:val="24"/>
        </w:rPr>
        <w:t>；</w:t>
      </w:r>
    </w:p>
    <w:p w14:paraId="341F4EBF" w14:textId="46A39B01" w:rsidR="004C71D1" w:rsidRDefault="00966BCB" w:rsidP="001D6C66">
      <w:pPr>
        <w:adjustRightInd w:val="0"/>
        <w:spacing w:beforeLines="50" w:before="156" w:line="360" w:lineRule="auto"/>
        <w:ind w:firstLineChars="200" w:firstLine="480"/>
        <w:rPr>
          <w:sz w:val="24"/>
        </w:rPr>
      </w:pPr>
      <w:r>
        <w:rPr>
          <w:rFonts w:hint="eastAsia"/>
          <w:sz w:val="24"/>
        </w:rPr>
        <w:t>（</w:t>
      </w:r>
      <w:r>
        <w:rPr>
          <w:rFonts w:hint="eastAsia"/>
          <w:sz w:val="24"/>
        </w:rPr>
        <w:t>5</w:t>
      </w:r>
      <w:r>
        <w:rPr>
          <w:rFonts w:hint="eastAsia"/>
          <w:sz w:val="24"/>
        </w:rPr>
        <w:t>）</w:t>
      </w:r>
      <w:r w:rsidR="001D6C66" w:rsidRPr="001D6C66">
        <w:rPr>
          <w:rFonts w:hint="eastAsia"/>
          <w:sz w:val="24"/>
        </w:rPr>
        <w:t>控股股东、实际控制人最近三年存在严重损害上市公司利益或者投资者合法权益的重大违法行为</w:t>
      </w:r>
      <w:r>
        <w:rPr>
          <w:rFonts w:hint="eastAsia"/>
          <w:sz w:val="24"/>
        </w:rPr>
        <w:t>；</w:t>
      </w:r>
    </w:p>
    <w:p w14:paraId="301CB3F4" w14:textId="5942CDC6" w:rsidR="004C71D1" w:rsidRDefault="00966BCB" w:rsidP="001D6C66">
      <w:pPr>
        <w:adjustRightInd w:val="0"/>
        <w:spacing w:beforeLines="50" w:before="156" w:line="360" w:lineRule="auto"/>
        <w:ind w:firstLineChars="200" w:firstLine="480"/>
        <w:rPr>
          <w:sz w:val="24"/>
        </w:rPr>
      </w:pPr>
      <w:r>
        <w:rPr>
          <w:rFonts w:hint="eastAsia"/>
          <w:sz w:val="24"/>
        </w:rPr>
        <w:t>（</w:t>
      </w:r>
      <w:r>
        <w:rPr>
          <w:rFonts w:hint="eastAsia"/>
          <w:sz w:val="24"/>
        </w:rPr>
        <w:t>6</w:t>
      </w:r>
      <w:r>
        <w:rPr>
          <w:rFonts w:hint="eastAsia"/>
          <w:sz w:val="24"/>
        </w:rPr>
        <w:t>）</w:t>
      </w:r>
      <w:r w:rsidR="001D6C66" w:rsidRPr="001D6C66">
        <w:rPr>
          <w:rFonts w:hint="eastAsia"/>
          <w:sz w:val="24"/>
        </w:rPr>
        <w:t>最近三年存在严重损害投资者合法权益或者社会公共利益的重大违法行为</w:t>
      </w:r>
      <w:r w:rsidR="001D6C66">
        <w:rPr>
          <w:rFonts w:hint="eastAsia"/>
          <w:sz w:val="24"/>
        </w:rPr>
        <w:t>。</w:t>
      </w:r>
      <w:r w:rsidR="003F2CC8">
        <w:rPr>
          <w:rFonts w:hint="eastAsia"/>
          <w:sz w:val="24"/>
        </w:rPr>
        <w:t>”</w:t>
      </w:r>
    </w:p>
    <w:p w14:paraId="583064D1" w14:textId="38D5008E" w:rsidR="004C71D1" w:rsidRDefault="00966BCB">
      <w:pPr>
        <w:adjustRightInd w:val="0"/>
        <w:spacing w:beforeLines="50" w:before="156" w:line="360" w:lineRule="auto"/>
        <w:ind w:firstLineChars="200" w:firstLine="482"/>
        <w:rPr>
          <w:b/>
          <w:bCs/>
          <w:sz w:val="24"/>
        </w:rPr>
      </w:pPr>
      <w:r>
        <w:rPr>
          <w:rFonts w:hint="eastAsia"/>
          <w:b/>
          <w:bCs/>
          <w:sz w:val="24"/>
        </w:rPr>
        <w:t>3</w:t>
      </w:r>
      <w:r>
        <w:rPr>
          <w:rFonts w:hint="eastAsia"/>
          <w:b/>
          <w:bCs/>
          <w:sz w:val="24"/>
        </w:rPr>
        <w:t>、本次发行符合</w:t>
      </w:r>
      <w:r w:rsidR="00DC4F4A">
        <w:rPr>
          <w:rFonts w:hint="eastAsia"/>
          <w:b/>
          <w:bCs/>
          <w:sz w:val="24"/>
        </w:rPr>
        <w:t>《注册管理办法》</w:t>
      </w:r>
      <w:r>
        <w:rPr>
          <w:rFonts w:hint="eastAsia"/>
          <w:b/>
          <w:bCs/>
          <w:sz w:val="24"/>
        </w:rPr>
        <w:t>第十二条的规定</w:t>
      </w:r>
    </w:p>
    <w:p w14:paraId="031AC223" w14:textId="5E832146" w:rsidR="00216236" w:rsidRDefault="00CC2DB1" w:rsidP="00D90722">
      <w:pPr>
        <w:adjustRightInd w:val="0"/>
        <w:spacing w:beforeLines="50" w:before="156" w:line="360" w:lineRule="auto"/>
        <w:ind w:firstLineChars="200" w:firstLine="480"/>
        <w:rPr>
          <w:sz w:val="24"/>
        </w:rPr>
      </w:pPr>
      <w:r>
        <w:rPr>
          <w:rFonts w:hint="eastAsia"/>
          <w:sz w:val="24"/>
        </w:rPr>
        <w:t>公司募集资金的使用</w:t>
      </w:r>
      <w:r w:rsidR="00216236" w:rsidRPr="00216236">
        <w:rPr>
          <w:rFonts w:hint="eastAsia"/>
          <w:sz w:val="24"/>
        </w:rPr>
        <w:t>符合</w:t>
      </w:r>
      <w:r w:rsidR="00DC4F4A">
        <w:rPr>
          <w:rFonts w:hint="eastAsia"/>
          <w:sz w:val="24"/>
        </w:rPr>
        <w:t>《注册管理办法》</w:t>
      </w:r>
      <w:r w:rsidR="00216236" w:rsidRPr="00216236">
        <w:rPr>
          <w:rFonts w:hint="eastAsia"/>
          <w:sz w:val="24"/>
        </w:rPr>
        <w:t>第十</w:t>
      </w:r>
      <w:r w:rsidR="00216236">
        <w:rPr>
          <w:rFonts w:hint="eastAsia"/>
          <w:sz w:val="24"/>
        </w:rPr>
        <w:t>二</w:t>
      </w:r>
      <w:r w:rsidR="00216236" w:rsidRPr="00216236">
        <w:rPr>
          <w:rFonts w:hint="eastAsia"/>
          <w:sz w:val="24"/>
        </w:rPr>
        <w:t>条的相关规定：</w:t>
      </w:r>
    </w:p>
    <w:p w14:paraId="53988336" w14:textId="3287C1DE" w:rsidR="004C71D1" w:rsidRDefault="00216236" w:rsidP="00D90722">
      <w:pPr>
        <w:adjustRightInd w:val="0"/>
        <w:spacing w:beforeLines="50" w:before="156" w:line="360" w:lineRule="auto"/>
        <w:ind w:firstLineChars="200" w:firstLine="480"/>
        <w:rPr>
          <w:sz w:val="24"/>
        </w:rPr>
      </w:pPr>
      <w:r>
        <w:rPr>
          <w:rFonts w:hint="eastAsia"/>
          <w:sz w:val="24"/>
        </w:rPr>
        <w:t>“</w:t>
      </w:r>
      <w:r w:rsidR="00D90722" w:rsidRPr="00D90722">
        <w:rPr>
          <w:rFonts w:hint="eastAsia"/>
          <w:sz w:val="24"/>
        </w:rPr>
        <w:t>上市公司发行股票，募集资金使用应当符合下列规定：</w:t>
      </w:r>
    </w:p>
    <w:p w14:paraId="1CEE8DEE" w14:textId="0989D67C" w:rsidR="004C71D1" w:rsidRDefault="00966BCB" w:rsidP="00216236">
      <w:pPr>
        <w:adjustRightInd w:val="0"/>
        <w:spacing w:beforeLines="50" w:before="156" w:line="360" w:lineRule="auto"/>
        <w:ind w:firstLineChars="200" w:firstLine="480"/>
        <w:rPr>
          <w:sz w:val="24"/>
        </w:rPr>
      </w:pPr>
      <w:r>
        <w:rPr>
          <w:rFonts w:hint="eastAsia"/>
          <w:sz w:val="24"/>
        </w:rPr>
        <w:t>（</w:t>
      </w:r>
      <w:r>
        <w:rPr>
          <w:rFonts w:hint="eastAsia"/>
          <w:sz w:val="24"/>
        </w:rPr>
        <w:t>1</w:t>
      </w:r>
      <w:r>
        <w:rPr>
          <w:rFonts w:hint="eastAsia"/>
          <w:sz w:val="24"/>
        </w:rPr>
        <w:t>）</w:t>
      </w:r>
      <w:r w:rsidR="00216236" w:rsidRPr="00216236">
        <w:rPr>
          <w:rFonts w:hint="eastAsia"/>
          <w:sz w:val="24"/>
        </w:rPr>
        <w:t>符合国家产业政策和有关环境保护、土地管理等法律、行政法规规定</w:t>
      </w:r>
      <w:r>
        <w:rPr>
          <w:rFonts w:hint="eastAsia"/>
          <w:sz w:val="24"/>
        </w:rPr>
        <w:t>；</w:t>
      </w:r>
    </w:p>
    <w:p w14:paraId="06C798BD" w14:textId="076B5413" w:rsidR="004C71D1" w:rsidRDefault="00966BCB" w:rsidP="00216236">
      <w:pPr>
        <w:adjustRightInd w:val="0"/>
        <w:spacing w:beforeLines="50" w:before="156" w:line="360" w:lineRule="auto"/>
        <w:ind w:firstLineChars="200" w:firstLine="480"/>
        <w:rPr>
          <w:sz w:val="24"/>
        </w:rPr>
      </w:pPr>
      <w:r>
        <w:rPr>
          <w:rFonts w:hint="eastAsia"/>
          <w:sz w:val="24"/>
        </w:rPr>
        <w:t>（</w:t>
      </w:r>
      <w:r>
        <w:rPr>
          <w:rFonts w:hint="eastAsia"/>
          <w:sz w:val="24"/>
        </w:rPr>
        <w:t>2</w:t>
      </w:r>
      <w:r>
        <w:rPr>
          <w:rFonts w:hint="eastAsia"/>
          <w:sz w:val="24"/>
        </w:rPr>
        <w:t>）</w:t>
      </w:r>
      <w:r w:rsidR="00216236" w:rsidRPr="00216236">
        <w:rPr>
          <w:rFonts w:hint="eastAsia"/>
          <w:sz w:val="24"/>
        </w:rPr>
        <w:t>除金融类企业外，本次募集资金使用不得为持有财务性投资，不得直接或者间接投资于以买卖有价证券为主要业务的公司</w:t>
      </w:r>
      <w:r>
        <w:rPr>
          <w:rFonts w:hint="eastAsia"/>
          <w:sz w:val="24"/>
        </w:rPr>
        <w:t>；</w:t>
      </w:r>
    </w:p>
    <w:p w14:paraId="323B43C2" w14:textId="34A80B94" w:rsidR="004C71D1" w:rsidRDefault="00966BCB" w:rsidP="00216236">
      <w:pPr>
        <w:adjustRightInd w:val="0"/>
        <w:spacing w:beforeLines="50" w:before="156" w:line="360" w:lineRule="auto"/>
        <w:ind w:firstLineChars="200" w:firstLine="480"/>
        <w:rPr>
          <w:sz w:val="24"/>
        </w:rPr>
      </w:pPr>
      <w:r>
        <w:rPr>
          <w:rFonts w:hint="eastAsia"/>
          <w:sz w:val="24"/>
        </w:rPr>
        <w:t>（</w:t>
      </w:r>
      <w:r>
        <w:rPr>
          <w:rFonts w:hint="eastAsia"/>
          <w:sz w:val="24"/>
        </w:rPr>
        <w:t>3</w:t>
      </w:r>
      <w:r>
        <w:rPr>
          <w:rFonts w:hint="eastAsia"/>
          <w:sz w:val="24"/>
        </w:rPr>
        <w:t>）</w:t>
      </w:r>
      <w:r w:rsidR="00216236" w:rsidRPr="00216236">
        <w:rPr>
          <w:rFonts w:hint="eastAsia"/>
          <w:sz w:val="24"/>
        </w:rPr>
        <w:t>募集资金项目实施后，不会与控股股东、实际控制人及其控制的其他企业新增构成重大不利影响的同业竞争、显失公平的关联交易，或者严重影响公司生产经营的独立性</w:t>
      </w:r>
      <w:r>
        <w:rPr>
          <w:rFonts w:hint="eastAsia"/>
          <w:sz w:val="24"/>
        </w:rPr>
        <w:t>。</w:t>
      </w:r>
      <w:r w:rsidR="00216236">
        <w:rPr>
          <w:rFonts w:hint="eastAsia"/>
          <w:sz w:val="24"/>
        </w:rPr>
        <w:t>”</w:t>
      </w:r>
    </w:p>
    <w:p w14:paraId="26A32CB0" w14:textId="7B4AEDC2" w:rsidR="004C71D1" w:rsidRDefault="00966BCB" w:rsidP="009152B6">
      <w:pPr>
        <w:adjustRightInd w:val="0"/>
        <w:spacing w:beforeLines="50" w:before="156" w:line="360" w:lineRule="auto"/>
        <w:ind w:firstLineChars="200" w:firstLine="482"/>
        <w:rPr>
          <w:b/>
          <w:bCs/>
          <w:sz w:val="24"/>
        </w:rPr>
      </w:pPr>
      <w:r>
        <w:rPr>
          <w:rFonts w:hint="eastAsia"/>
          <w:b/>
          <w:bCs/>
          <w:sz w:val="24"/>
        </w:rPr>
        <w:t>4</w:t>
      </w:r>
      <w:r>
        <w:rPr>
          <w:rFonts w:hint="eastAsia"/>
          <w:b/>
          <w:bCs/>
          <w:sz w:val="24"/>
        </w:rPr>
        <w:t>、</w:t>
      </w:r>
      <w:r w:rsidR="009152B6" w:rsidRPr="009152B6">
        <w:rPr>
          <w:rFonts w:hint="eastAsia"/>
          <w:b/>
          <w:bCs/>
          <w:sz w:val="24"/>
        </w:rPr>
        <w:t>本次发行符合《注册管理办法》第五十五条、第五十六条、第五十七条、第五十八条、第五十九条、第六十六条、第八十七条的相关规定</w:t>
      </w:r>
    </w:p>
    <w:p w14:paraId="0B4C3692" w14:textId="739C8CC6" w:rsidR="009152B6" w:rsidRDefault="009152B6" w:rsidP="009152B6">
      <w:pPr>
        <w:adjustRightInd w:val="0"/>
        <w:spacing w:beforeLines="50" w:before="156" w:line="360" w:lineRule="auto"/>
        <w:ind w:firstLine="420"/>
        <w:rPr>
          <w:sz w:val="24"/>
        </w:rPr>
      </w:pPr>
      <w:r w:rsidRPr="009152B6">
        <w:rPr>
          <w:rFonts w:hint="eastAsia"/>
          <w:sz w:val="24"/>
        </w:rPr>
        <w:t>本次</w:t>
      </w:r>
      <w:r w:rsidR="003A35FD">
        <w:rPr>
          <w:rFonts w:hint="eastAsia"/>
          <w:sz w:val="24"/>
        </w:rPr>
        <w:t>向特定对象发行</w:t>
      </w:r>
      <w:r w:rsidR="003A35FD">
        <w:rPr>
          <w:rFonts w:hint="eastAsia"/>
          <w:sz w:val="24"/>
        </w:rPr>
        <w:t>A</w:t>
      </w:r>
      <w:r w:rsidR="003A35FD">
        <w:rPr>
          <w:rFonts w:hint="eastAsia"/>
          <w:sz w:val="24"/>
        </w:rPr>
        <w:t>股股票</w:t>
      </w:r>
      <w:r w:rsidRPr="009152B6">
        <w:rPr>
          <w:rFonts w:hint="eastAsia"/>
          <w:sz w:val="24"/>
        </w:rPr>
        <w:t>的发行对象不超过</w:t>
      </w:r>
      <w:r w:rsidRPr="009152B6">
        <w:rPr>
          <w:rFonts w:hint="eastAsia"/>
          <w:sz w:val="24"/>
        </w:rPr>
        <w:t>35</w:t>
      </w:r>
      <w:r w:rsidRPr="009152B6">
        <w:rPr>
          <w:rFonts w:hint="eastAsia"/>
          <w:sz w:val="24"/>
        </w:rPr>
        <w:t>名，为符合中国证监会、深圳证券交易所规定条件的特定投资者，包括符合中国证监会规定的证券投资基</w:t>
      </w:r>
      <w:r w:rsidRPr="009152B6">
        <w:rPr>
          <w:rFonts w:hint="eastAsia"/>
          <w:sz w:val="24"/>
        </w:rPr>
        <w:lastRenderedPageBreak/>
        <w:t>金管理公司、证券公司、信托投资公司、财务公司、保险机构投资者、合格境外机构投资者，以及符合中国证监会规定的其他法人、自然人或其他合格的投资者。</w:t>
      </w:r>
    </w:p>
    <w:p w14:paraId="45308EBE" w14:textId="57D182E3" w:rsidR="009152B6" w:rsidRPr="009152B6" w:rsidRDefault="009152B6" w:rsidP="009152B6">
      <w:pPr>
        <w:adjustRightInd w:val="0"/>
        <w:spacing w:beforeLines="50" w:before="156" w:line="360" w:lineRule="auto"/>
        <w:ind w:firstLine="420"/>
        <w:rPr>
          <w:sz w:val="24"/>
        </w:rPr>
      </w:pPr>
      <w:r w:rsidRPr="009152B6">
        <w:rPr>
          <w:rFonts w:hint="eastAsia"/>
          <w:sz w:val="24"/>
        </w:rPr>
        <w:t>本次发行采用竞价方式，本次</w:t>
      </w:r>
      <w:r w:rsidR="003A35FD">
        <w:rPr>
          <w:rFonts w:hint="eastAsia"/>
          <w:sz w:val="24"/>
        </w:rPr>
        <w:t>向特定对象发行</w:t>
      </w:r>
      <w:r w:rsidR="003A35FD">
        <w:rPr>
          <w:rFonts w:hint="eastAsia"/>
          <w:sz w:val="24"/>
        </w:rPr>
        <w:t>A</w:t>
      </w:r>
      <w:r w:rsidR="003A35FD">
        <w:rPr>
          <w:rFonts w:hint="eastAsia"/>
          <w:sz w:val="24"/>
        </w:rPr>
        <w:t>股股票</w:t>
      </w:r>
      <w:r w:rsidRPr="009152B6">
        <w:rPr>
          <w:rFonts w:hint="eastAsia"/>
          <w:sz w:val="24"/>
        </w:rPr>
        <w:t>的定价基准日为发行期首日。发行价格为不低于定价基准日前二十个交易日公司股票交易均价的</w:t>
      </w:r>
      <w:r w:rsidRPr="009152B6">
        <w:rPr>
          <w:rFonts w:hint="eastAsia"/>
          <w:sz w:val="24"/>
        </w:rPr>
        <w:t>80%</w:t>
      </w:r>
      <w:r w:rsidRPr="009152B6">
        <w:rPr>
          <w:rFonts w:hint="eastAsia"/>
          <w:sz w:val="24"/>
        </w:rPr>
        <w:t>（定价基准日前二十个交易日股票交易均价</w:t>
      </w:r>
      <w:r w:rsidRPr="009152B6">
        <w:rPr>
          <w:rFonts w:hint="eastAsia"/>
          <w:sz w:val="24"/>
        </w:rPr>
        <w:t>=</w:t>
      </w:r>
      <w:r w:rsidRPr="009152B6">
        <w:rPr>
          <w:rFonts w:hint="eastAsia"/>
          <w:sz w:val="24"/>
        </w:rPr>
        <w:t>定价基准日前二十个交易日股票交易总额÷定价基准日前二十个交易日股票交易总量）。</w:t>
      </w:r>
    </w:p>
    <w:p w14:paraId="3A54EC51" w14:textId="0BE2B1FD" w:rsidR="009152B6" w:rsidRPr="009152B6" w:rsidRDefault="009152B6" w:rsidP="009152B6">
      <w:pPr>
        <w:adjustRightInd w:val="0"/>
        <w:spacing w:beforeLines="50" w:before="156" w:line="360" w:lineRule="auto"/>
        <w:ind w:firstLine="420"/>
        <w:rPr>
          <w:sz w:val="24"/>
        </w:rPr>
      </w:pPr>
      <w:r w:rsidRPr="009152B6">
        <w:rPr>
          <w:rFonts w:hint="eastAsia"/>
          <w:sz w:val="24"/>
        </w:rPr>
        <w:t>本次发行完成后，发行对象认购的股票自发行结束之日起六个月内不得转让。法律法规、规范性文件对限售期另有规定的，依其规定。</w:t>
      </w:r>
    </w:p>
    <w:p w14:paraId="2D5DE38D" w14:textId="77777777" w:rsidR="009152B6" w:rsidRDefault="009152B6" w:rsidP="009152B6">
      <w:pPr>
        <w:adjustRightInd w:val="0"/>
        <w:spacing w:beforeLines="50" w:before="156" w:line="360" w:lineRule="auto"/>
        <w:ind w:firstLine="420"/>
        <w:rPr>
          <w:sz w:val="24"/>
        </w:rPr>
      </w:pPr>
      <w:r w:rsidRPr="009152B6">
        <w:rPr>
          <w:rFonts w:hint="eastAsia"/>
          <w:sz w:val="24"/>
        </w:rPr>
        <w:t>本次发行，公司及控股股东、实际控制人和主要股东未对发行对象做出保底收益或变相保底收益承诺，未直接或通过利益相关方向发行对象提供财务资助或者其他补偿。</w:t>
      </w:r>
    </w:p>
    <w:p w14:paraId="39BF5B2F" w14:textId="05EF6FE5" w:rsidR="009152B6" w:rsidRPr="009152B6" w:rsidRDefault="009152B6" w:rsidP="009152B6">
      <w:pPr>
        <w:adjustRightInd w:val="0"/>
        <w:spacing w:beforeLines="50" w:before="156" w:line="360" w:lineRule="auto"/>
        <w:ind w:firstLine="420"/>
        <w:rPr>
          <w:sz w:val="24"/>
        </w:rPr>
      </w:pPr>
      <w:r w:rsidRPr="009152B6">
        <w:rPr>
          <w:rFonts w:hint="eastAsia"/>
          <w:sz w:val="24"/>
        </w:rPr>
        <w:t>本次发行不会导致公司控制权发生变化。</w:t>
      </w:r>
    </w:p>
    <w:p w14:paraId="3495C98A" w14:textId="4DA4453C" w:rsidR="004C71D1" w:rsidRDefault="009152B6" w:rsidP="009152B6">
      <w:pPr>
        <w:adjustRightInd w:val="0"/>
        <w:spacing w:beforeLines="50" w:before="156" w:line="360" w:lineRule="auto"/>
        <w:ind w:firstLine="420"/>
        <w:rPr>
          <w:sz w:val="24"/>
        </w:rPr>
      </w:pPr>
      <w:r w:rsidRPr="009152B6">
        <w:rPr>
          <w:rFonts w:hint="eastAsia"/>
          <w:sz w:val="24"/>
        </w:rPr>
        <w:t>综上，本次发行符合《注册管理办法》第五十五条、第五十六条、第五十七条、第五十八条、第五十九条、第六十六条、第八十七条的规定。</w:t>
      </w:r>
    </w:p>
    <w:p w14:paraId="716194FD" w14:textId="4E86BDCD" w:rsidR="004C71D1" w:rsidRDefault="00966BCB">
      <w:pPr>
        <w:adjustRightInd w:val="0"/>
        <w:spacing w:beforeLines="50" w:before="156" w:line="360" w:lineRule="auto"/>
        <w:ind w:firstLineChars="200" w:firstLine="482"/>
        <w:rPr>
          <w:b/>
          <w:bCs/>
          <w:sz w:val="24"/>
        </w:rPr>
      </w:pPr>
      <w:r>
        <w:rPr>
          <w:rFonts w:hint="eastAsia"/>
          <w:b/>
          <w:bCs/>
          <w:sz w:val="24"/>
        </w:rPr>
        <w:t>5</w:t>
      </w:r>
      <w:r>
        <w:rPr>
          <w:rFonts w:hint="eastAsia"/>
          <w:b/>
          <w:bCs/>
          <w:sz w:val="24"/>
        </w:rPr>
        <w:t>、</w:t>
      </w:r>
      <w:r w:rsidR="003D4C29" w:rsidRPr="003D4C29">
        <w:rPr>
          <w:rFonts w:hint="eastAsia"/>
          <w:b/>
          <w:bCs/>
          <w:sz w:val="24"/>
        </w:rPr>
        <w:t>符合《证券期货法律适用意见第</w:t>
      </w:r>
      <w:r w:rsidR="003D4C29" w:rsidRPr="003D4C29">
        <w:rPr>
          <w:rFonts w:hint="eastAsia"/>
          <w:b/>
          <w:bCs/>
          <w:sz w:val="24"/>
        </w:rPr>
        <w:t>18</w:t>
      </w:r>
      <w:r w:rsidR="003D4C29" w:rsidRPr="003D4C29">
        <w:rPr>
          <w:rFonts w:hint="eastAsia"/>
          <w:b/>
          <w:bCs/>
          <w:sz w:val="24"/>
        </w:rPr>
        <w:t>号》对发行条件的规定</w:t>
      </w:r>
    </w:p>
    <w:p w14:paraId="18815FFE" w14:textId="6E00393B" w:rsidR="003D4C29" w:rsidRDefault="003D4C29" w:rsidP="003D4C29">
      <w:pPr>
        <w:adjustRightInd w:val="0"/>
        <w:spacing w:beforeLines="50" w:before="156" w:line="360" w:lineRule="auto"/>
        <w:ind w:firstLine="420"/>
        <w:rPr>
          <w:sz w:val="24"/>
        </w:rPr>
      </w:pPr>
      <w:r w:rsidRPr="003D4C29">
        <w:rPr>
          <w:rFonts w:hint="eastAsia"/>
          <w:sz w:val="24"/>
        </w:rPr>
        <w:t>公司符合</w:t>
      </w:r>
      <w:r>
        <w:rPr>
          <w:rFonts w:hint="eastAsia"/>
          <w:sz w:val="24"/>
        </w:rPr>
        <w:t>《</w:t>
      </w:r>
      <w:r w:rsidRPr="003D4C29">
        <w:rPr>
          <w:rFonts w:hint="eastAsia"/>
          <w:sz w:val="24"/>
        </w:rPr>
        <w:t>证券期货法律适用意见第</w:t>
      </w:r>
      <w:r w:rsidRPr="003D4C29">
        <w:rPr>
          <w:rFonts w:hint="eastAsia"/>
          <w:sz w:val="24"/>
        </w:rPr>
        <w:t>18</w:t>
      </w:r>
      <w:r w:rsidRPr="003D4C29">
        <w:rPr>
          <w:rFonts w:hint="eastAsia"/>
          <w:sz w:val="24"/>
        </w:rPr>
        <w:t>号》对发行条件的规定</w:t>
      </w:r>
      <w:r>
        <w:rPr>
          <w:rFonts w:hint="eastAsia"/>
          <w:sz w:val="24"/>
        </w:rPr>
        <w:t>，具体如下：</w:t>
      </w:r>
    </w:p>
    <w:p w14:paraId="7EC1807F" w14:textId="5F0A25CE" w:rsidR="003D4C29" w:rsidRPr="003D4C29" w:rsidRDefault="003D4C29" w:rsidP="003D4C29">
      <w:pPr>
        <w:adjustRightInd w:val="0"/>
        <w:spacing w:beforeLines="50" w:before="156" w:line="360" w:lineRule="auto"/>
        <w:ind w:firstLine="420"/>
        <w:rPr>
          <w:sz w:val="24"/>
        </w:rPr>
      </w:pPr>
      <w:r>
        <w:rPr>
          <w:rFonts w:hint="eastAsia"/>
          <w:sz w:val="24"/>
        </w:rPr>
        <w:t>“</w:t>
      </w:r>
      <w:r w:rsidRPr="003D4C29">
        <w:rPr>
          <w:rFonts w:hint="eastAsia"/>
          <w:sz w:val="24"/>
        </w:rPr>
        <w:t>（</w:t>
      </w:r>
      <w:r w:rsidRPr="003D4C29">
        <w:rPr>
          <w:rFonts w:hint="eastAsia"/>
          <w:sz w:val="24"/>
        </w:rPr>
        <w:t>1</w:t>
      </w:r>
      <w:r w:rsidRPr="003D4C29">
        <w:rPr>
          <w:rFonts w:hint="eastAsia"/>
          <w:sz w:val="24"/>
        </w:rPr>
        <w:t>）公司最近一期末不存在金额较大的财务性投资；</w:t>
      </w:r>
    </w:p>
    <w:p w14:paraId="0177DF98" w14:textId="61C71AA4" w:rsidR="003D4C29" w:rsidRPr="003D4C29" w:rsidRDefault="003D4C29" w:rsidP="003D4C29">
      <w:pPr>
        <w:adjustRightInd w:val="0"/>
        <w:spacing w:beforeLines="50" w:before="156" w:line="360" w:lineRule="auto"/>
        <w:ind w:firstLine="420"/>
        <w:rPr>
          <w:sz w:val="24"/>
        </w:rPr>
      </w:pPr>
      <w:r w:rsidRPr="003D4C29">
        <w:rPr>
          <w:rFonts w:hint="eastAsia"/>
          <w:sz w:val="24"/>
        </w:rPr>
        <w:t>（</w:t>
      </w:r>
      <w:r w:rsidRPr="003D4C29">
        <w:rPr>
          <w:rFonts w:hint="eastAsia"/>
          <w:sz w:val="24"/>
        </w:rPr>
        <w:t>2</w:t>
      </w:r>
      <w:r w:rsidRPr="003D4C29">
        <w:rPr>
          <w:rFonts w:hint="eastAsia"/>
          <w:sz w:val="24"/>
        </w:rPr>
        <w:t>）公司控股股东、实际控制人最近三年不存在严重损害上市公司利益或者投资者合法权益的重大违法行为；公司最近三年不存在严重损害投资者合法权益或者社会公共利益的重大违法行为；</w:t>
      </w:r>
    </w:p>
    <w:p w14:paraId="6EC987BB" w14:textId="6CD8D2D8" w:rsidR="003D4C29" w:rsidRPr="003D4C29" w:rsidRDefault="003D4C29" w:rsidP="003D4C29">
      <w:pPr>
        <w:adjustRightInd w:val="0"/>
        <w:spacing w:beforeLines="50" w:before="156" w:line="360" w:lineRule="auto"/>
        <w:ind w:firstLine="420"/>
        <w:rPr>
          <w:sz w:val="24"/>
        </w:rPr>
      </w:pPr>
      <w:r w:rsidRPr="003D4C29">
        <w:rPr>
          <w:rFonts w:hint="eastAsia"/>
          <w:sz w:val="24"/>
        </w:rPr>
        <w:t>（</w:t>
      </w:r>
      <w:r w:rsidRPr="003D4C29">
        <w:rPr>
          <w:rFonts w:hint="eastAsia"/>
          <w:sz w:val="24"/>
        </w:rPr>
        <w:t>3</w:t>
      </w:r>
      <w:r w:rsidRPr="003D4C29">
        <w:rPr>
          <w:rFonts w:hint="eastAsia"/>
          <w:sz w:val="24"/>
        </w:rPr>
        <w:t>）本次发行的股份数量不超过本次发行前总股本的</w:t>
      </w:r>
      <w:r w:rsidR="00DC4DE5">
        <w:rPr>
          <w:rFonts w:hint="eastAsia"/>
          <w:sz w:val="24"/>
        </w:rPr>
        <w:t>3</w:t>
      </w:r>
      <w:r w:rsidRPr="003D4C29">
        <w:rPr>
          <w:rFonts w:hint="eastAsia"/>
          <w:sz w:val="24"/>
        </w:rPr>
        <w:t>0%</w:t>
      </w:r>
      <w:r w:rsidRPr="003D4C29">
        <w:rPr>
          <w:rFonts w:hint="eastAsia"/>
          <w:sz w:val="24"/>
        </w:rPr>
        <w:t>；</w:t>
      </w:r>
    </w:p>
    <w:p w14:paraId="0E7E2086" w14:textId="1B971B27" w:rsidR="003D4C29" w:rsidRPr="003D4C29" w:rsidRDefault="003D4C29" w:rsidP="003D4C29">
      <w:pPr>
        <w:adjustRightInd w:val="0"/>
        <w:spacing w:beforeLines="50" w:before="156" w:line="360" w:lineRule="auto"/>
        <w:ind w:firstLine="420"/>
        <w:rPr>
          <w:sz w:val="24"/>
        </w:rPr>
      </w:pPr>
      <w:r w:rsidRPr="003D4C29">
        <w:rPr>
          <w:rFonts w:hint="eastAsia"/>
          <w:sz w:val="24"/>
        </w:rPr>
        <w:t>（</w:t>
      </w:r>
      <w:r w:rsidRPr="003D4C29">
        <w:rPr>
          <w:rFonts w:hint="eastAsia"/>
          <w:sz w:val="24"/>
        </w:rPr>
        <w:t>4</w:t>
      </w:r>
      <w:r w:rsidRPr="003D4C29">
        <w:rPr>
          <w:rFonts w:hint="eastAsia"/>
          <w:sz w:val="24"/>
        </w:rPr>
        <w:t>）公司前次募集资金已使用完毕，公司本次</w:t>
      </w:r>
      <w:r w:rsidR="003A35FD">
        <w:rPr>
          <w:rFonts w:hint="eastAsia"/>
          <w:sz w:val="24"/>
        </w:rPr>
        <w:t>向特定对象发行</w:t>
      </w:r>
      <w:r w:rsidR="003A35FD">
        <w:rPr>
          <w:rFonts w:hint="eastAsia"/>
          <w:sz w:val="24"/>
        </w:rPr>
        <w:t>A</w:t>
      </w:r>
      <w:r w:rsidR="003A35FD">
        <w:rPr>
          <w:rFonts w:hint="eastAsia"/>
          <w:sz w:val="24"/>
        </w:rPr>
        <w:t>股股票</w:t>
      </w:r>
      <w:r w:rsidRPr="003D4C29">
        <w:rPr>
          <w:rFonts w:hint="eastAsia"/>
          <w:sz w:val="24"/>
        </w:rPr>
        <w:t>董事会决议日与前次募集资金到位日间隔已超过六个月；</w:t>
      </w:r>
    </w:p>
    <w:p w14:paraId="3E90C2ED" w14:textId="29CDCF56" w:rsidR="003D4C29" w:rsidRDefault="003D4C29" w:rsidP="003D4C29">
      <w:pPr>
        <w:adjustRightInd w:val="0"/>
        <w:spacing w:beforeLines="50" w:before="156" w:line="360" w:lineRule="auto"/>
        <w:ind w:firstLine="420"/>
        <w:rPr>
          <w:sz w:val="24"/>
        </w:rPr>
      </w:pPr>
      <w:r w:rsidRPr="00685B7C">
        <w:rPr>
          <w:rFonts w:hint="eastAsia"/>
          <w:sz w:val="24"/>
        </w:rPr>
        <w:t>（</w:t>
      </w:r>
      <w:r w:rsidRPr="00685B7C">
        <w:rPr>
          <w:rFonts w:hint="eastAsia"/>
          <w:sz w:val="24"/>
        </w:rPr>
        <w:t>5</w:t>
      </w:r>
      <w:r w:rsidRPr="00685B7C">
        <w:rPr>
          <w:rFonts w:hint="eastAsia"/>
          <w:sz w:val="24"/>
        </w:rPr>
        <w:t>）公司本次募集资金</w:t>
      </w:r>
      <w:r w:rsidR="00685B7C" w:rsidRPr="00685B7C">
        <w:rPr>
          <w:rFonts w:hint="eastAsia"/>
          <w:sz w:val="24"/>
        </w:rPr>
        <w:t>“创新药研发项目”、“中药传统名方产业化”及“补充流动资金项目”是对公司现有业务的升级</w:t>
      </w:r>
      <w:r w:rsidR="007126A9" w:rsidRPr="00685B7C">
        <w:rPr>
          <w:rFonts w:hint="eastAsia"/>
          <w:sz w:val="24"/>
        </w:rPr>
        <w:t>，投向主业。</w:t>
      </w:r>
    </w:p>
    <w:p w14:paraId="2090D125" w14:textId="295F9225" w:rsidR="006A20F4" w:rsidRPr="006A20F4" w:rsidRDefault="006A20F4" w:rsidP="006A20F4">
      <w:pPr>
        <w:adjustRightInd w:val="0"/>
        <w:spacing w:beforeLines="50" w:before="156" w:line="360" w:lineRule="auto"/>
        <w:ind w:firstLine="420"/>
        <w:rPr>
          <w:b/>
          <w:bCs/>
          <w:sz w:val="24"/>
        </w:rPr>
      </w:pPr>
      <w:r w:rsidRPr="006A20F4">
        <w:rPr>
          <w:rFonts w:hint="eastAsia"/>
          <w:b/>
          <w:bCs/>
          <w:sz w:val="24"/>
        </w:rPr>
        <w:lastRenderedPageBreak/>
        <w:t>6</w:t>
      </w:r>
      <w:r w:rsidRPr="006A20F4">
        <w:rPr>
          <w:rFonts w:hint="eastAsia"/>
          <w:b/>
          <w:bCs/>
          <w:sz w:val="24"/>
        </w:rPr>
        <w:t>、公司不属于《关于对失信被执行人实施联合惩戒的合作备忘录》和《关于对海关失信企业实施联合惩戒的合作备忘录》规定的需要惩处的企业范围，不属于一般失信企业和海关失信企业</w:t>
      </w:r>
    </w:p>
    <w:p w14:paraId="0755DF5F" w14:textId="17CB0CE8" w:rsidR="006A20F4" w:rsidRPr="006A20F4" w:rsidRDefault="006A20F4" w:rsidP="006A20F4">
      <w:pPr>
        <w:adjustRightInd w:val="0"/>
        <w:spacing w:beforeLines="50" w:before="156" w:line="360" w:lineRule="auto"/>
        <w:ind w:firstLine="420"/>
        <w:rPr>
          <w:sz w:val="24"/>
        </w:rPr>
      </w:pPr>
      <w:r w:rsidRPr="006A20F4">
        <w:rPr>
          <w:rFonts w:hint="eastAsia"/>
          <w:sz w:val="24"/>
        </w:rPr>
        <w:t>经自查，公司不属于《关于对失信被执行人实施联合惩戒的合作备忘录》和《关于对海关失信企业实施联合惩戒的合作备忘录》规定的需要惩处的企业范围，不属于一般失信企业和海关失信企业。</w:t>
      </w:r>
    </w:p>
    <w:p w14:paraId="1F8A6907" w14:textId="0EF97519" w:rsidR="006A20F4" w:rsidRPr="006A20F4" w:rsidRDefault="006A20F4" w:rsidP="006A20F4">
      <w:pPr>
        <w:adjustRightInd w:val="0"/>
        <w:spacing w:beforeLines="50" w:before="156" w:line="360" w:lineRule="auto"/>
        <w:ind w:firstLine="420"/>
        <w:rPr>
          <w:sz w:val="24"/>
        </w:rPr>
      </w:pPr>
      <w:r w:rsidRPr="006A20F4">
        <w:rPr>
          <w:rFonts w:hint="eastAsia"/>
          <w:sz w:val="24"/>
        </w:rPr>
        <w:t>综上，公司符合《注册管理办法》等相关法律法规的规定，且不存在不得发行证券的情形，发行方式亦符合相关法律法规的要求，发行方式合法合规、可行。</w:t>
      </w:r>
    </w:p>
    <w:p w14:paraId="479D904A"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（二）本次发行程序合法合规</w:t>
      </w:r>
    </w:p>
    <w:p w14:paraId="02B553C2" w14:textId="18BB8CD5" w:rsidR="004C71D1" w:rsidRDefault="00966BCB">
      <w:pPr>
        <w:adjustRightInd w:val="0"/>
        <w:spacing w:beforeLines="50" w:before="156" w:line="360" w:lineRule="auto"/>
        <w:ind w:firstLineChars="200" w:firstLine="480"/>
        <w:rPr>
          <w:sz w:val="24"/>
        </w:rPr>
      </w:pPr>
      <w:r w:rsidRPr="00B05829">
        <w:rPr>
          <w:rFonts w:hint="eastAsia"/>
          <w:sz w:val="24"/>
        </w:rPr>
        <w:t>本次发行已经公司第</w:t>
      </w:r>
      <w:r w:rsidR="00616DD8" w:rsidRPr="00B05829">
        <w:rPr>
          <w:rFonts w:hint="eastAsia"/>
          <w:sz w:val="24"/>
        </w:rPr>
        <w:t>五</w:t>
      </w:r>
      <w:r w:rsidRPr="00B05829">
        <w:rPr>
          <w:rFonts w:hint="eastAsia"/>
          <w:sz w:val="24"/>
        </w:rPr>
        <w:t>届董事会第</w:t>
      </w:r>
      <w:r w:rsidR="00A8509F" w:rsidRPr="00B05829">
        <w:rPr>
          <w:rFonts w:hint="eastAsia"/>
          <w:sz w:val="24"/>
        </w:rPr>
        <w:t>七</w:t>
      </w:r>
      <w:r w:rsidRPr="00B05829">
        <w:rPr>
          <w:rFonts w:hint="eastAsia"/>
          <w:sz w:val="24"/>
        </w:rPr>
        <w:t>次会议、第</w:t>
      </w:r>
      <w:r w:rsidR="00616DD8" w:rsidRPr="00B05829">
        <w:rPr>
          <w:rFonts w:hint="eastAsia"/>
          <w:sz w:val="24"/>
        </w:rPr>
        <w:t>五</w:t>
      </w:r>
      <w:r w:rsidRPr="00B05829">
        <w:rPr>
          <w:rFonts w:hint="eastAsia"/>
          <w:sz w:val="24"/>
        </w:rPr>
        <w:t>届监事会第</w:t>
      </w:r>
      <w:r w:rsidR="00A8509F" w:rsidRPr="00B05829">
        <w:rPr>
          <w:rFonts w:hint="eastAsia"/>
          <w:sz w:val="24"/>
        </w:rPr>
        <w:t>六</w:t>
      </w:r>
      <w:r w:rsidRPr="00B05829">
        <w:rPr>
          <w:rFonts w:hint="eastAsia"/>
          <w:sz w:val="24"/>
        </w:rPr>
        <w:t>次会议审议并通过，</w:t>
      </w:r>
      <w:r>
        <w:rPr>
          <w:rFonts w:hint="eastAsia"/>
          <w:sz w:val="24"/>
        </w:rPr>
        <w:t>董事会决议、监事会决议以及相关文件均在中国证监会指定信息披露网站及指定的信息披露媒体上进行披露，履行了必要的审议程序和信息披露程序。公司本次向特定对象发行</w:t>
      </w:r>
      <w:r w:rsidR="00616DD8">
        <w:rPr>
          <w:rFonts w:hint="eastAsia"/>
          <w:sz w:val="24"/>
        </w:rPr>
        <w:t>A</w:t>
      </w:r>
      <w:r>
        <w:rPr>
          <w:rFonts w:hint="eastAsia"/>
          <w:sz w:val="24"/>
        </w:rPr>
        <w:t>股股票尚需经公司股东大会审议通过、深圳证券交易所审核通过并经中国证监会同意注册后方可实施。</w:t>
      </w:r>
    </w:p>
    <w:p w14:paraId="015AEA09" w14:textId="39588E70" w:rsidR="004C71D1" w:rsidRDefault="00966BCB">
      <w:pPr>
        <w:adjustRightInd w:val="0"/>
        <w:spacing w:beforeLines="50" w:before="156" w:line="360" w:lineRule="auto"/>
        <w:ind w:firstLineChars="200" w:firstLine="480"/>
        <w:rPr>
          <w:sz w:val="24"/>
        </w:rPr>
      </w:pPr>
      <w:r>
        <w:rPr>
          <w:rFonts w:hint="eastAsia"/>
          <w:sz w:val="24"/>
        </w:rPr>
        <w:t>综上所述，本次向特定对象发行</w:t>
      </w:r>
      <w:r w:rsidR="003A35FD">
        <w:rPr>
          <w:rFonts w:hint="eastAsia"/>
          <w:sz w:val="24"/>
        </w:rPr>
        <w:t>A</w:t>
      </w:r>
      <w:r w:rsidR="003A35FD">
        <w:rPr>
          <w:rFonts w:hint="eastAsia"/>
          <w:sz w:val="24"/>
        </w:rPr>
        <w:t>股</w:t>
      </w:r>
      <w:r>
        <w:rPr>
          <w:rFonts w:hint="eastAsia"/>
          <w:sz w:val="24"/>
        </w:rPr>
        <w:t>股票的审议程序</w:t>
      </w:r>
      <w:r w:rsidR="00616DD8" w:rsidRPr="00616DD8">
        <w:rPr>
          <w:rFonts w:hint="eastAsia"/>
          <w:sz w:val="24"/>
        </w:rPr>
        <w:t>和批准程序</w:t>
      </w:r>
      <w:r>
        <w:rPr>
          <w:rFonts w:hint="eastAsia"/>
          <w:sz w:val="24"/>
        </w:rPr>
        <w:t>合法合规，发行方式可行。</w:t>
      </w:r>
    </w:p>
    <w:p w14:paraId="17D1035C" w14:textId="77777777" w:rsidR="004C71D1" w:rsidRDefault="00966BCB">
      <w:pPr>
        <w:keepNext/>
        <w:spacing w:beforeLines="50" w:before="156" w:line="360" w:lineRule="auto"/>
        <w:outlineLvl w:val="1"/>
        <w:rPr>
          <w:b/>
          <w:snapToGrid w:val="0"/>
          <w:sz w:val="28"/>
          <w:szCs w:val="28"/>
        </w:rPr>
      </w:pPr>
      <w:r>
        <w:rPr>
          <w:rFonts w:hint="eastAsia"/>
          <w:b/>
          <w:snapToGrid w:val="0"/>
          <w:sz w:val="28"/>
          <w:szCs w:val="28"/>
        </w:rPr>
        <w:t>六、本次发行方案的公平性、合理性</w:t>
      </w:r>
    </w:p>
    <w:p w14:paraId="487AB1B7" w14:textId="010B5E6A" w:rsidR="004C71D1" w:rsidRDefault="00544A11" w:rsidP="00544A11">
      <w:pPr>
        <w:adjustRightInd w:val="0"/>
        <w:spacing w:beforeLines="50" w:before="156" w:line="360" w:lineRule="auto"/>
        <w:ind w:firstLineChars="200" w:firstLine="480"/>
        <w:rPr>
          <w:sz w:val="24"/>
        </w:rPr>
      </w:pPr>
      <w:r w:rsidRPr="00544A11">
        <w:rPr>
          <w:rFonts w:hint="eastAsia"/>
          <w:sz w:val="24"/>
        </w:rPr>
        <w:t>本次向特定对象发行</w:t>
      </w:r>
      <w:r w:rsidR="003A35FD">
        <w:rPr>
          <w:rFonts w:hint="eastAsia"/>
          <w:sz w:val="24"/>
        </w:rPr>
        <w:t>A</w:t>
      </w:r>
      <w:r w:rsidR="003A35FD">
        <w:rPr>
          <w:rFonts w:hint="eastAsia"/>
          <w:sz w:val="24"/>
        </w:rPr>
        <w:t>股</w:t>
      </w:r>
      <w:r w:rsidRPr="00544A11">
        <w:rPr>
          <w:rFonts w:hint="eastAsia"/>
          <w:sz w:val="24"/>
        </w:rPr>
        <w:t>股票方案经董事会审慎研究后通过，发行方案的实施将有利于公司持续稳定发展，增强资本实力，优化资本结构，提升盈利能力，符合全体股东的利益。</w:t>
      </w:r>
    </w:p>
    <w:p w14:paraId="26008345" w14:textId="5CAE6947" w:rsidR="004C71D1" w:rsidRDefault="00966BCB">
      <w:pPr>
        <w:adjustRightInd w:val="0"/>
        <w:spacing w:beforeLines="50" w:before="156" w:line="360" w:lineRule="auto"/>
        <w:ind w:firstLineChars="200" w:firstLine="480"/>
        <w:rPr>
          <w:sz w:val="24"/>
        </w:rPr>
      </w:pPr>
      <w:r>
        <w:rPr>
          <w:rFonts w:hint="eastAsia"/>
          <w:sz w:val="24"/>
        </w:rPr>
        <w:t>本次向特定对象发行</w:t>
      </w:r>
      <w:r w:rsidR="003A35FD">
        <w:rPr>
          <w:rFonts w:hint="eastAsia"/>
          <w:sz w:val="24"/>
        </w:rPr>
        <w:t>A</w:t>
      </w:r>
      <w:r w:rsidR="003A35FD">
        <w:rPr>
          <w:rFonts w:hint="eastAsia"/>
          <w:sz w:val="24"/>
        </w:rPr>
        <w:t>股</w:t>
      </w:r>
      <w:r>
        <w:rPr>
          <w:rFonts w:hint="eastAsia"/>
          <w:sz w:val="24"/>
        </w:rPr>
        <w:t>股票的发行方案及相关文件在中国证监会指定信息披露网站及指定的信息披露媒体上进行披露，保证了全体股东的知情权。</w:t>
      </w:r>
    </w:p>
    <w:p w14:paraId="7CB8A62F" w14:textId="549587F1" w:rsidR="004C71D1" w:rsidRDefault="00544A11" w:rsidP="00544A11">
      <w:pPr>
        <w:adjustRightInd w:val="0"/>
        <w:spacing w:beforeLines="50" w:before="156" w:line="360" w:lineRule="auto"/>
        <w:ind w:firstLineChars="200" w:firstLine="480"/>
        <w:rPr>
          <w:sz w:val="24"/>
        </w:rPr>
      </w:pPr>
      <w:r w:rsidRPr="00544A11">
        <w:rPr>
          <w:rFonts w:hint="eastAsia"/>
          <w:sz w:val="24"/>
        </w:rPr>
        <w:t>公司将召开股东大会审议本次向特定对象发行</w:t>
      </w:r>
      <w:r w:rsidR="003A35FD">
        <w:rPr>
          <w:rFonts w:hint="eastAsia"/>
          <w:sz w:val="24"/>
        </w:rPr>
        <w:t>A</w:t>
      </w:r>
      <w:r w:rsidR="003A35FD">
        <w:rPr>
          <w:rFonts w:hint="eastAsia"/>
          <w:sz w:val="24"/>
        </w:rPr>
        <w:t>股</w:t>
      </w:r>
      <w:r w:rsidRPr="00544A11">
        <w:rPr>
          <w:rFonts w:hint="eastAsia"/>
          <w:sz w:val="24"/>
        </w:rPr>
        <w:t>股票方案，全体股东均可对公司本次发行方案按照同股同权的方式进行公平的表决。股东大会就本次向特定对象发行</w:t>
      </w:r>
      <w:r w:rsidR="003A35FD">
        <w:rPr>
          <w:rFonts w:hint="eastAsia"/>
          <w:sz w:val="24"/>
        </w:rPr>
        <w:t>A</w:t>
      </w:r>
      <w:r w:rsidR="003A35FD">
        <w:rPr>
          <w:rFonts w:hint="eastAsia"/>
          <w:sz w:val="24"/>
        </w:rPr>
        <w:t>股</w:t>
      </w:r>
      <w:r w:rsidRPr="00544A11">
        <w:rPr>
          <w:rFonts w:hint="eastAsia"/>
          <w:sz w:val="24"/>
        </w:rPr>
        <w:t>股票相关事项作出决议，必须经出席会议的股东所持表决权的三分之二以上通过，中小投资者表决情况应当单独计票。同时，公司股东可通</w:t>
      </w:r>
      <w:r w:rsidRPr="00544A11">
        <w:rPr>
          <w:rFonts w:hint="eastAsia"/>
          <w:sz w:val="24"/>
        </w:rPr>
        <w:lastRenderedPageBreak/>
        <w:t>过现场或网络表决的方式行使股东权利。</w:t>
      </w:r>
    </w:p>
    <w:p w14:paraId="52CC5B26" w14:textId="16F6A2B1" w:rsidR="004C71D1" w:rsidRDefault="00544A11" w:rsidP="00544A11">
      <w:pPr>
        <w:adjustRightInd w:val="0"/>
        <w:spacing w:beforeLines="50" w:before="156" w:line="360" w:lineRule="auto"/>
        <w:ind w:firstLineChars="200" w:firstLine="480"/>
        <w:rPr>
          <w:sz w:val="24"/>
        </w:rPr>
      </w:pPr>
      <w:r w:rsidRPr="00544A11">
        <w:rPr>
          <w:rFonts w:hint="eastAsia"/>
          <w:sz w:val="24"/>
        </w:rPr>
        <w:t>综上所述，本次向特定对象发行</w:t>
      </w:r>
      <w:r w:rsidR="003A35FD">
        <w:rPr>
          <w:rFonts w:hint="eastAsia"/>
          <w:sz w:val="24"/>
        </w:rPr>
        <w:t>A</w:t>
      </w:r>
      <w:r w:rsidR="003A35FD">
        <w:rPr>
          <w:rFonts w:hint="eastAsia"/>
          <w:sz w:val="24"/>
        </w:rPr>
        <w:t>股</w:t>
      </w:r>
      <w:r w:rsidRPr="00544A11">
        <w:rPr>
          <w:rFonts w:hint="eastAsia"/>
          <w:sz w:val="24"/>
        </w:rPr>
        <w:t>股票方案已经公司董事会审慎研究后通过，认为该方案符合全体股东利益；本次向特定对象发行</w:t>
      </w:r>
      <w:r w:rsidR="003A35FD">
        <w:rPr>
          <w:rFonts w:hint="eastAsia"/>
          <w:sz w:val="24"/>
        </w:rPr>
        <w:t>A</w:t>
      </w:r>
      <w:r w:rsidR="003A35FD">
        <w:rPr>
          <w:rFonts w:hint="eastAsia"/>
          <w:sz w:val="24"/>
        </w:rPr>
        <w:t>股</w:t>
      </w:r>
      <w:r w:rsidRPr="00544A11">
        <w:rPr>
          <w:rFonts w:hint="eastAsia"/>
          <w:sz w:val="24"/>
        </w:rPr>
        <w:t>股票方案及相关文件已履行了相关披露程序，保障了股东的知情权，同时本次向特定对象发行</w:t>
      </w:r>
      <w:r w:rsidR="003A35FD">
        <w:rPr>
          <w:rFonts w:hint="eastAsia"/>
          <w:sz w:val="24"/>
        </w:rPr>
        <w:t>A</w:t>
      </w:r>
      <w:r w:rsidR="003A35FD">
        <w:rPr>
          <w:rFonts w:hint="eastAsia"/>
          <w:sz w:val="24"/>
        </w:rPr>
        <w:t>股</w:t>
      </w:r>
      <w:r w:rsidRPr="00544A11">
        <w:rPr>
          <w:rFonts w:hint="eastAsia"/>
          <w:sz w:val="24"/>
        </w:rPr>
        <w:t>股票的方案将在股东大会上接受参会股东的公平表决，具备公平性和合理性。</w:t>
      </w:r>
    </w:p>
    <w:p w14:paraId="04D1A73C" w14:textId="7E4B6F64" w:rsidR="004C71D1" w:rsidRDefault="00966BCB" w:rsidP="00374753">
      <w:pPr>
        <w:keepNext/>
        <w:spacing w:beforeLines="50" w:before="156" w:line="360" w:lineRule="auto"/>
        <w:outlineLvl w:val="1"/>
        <w:rPr>
          <w:b/>
          <w:snapToGrid w:val="0"/>
          <w:sz w:val="28"/>
          <w:szCs w:val="28"/>
        </w:rPr>
      </w:pPr>
      <w:bookmarkStart w:id="4" w:name="_Toc113441773"/>
      <w:r>
        <w:rPr>
          <w:rFonts w:hint="eastAsia"/>
          <w:b/>
          <w:snapToGrid w:val="0"/>
          <w:sz w:val="28"/>
          <w:szCs w:val="28"/>
        </w:rPr>
        <w:t>七、</w:t>
      </w:r>
      <w:bookmarkEnd w:id="4"/>
      <w:r w:rsidR="00374753" w:rsidRPr="00374753">
        <w:rPr>
          <w:rFonts w:hint="eastAsia"/>
          <w:b/>
          <w:snapToGrid w:val="0"/>
          <w:sz w:val="28"/>
          <w:szCs w:val="28"/>
        </w:rPr>
        <w:t>本次发行对原股东权益或者即期回报摊薄的影响以及填补的具体措施</w:t>
      </w:r>
    </w:p>
    <w:p w14:paraId="0EFA88F0" w14:textId="7281B9AC" w:rsidR="00374753" w:rsidRPr="00374753" w:rsidRDefault="00374753" w:rsidP="00374753">
      <w:pPr>
        <w:spacing w:beforeLines="50" w:before="156" w:line="360" w:lineRule="auto"/>
        <w:ind w:firstLineChars="200" w:firstLine="480"/>
        <w:rPr>
          <w:sz w:val="24"/>
          <w:szCs w:val="22"/>
        </w:rPr>
      </w:pPr>
      <w:r w:rsidRPr="00374753">
        <w:rPr>
          <w:rFonts w:hint="eastAsia"/>
          <w:sz w:val="24"/>
          <w:szCs w:val="22"/>
        </w:rPr>
        <w:t>根据公司本次发行方案，股本数量将较发行前有所增加，募集资金到位后，公司净资产规模也将大幅提高，由于募集资金投资项目存在一定建设期，公司即期回报将因本次发行而有所摊薄。</w:t>
      </w:r>
    </w:p>
    <w:p w14:paraId="7A0967E2" w14:textId="7048ABA8" w:rsidR="004C71D1" w:rsidRDefault="00374753" w:rsidP="00374753">
      <w:pPr>
        <w:spacing w:beforeLines="50" w:before="156" w:line="360" w:lineRule="auto"/>
        <w:ind w:firstLineChars="200" w:firstLine="480"/>
        <w:rPr>
          <w:sz w:val="24"/>
          <w:szCs w:val="22"/>
        </w:rPr>
      </w:pPr>
      <w:r w:rsidRPr="00374753">
        <w:rPr>
          <w:rFonts w:hint="eastAsia"/>
          <w:sz w:val="24"/>
          <w:szCs w:val="22"/>
        </w:rPr>
        <w:t>根据《国务院办公厅关于进一步加强资本市场中小投资者合法权益保护工作的意见》（国办发</w:t>
      </w:r>
      <w:r w:rsidRPr="00374753">
        <w:rPr>
          <w:rFonts w:hint="eastAsia"/>
          <w:sz w:val="24"/>
          <w:szCs w:val="22"/>
        </w:rPr>
        <w:t>[2013]110</w:t>
      </w:r>
      <w:r w:rsidRPr="00374753">
        <w:rPr>
          <w:rFonts w:hint="eastAsia"/>
          <w:sz w:val="24"/>
          <w:szCs w:val="22"/>
        </w:rPr>
        <w:t>号）《国务院关于进一步促进资本市场健康发展的若干意见》（国发</w:t>
      </w:r>
      <w:r w:rsidRPr="00374753">
        <w:rPr>
          <w:rFonts w:hint="eastAsia"/>
          <w:sz w:val="24"/>
          <w:szCs w:val="22"/>
        </w:rPr>
        <w:t>[2014]17</w:t>
      </w:r>
      <w:r w:rsidRPr="00374753">
        <w:rPr>
          <w:rFonts w:hint="eastAsia"/>
          <w:sz w:val="24"/>
          <w:szCs w:val="22"/>
        </w:rPr>
        <w:t>号）和《关于首发及再融资、重大资产重组摊薄即期回报有关事项的指导意见》（证监会公告</w:t>
      </w:r>
      <w:r w:rsidRPr="00374753">
        <w:rPr>
          <w:rFonts w:hint="eastAsia"/>
          <w:sz w:val="24"/>
          <w:szCs w:val="22"/>
        </w:rPr>
        <w:t>[2015]31</w:t>
      </w:r>
      <w:r w:rsidRPr="00374753">
        <w:rPr>
          <w:rFonts w:hint="eastAsia"/>
          <w:sz w:val="24"/>
          <w:szCs w:val="22"/>
        </w:rPr>
        <w:t>号）等法律、法规及其他规范性文件的要求，公司就本次向特定对象发行</w:t>
      </w:r>
      <w:r w:rsidR="003A35FD">
        <w:rPr>
          <w:rFonts w:hint="eastAsia"/>
          <w:sz w:val="24"/>
          <w:szCs w:val="22"/>
        </w:rPr>
        <w:t>A</w:t>
      </w:r>
      <w:r w:rsidR="003A35FD">
        <w:rPr>
          <w:rFonts w:hint="eastAsia"/>
          <w:sz w:val="24"/>
          <w:szCs w:val="22"/>
        </w:rPr>
        <w:t>股</w:t>
      </w:r>
      <w:r w:rsidRPr="00374753">
        <w:rPr>
          <w:rFonts w:hint="eastAsia"/>
          <w:sz w:val="24"/>
          <w:szCs w:val="22"/>
        </w:rPr>
        <w:t>股票对即期回报摊薄的影响进行了认真、审慎、客观的分析并提出了具体的填补回报措施，具体如下：</w:t>
      </w:r>
    </w:p>
    <w:p w14:paraId="55E3470E" w14:textId="27717773" w:rsidR="004C71D1" w:rsidRDefault="00966BCB">
      <w:pPr>
        <w:spacing w:beforeLines="50" w:before="156" w:line="360" w:lineRule="auto"/>
        <w:ind w:firstLineChars="200" w:firstLine="482"/>
        <w:outlineLvl w:val="2"/>
        <w:rPr>
          <w:b/>
          <w:snapToGrid w:val="0"/>
          <w:sz w:val="24"/>
        </w:rPr>
      </w:pPr>
      <w:r>
        <w:rPr>
          <w:rFonts w:hint="eastAsia"/>
          <w:b/>
          <w:snapToGrid w:val="0"/>
          <w:sz w:val="24"/>
        </w:rPr>
        <w:t>（一）本次向特定对象发行</w:t>
      </w:r>
      <w:r w:rsidR="003A35FD">
        <w:rPr>
          <w:rFonts w:hint="eastAsia"/>
          <w:b/>
          <w:snapToGrid w:val="0"/>
          <w:sz w:val="24"/>
        </w:rPr>
        <w:t>A</w:t>
      </w:r>
      <w:r w:rsidR="003A35FD">
        <w:rPr>
          <w:rFonts w:hint="eastAsia"/>
          <w:b/>
          <w:snapToGrid w:val="0"/>
          <w:sz w:val="24"/>
        </w:rPr>
        <w:t>股</w:t>
      </w:r>
      <w:r>
        <w:rPr>
          <w:rFonts w:hint="eastAsia"/>
          <w:b/>
          <w:snapToGrid w:val="0"/>
          <w:sz w:val="24"/>
        </w:rPr>
        <w:t>股票摊薄即期回报对公司主要财务指标的影响</w:t>
      </w:r>
    </w:p>
    <w:p w14:paraId="0B29CAF7" w14:textId="5BFA26C7" w:rsidR="004C71D1" w:rsidRDefault="00966BCB">
      <w:pPr>
        <w:spacing w:beforeLines="50" w:before="156" w:line="360" w:lineRule="auto"/>
        <w:ind w:firstLineChars="200" w:firstLine="480"/>
        <w:rPr>
          <w:sz w:val="24"/>
          <w:szCs w:val="22"/>
        </w:rPr>
      </w:pPr>
      <w:r w:rsidRPr="002E3357">
        <w:rPr>
          <w:rFonts w:hint="eastAsia"/>
          <w:sz w:val="24"/>
          <w:szCs w:val="22"/>
        </w:rPr>
        <w:t>本次向特定对象发行</w:t>
      </w:r>
      <w:r w:rsidR="003A35FD">
        <w:rPr>
          <w:rFonts w:hint="eastAsia"/>
          <w:sz w:val="24"/>
          <w:szCs w:val="22"/>
        </w:rPr>
        <w:t>A</w:t>
      </w:r>
      <w:r w:rsidR="003A35FD">
        <w:rPr>
          <w:rFonts w:hint="eastAsia"/>
          <w:sz w:val="24"/>
          <w:szCs w:val="22"/>
        </w:rPr>
        <w:t>股</w:t>
      </w:r>
      <w:r w:rsidRPr="002E3357">
        <w:rPr>
          <w:rFonts w:hint="eastAsia"/>
          <w:sz w:val="24"/>
          <w:szCs w:val="22"/>
        </w:rPr>
        <w:t>股票募集资金总额不超过</w:t>
      </w:r>
      <w:r w:rsidR="00FE0D06">
        <w:rPr>
          <w:rFonts w:hint="eastAsia"/>
          <w:sz w:val="24"/>
          <w:szCs w:val="22"/>
        </w:rPr>
        <w:t>97,686.65</w:t>
      </w:r>
      <w:r w:rsidRPr="002E3357">
        <w:rPr>
          <w:rFonts w:hint="eastAsia"/>
          <w:sz w:val="24"/>
          <w:szCs w:val="22"/>
        </w:rPr>
        <w:t>万元</w:t>
      </w:r>
      <w:r>
        <w:rPr>
          <w:rFonts w:hint="eastAsia"/>
          <w:sz w:val="24"/>
          <w:szCs w:val="22"/>
        </w:rPr>
        <w:t>，发行股份总数不超过</w:t>
      </w:r>
      <w:r>
        <w:rPr>
          <w:sz w:val="24"/>
          <w:szCs w:val="22"/>
        </w:rPr>
        <w:t>47,780,100</w:t>
      </w:r>
      <w:r>
        <w:rPr>
          <w:rFonts w:hint="eastAsia"/>
          <w:sz w:val="24"/>
        </w:rPr>
        <w:t>股</w:t>
      </w:r>
      <w:r>
        <w:rPr>
          <w:rFonts w:hint="eastAsia"/>
          <w:sz w:val="24"/>
          <w:szCs w:val="22"/>
        </w:rPr>
        <w:t>股票。以本次发行股份数量和募集资金总额上限计算，公司总股本将由</w:t>
      </w:r>
      <w:r>
        <w:rPr>
          <w:sz w:val="24"/>
          <w:szCs w:val="22"/>
        </w:rPr>
        <w:t>159,267,000</w:t>
      </w:r>
      <w:r>
        <w:rPr>
          <w:rFonts w:hint="eastAsia"/>
          <w:sz w:val="24"/>
          <w:szCs w:val="22"/>
        </w:rPr>
        <w:t>股增至</w:t>
      </w:r>
      <w:r>
        <w:rPr>
          <w:sz w:val="24"/>
          <w:szCs w:val="22"/>
        </w:rPr>
        <w:t>207,047,100</w:t>
      </w:r>
      <w:r>
        <w:rPr>
          <w:rFonts w:hint="eastAsia"/>
          <w:sz w:val="24"/>
          <w:szCs w:val="22"/>
        </w:rPr>
        <w:t>股。本次发行完成后，公司总股本和净资产将有所增加，而募集资金的使用和实施需要一定的时间。根据下文假设基础进行测算，本次发行可能不会导致公司每股收益被摊薄。但是一旦前述分析的假设条件或公司经营情况发生重大变化，不能排除本次发行导致即期回报被摊薄情况的可能性，公司依然存在即期回报因本次发行而有所摊薄的风险。</w:t>
      </w:r>
    </w:p>
    <w:p w14:paraId="5D5C2844" w14:textId="6E14E62A" w:rsidR="004C71D1" w:rsidRDefault="00966BCB">
      <w:pPr>
        <w:spacing w:beforeLines="50" w:before="156" w:line="360" w:lineRule="auto"/>
        <w:ind w:firstLineChars="200" w:firstLine="482"/>
        <w:rPr>
          <w:b/>
          <w:sz w:val="24"/>
          <w:szCs w:val="22"/>
        </w:rPr>
      </w:pPr>
      <w:r>
        <w:rPr>
          <w:rFonts w:hint="eastAsia"/>
          <w:b/>
          <w:sz w:val="24"/>
          <w:szCs w:val="22"/>
        </w:rPr>
        <w:t>1</w:t>
      </w:r>
      <w:r>
        <w:rPr>
          <w:rFonts w:hint="eastAsia"/>
          <w:b/>
          <w:sz w:val="24"/>
          <w:szCs w:val="22"/>
        </w:rPr>
        <w:t>、</w:t>
      </w:r>
      <w:r w:rsidR="00003058" w:rsidRPr="00003058">
        <w:rPr>
          <w:rFonts w:hint="eastAsia"/>
          <w:b/>
          <w:sz w:val="24"/>
          <w:szCs w:val="22"/>
        </w:rPr>
        <w:t>测算假设及前提</w:t>
      </w:r>
    </w:p>
    <w:p w14:paraId="04F98ECF" w14:textId="004D07B5" w:rsidR="00003058" w:rsidRPr="00003058" w:rsidRDefault="00003058" w:rsidP="00003058">
      <w:pPr>
        <w:spacing w:beforeLines="50" w:before="156" w:line="360" w:lineRule="auto"/>
        <w:ind w:firstLineChars="200" w:firstLine="480"/>
        <w:rPr>
          <w:sz w:val="24"/>
          <w:szCs w:val="22"/>
        </w:rPr>
      </w:pPr>
      <w:r>
        <w:rPr>
          <w:rFonts w:hint="eastAsia"/>
          <w:sz w:val="24"/>
          <w:szCs w:val="22"/>
        </w:rPr>
        <w:lastRenderedPageBreak/>
        <w:t>（</w:t>
      </w:r>
      <w:r>
        <w:rPr>
          <w:rFonts w:hint="eastAsia"/>
          <w:sz w:val="24"/>
          <w:szCs w:val="22"/>
        </w:rPr>
        <w:t>1</w:t>
      </w:r>
      <w:r>
        <w:rPr>
          <w:rFonts w:hint="eastAsia"/>
          <w:sz w:val="24"/>
          <w:szCs w:val="22"/>
        </w:rPr>
        <w:t>）</w:t>
      </w:r>
      <w:r w:rsidRPr="00003058">
        <w:rPr>
          <w:rFonts w:hint="eastAsia"/>
          <w:sz w:val="24"/>
          <w:szCs w:val="22"/>
        </w:rPr>
        <w:t>假设本次向特定对象发行</w:t>
      </w:r>
      <w:r w:rsidR="003A35FD">
        <w:rPr>
          <w:rFonts w:hint="eastAsia"/>
          <w:sz w:val="24"/>
          <w:szCs w:val="22"/>
        </w:rPr>
        <w:t>A</w:t>
      </w:r>
      <w:r w:rsidR="003A35FD">
        <w:rPr>
          <w:rFonts w:hint="eastAsia"/>
          <w:sz w:val="24"/>
          <w:szCs w:val="22"/>
        </w:rPr>
        <w:t>股</w:t>
      </w:r>
      <w:r w:rsidRPr="00003058">
        <w:rPr>
          <w:rFonts w:hint="eastAsia"/>
          <w:sz w:val="24"/>
          <w:szCs w:val="22"/>
        </w:rPr>
        <w:t>股票于</w:t>
      </w:r>
      <w:r w:rsidRPr="00003058">
        <w:rPr>
          <w:rFonts w:hint="eastAsia"/>
          <w:sz w:val="24"/>
          <w:szCs w:val="22"/>
        </w:rPr>
        <w:t>2025</w:t>
      </w:r>
      <w:r w:rsidRPr="00003058">
        <w:rPr>
          <w:rFonts w:hint="eastAsia"/>
          <w:sz w:val="24"/>
          <w:szCs w:val="22"/>
        </w:rPr>
        <w:t>年</w:t>
      </w:r>
      <w:r w:rsidRPr="00003058">
        <w:rPr>
          <w:rFonts w:hint="eastAsia"/>
          <w:sz w:val="24"/>
          <w:szCs w:val="22"/>
        </w:rPr>
        <w:t>12</w:t>
      </w:r>
      <w:r w:rsidRPr="00003058">
        <w:rPr>
          <w:rFonts w:hint="eastAsia"/>
          <w:sz w:val="24"/>
          <w:szCs w:val="22"/>
        </w:rPr>
        <w:t>月底完成（该完成时间仅为假设用于测算相关数据，最终以经中国证监会同意注册后实际发行完成时间为准）；</w:t>
      </w:r>
    </w:p>
    <w:p w14:paraId="74E84070" w14:textId="3972796A"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w:t>
      </w:r>
      <w:r w:rsidRPr="00003058">
        <w:rPr>
          <w:rFonts w:hint="eastAsia"/>
          <w:sz w:val="24"/>
          <w:szCs w:val="22"/>
        </w:rPr>
        <w:t>假设宏观经济环境、证券市场情况没有发生重大不利变化，公司经营环境、行业政策、主要成本价格等未发生重大不利变化；</w:t>
      </w:r>
    </w:p>
    <w:p w14:paraId="0CFCED18" w14:textId="0728E8F6"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w:t>
      </w:r>
      <w:r w:rsidRPr="00003058">
        <w:rPr>
          <w:rFonts w:hint="eastAsia"/>
          <w:sz w:val="24"/>
          <w:szCs w:val="22"/>
        </w:rPr>
        <w:t>假设本次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003058">
        <w:rPr>
          <w:rFonts w:hint="eastAsia"/>
          <w:sz w:val="24"/>
          <w:szCs w:val="22"/>
        </w:rPr>
        <w:t>数量为</w:t>
      </w:r>
      <w:r w:rsidRPr="00003058">
        <w:rPr>
          <w:rFonts w:hint="eastAsia"/>
          <w:sz w:val="24"/>
          <w:szCs w:val="22"/>
        </w:rPr>
        <w:t>47,780,100</w:t>
      </w:r>
      <w:r w:rsidRPr="00003058">
        <w:rPr>
          <w:rFonts w:hint="eastAsia"/>
          <w:sz w:val="24"/>
          <w:szCs w:val="22"/>
        </w:rPr>
        <w:t>股（最终发行的股份数量以经中国证监会同意注册后发行的股份数量为准）。此假设仅用于测算本次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003058">
        <w:rPr>
          <w:rFonts w:hint="eastAsia"/>
          <w:sz w:val="24"/>
          <w:szCs w:val="22"/>
        </w:rPr>
        <w:t>对公司主要财务指标的影响，不代表公司对本次实际发行股份数的判断，最终应以实际发行股份数为准；</w:t>
      </w:r>
    </w:p>
    <w:p w14:paraId="5E20747A" w14:textId="26AE9435"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w:t>
      </w:r>
      <w:r w:rsidRPr="003B191D">
        <w:rPr>
          <w:rFonts w:hint="eastAsia"/>
          <w:sz w:val="24"/>
          <w:szCs w:val="22"/>
        </w:rPr>
        <w:t>不考虑发行费用，假设本次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3B191D">
        <w:rPr>
          <w:rFonts w:hint="eastAsia"/>
          <w:sz w:val="24"/>
          <w:szCs w:val="22"/>
        </w:rPr>
        <w:t>募集资金总额为人民币</w:t>
      </w:r>
      <w:r w:rsidR="00FE0D06">
        <w:rPr>
          <w:rFonts w:hint="eastAsia"/>
          <w:sz w:val="24"/>
          <w:szCs w:val="22"/>
        </w:rPr>
        <w:t>97,686.65</w:t>
      </w:r>
      <w:r w:rsidRPr="003B191D">
        <w:rPr>
          <w:rFonts w:hint="eastAsia"/>
          <w:sz w:val="24"/>
          <w:szCs w:val="22"/>
        </w:rPr>
        <w:t>万元；</w:t>
      </w:r>
      <w:r w:rsidRPr="00003058">
        <w:rPr>
          <w:rFonts w:hint="eastAsia"/>
          <w:sz w:val="24"/>
          <w:szCs w:val="22"/>
        </w:rPr>
        <w:t>在预测公司总股本时，以本次发行股数为基础，仅考虑本次发行股份的影响，不考虑转增、回购、股份支付及其他因素导致股本发生的变化；</w:t>
      </w:r>
    </w:p>
    <w:p w14:paraId="1E216675" w14:textId="0B022FDF"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5</w:t>
      </w:r>
      <w:r>
        <w:rPr>
          <w:rFonts w:hint="eastAsia"/>
          <w:sz w:val="24"/>
          <w:szCs w:val="22"/>
        </w:rPr>
        <w:t>）</w:t>
      </w:r>
      <w:r w:rsidRPr="00003058">
        <w:rPr>
          <w:rFonts w:hint="eastAsia"/>
          <w:sz w:val="24"/>
          <w:szCs w:val="22"/>
        </w:rPr>
        <w:t>根据公司已披露的《福建广生堂药业股份有限公司</w:t>
      </w:r>
      <w:r w:rsidRPr="00003058">
        <w:rPr>
          <w:rFonts w:hint="eastAsia"/>
          <w:sz w:val="24"/>
          <w:szCs w:val="22"/>
        </w:rPr>
        <w:t>2024</w:t>
      </w:r>
      <w:r w:rsidRPr="00003058">
        <w:rPr>
          <w:rFonts w:hint="eastAsia"/>
          <w:sz w:val="24"/>
          <w:szCs w:val="22"/>
        </w:rPr>
        <w:t>年度业绩预告》，公司</w:t>
      </w:r>
      <w:r w:rsidRPr="00003058">
        <w:rPr>
          <w:rFonts w:hint="eastAsia"/>
          <w:sz w:val="24"/>
          <w:szCs w:val="22"/>
        </w:rPr>
        <w:t>2024</w:t>
      </w:r>
      <w:r w:rsidRPr="00003058">
        <w:rPr>
          <w:rFonts w:hint="eastAsia"/>
          <w:sz w:val="24"/>
          <w:szCs w:val="22"/>
        </w:rPr>
        <w:t>年预计归属于上市公司股东的净利润为</w:t>
      </w:r>
      <w:r w:rsidRPr="00003058">
        <w:rPr>
          <w:rFonts w:hint="eastAsia"/>
          <w:sz w:val="24"/>
          <w:szCs w:val="22"/>
        </w:rPr>
        <w:t>-16,300</w:t>
      </w:r>
      <w:r w:rsidRPr="00003058">
        <w:rPr>
          <w:rFonts w:hint="eastAsia"/>
          <w:sz w:val="24"/>
          <w:szCs w:val="22"/>
        </w:rPr>
        <w:t>万元至</w:t>
      </w:r>
      <w:r w:rsidRPr="00003058">
        <w:rPr>
          <w:rFonts w:hint="eastAsia"/>
          <w:sz w:val="24"/>
          <w:szCs w:val="22"/>
        </w:rPr>
        <w:t>-12,500</w:t>
      </w:r>
      <w:r w:rsidRPr="00003058">
        <w:rPr>
          <w:rFonts w:hint="eastAsia"/>
          <w:sz w:val="24"/>
          <w:szCs w:val="22"/>
        </w:rPr>
        <w:t>万元，扣除非经常性损益后的净利润为</w:t>
      </w:r>
      <w:r w:rsidRPr="00003058">
        <w:rPr>
          <w:rFonts w:hint="eastAsia"/>
          <w:sz w:val="24"/>
          <w:szCs w:val="22"/>
        </w:rPr>
        <w:t>-19,500</w:t>
      </w:r>
      <w:r w:rsidRPr="00003058">
        <w:rPr>
          <w:rFonts w:hint="eastAsia"/>
          <w:sz w:val="24"/>
          <w:szCs w:val="22"/>
        </w:rPr>
        <w:t>万元至</w:t>
      </w:r>
      <w:r w:rsidRPr="00003058">
        <w:rPr>
          <w:rFonts w:hint="eastAsia"/>
          <w:sz w:val="24"/>
          <w:szCs w:val="22"/>
        </w:rPr>
        <w:t>-15,700</w:t>
      </w:r>
      <w:r w:rsidRPr="00003058">
        <w:rPr>
          <w:rFonts w:hint="eastAsia"/>
          <w:sz w:val="24"/>
          <w:szCs w:val="22"/>
        </w:rPr>
        <w:t>万元，按平均值计算，假设公司</w:t>
      </w:r>
      <w:r w:rsidRPr="00003058">
        <w:rPr>
          <w:rFonts w:hint="eastAsia"/>
          <w:sz w:val="24"/>
          <w:szCs w:val="22"/>
        </w:rPr>
        <w:t>2024</w:t>
      </w:r>
      <w:r w:rsidRPr="00003058">
        <w:rPr>
          <w:rFonts w:hint="eastAsia"/>
          <w:sz w:val="24"/>
          <w:szCs w:val="22"/>
        </w:rPr>
        <w:t>年归属于母公司股东的净利润、扣除非经常性损益后归属于母公司的净利润分别为</w:t>
      </w:r>
      <w:r w:rsidRPr="00003058">
        <w:rPr>
          <w:rFonts w:hint="eastAsia"/>
          <w:sz w:val="24"/>
          <w:szCs w:val="22"/>
        </w:rPr>
        <w:t>-14,400.00</w:t>
      </w:r>
      <w:r w:rsidRPr="00003058">
        <w:rPr>
          <w:rFonts w:hint="eastAsia"/>
          <w:sz w:val="24"/>
          <w:szCs w:val="22"/>
        </w:rPr>
        <w:t>万元、</w:t>
      </w:r>
      <w:r w:rsidRPr="00003058">
        <w:rPr>
          <w:rFonts w:hint="eastAsia"/>
          <w:sz w:val="24"/>
          <w:szCs w:val="22"/>
        </w:rPr>
        <w:t>-17,600.00</w:t>
      </w:r>
      <w:r w:rsidRPr="00003058">
        <w:rPr>
          <w:rFonts w:hint="eastAsia"/>
          <w:sz w:val="24"/>
          <w:szCs w:val="22"/>
        </w:rPr>
        <w:t>万元；</w:t>
      </w:r>
    </w:p>
    <w:p w14:paraId="02644CD5" w14:textId="3CFA9A7C"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6</w:t>
      </w:r>
      <w:r>
        <w:rPr>
          <w:rFonts w:hint="eastAsia"/>
          <w:sz w:val="24"/>
          <w:szCs w:val="22"/>
        </w:rPr>
        <w:t>）</w:t>
      </w:r>
      <w:r w:rsidRPr="00003058">
        <w:rPr>
          <w:rFonts w:hint="eastAsia"/>
          <w:sz w:val="24"/>
          <w:szCs w:val="22"/>
        </w:rPr>
        <w:t>假设公司</w:t>
      </w:r>
      <w:r w:rsidRPr="00003058">
        <w:rPr>
          <w:rFonts w:hint="eastAsia"/>
          <w:sz w:val="24"/>
          <w:szCs w:val="22"/>
        </w:rPr>
        <w:t>2025</w:t>
      </w:r>
      <w:r w:rsidRPr="00003058">
        <w:rPr>
          <w:rFonts w:hint="eastAsia"/>
          <w:sz w:val="24"/>
          <w:szCs w:val="22"/>
        </w:rPr>
        <w:t>年归属于母公司股东的净利润及扣除非经常性损益后归属于母公司股东的净利润分别按以下三种情况进行测算：</w:t>
      </w:r>
      <w:r w:rsidRPr="00003058">
        <w:rPr>
          <w:rFonts w:hint="eastAsia"/>
          <w:sz w:val="24"/>
          <w:szCs w:val="22"/>
        </w:rPr>
        <w:t>1</w:t>
      </w:r>
      <w:r w:rsidRPr="00003058">
        <w:rPr>
          <w:rFonts w:hint="eastAsia"/>
          <w:sz w:val="24"/>
          <w:szCs w:val="22"/>
        </w:rPr>
        <w:t>）与</w:t>
      </w:r>
      <w:r w:rsidRPr="00003058">
        <w:rPr>
          <w:rFonts w:hint="eastAsia"/>
          <w:sz w:val="24"/>
          <w:szCs w:val="22"/>
        </w:rPr>
        <w:t>2024</w:t>
      </w:r>
      <w:r w:rsidRPr="00003058">
        <w:rPr>
          <w:rFonts w:hint="eastAsia"/>
          <w:sz w:val="24"/>
          <w:szCs w:val="22"/>
        </w:rPr>
        <w:t>年财务数据相比增亏</w:t>
      </w:r>
      <w:r w:rsidRPr="00003058">
        <w:rPr>
          <w:rFonts w:hint="eastAsia"/>
          <w:sz w:val="24"/>
          <w:szCs w:val="22"/>
        </w:rPr>
        <w:t>50%</w:t>
      </w:r>
      <w:r w:rsidRPr="00003058">
        <w:rPr>
          <w:rFonts w:hint="eastAsia"/>
          <w:sz w:val="24"/>
          <w:szCs w:val="22"/>
        </w:rPr>
        <w:t>；</w:t>
      </w:r>
      <w:r w:rsidRPr="00003058">
        <w:rPr>
          <w:rFonts w:hint="eastAsia"/>
          <w:sz w:val="24"/>
          <w:szCs w:val="22"/>
        </w:rPr>
        <w:t>2</w:t>
      </w:r>
      <w:r w:rsidRPr="00003058">
        <w:rPr>
          <w:rFonts w:hint="eastAsia"/>
          <w:sz w:val="24"/>
          <w:szCs w:val="22"/>
        </w:rPr>
        <w:t>）与</w:t>
      </w:r>
      <w:r w:rsidRPr="00003058">
        <w:rPr>
          <w:rFonts w:hint="eastAsia"/>
          <w:sz w:val="24"/>
          <w:szCs w:val="22"/>
        </w:rPr>
        <w:t>2024</w:t>
      </w:r>
      <w:r w:rsidRPr="00003058">
        <w:rPr>
          <w:rFonts w:hint="eastAsia"/>
          <w:sz w:val="24"/>
          <w:szCs w:val="22"/>
        </w:rPr>
        <w:t>年财务数据持平；</w:t>
      </w:r>
      <w:r w:rsidRPr="00003058">
        <w:rPr>
          <w:rFonts w:hint="eastAsia"/>
          <w:sz w:val="24"/>
          <w:szCs w:val="22"/>
        </w:rPr>
        <w:t>3</w:t>
      </w:r>
      <w:r w:rsidRPr="00003058">
        <w:rPr>
          <w:rFonts w:hint="eastAsia"/>
          <w:sz w:val="24"/>
          <w:szCs w:val="22"/>
        </w:rPr>
        <w:t>）与</w:t>
      </w:r>
      <w:r w:rsidRPr="00003058">
        <w:rPr>
          <w:rFonts w:hint="eastAsia"/>
          <w:sz w:val="24"/>
          <w:szCs w:val="22"/>
        </w:rPr>
        <w:t>2024</w:t>
      </w:r>
      <w:r w:rsidRPr="00003058">
        <w:rPr>
          <w:rFonts w:hint="eastAsia"/>
          <w:sz w:val="24"/>
          <w:szCs w:val="22"/>
        </w:rPr>
        <w:t>年财务数据相比减亏</w:t>
      </w:r>
      <w:r w:rsidRPr="00003058">
        <w:rPr>
          <w:rFonts w:hint="eastAsia"/>
          <w:sz w:val="24"/>
          <w:szCs w:val="22"/>
        </w:rPr>
        <w:t>50%</w:t>
      </w:r>
      <w:r w:rsidRPr="00003058">
        <w:rPr>
          <w:rFonts w:hint="eastAsia"/>
          <w:sz w:val="24"/>
          <w:szCs w:val="22"/>
        </w:rPr>
        <w:t>；</w:t>
      </w:r>
    </w:p>
    <w:p w14:paraId="5CE42EF1" w14:textId="01850A82" w:rsidR="00003058" w:rsidRPr="00003058"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7</w:t>
      </w:r>
      <w:r>
        <w:rPr>
          <w:rFonts w:hint="eastAsia"/>
          <w:sz w:val="24"/>
          <w:szCs w:val="22"/>
        </w:rPr>
        <w:t>）</w:t>
      </w:r>
      <w:r w:rsidRPr="00003058">
        <w:rPr>
          <w:rFonts w:hint="eastAsia"/>
          <w:sz w:val="24"/>
          <w:szCs w:val="22"/>
        </w:rPr>
        <w:t>测算时未考虑募集资金到账后，对公司生产经营、财务状况（如财务费用、投资收益）等的影响；</w:t>
      </w:r>
    </w:p>
    <w:p w14:paraId="64A8A71C" w14:textId="421446B8" w:rsidR="004C71D1" w:rsidRDefault="00003058" w:rsidP="00003058">
      <w:pPr>
        <w:spacing w:beforeLines="50" w:before="156" w:line="360" w:lineRule="auto"/>
        <w:ind w:firstLineChars="200" w:firstLine="480"/>
        <w:rPr>
          <w:sz w:val="24"/>
          <w:szCs w:val="22"/>
        </w:rPr>
      </w:pPr>
      <w:r>
        <w:rPr>
          <w:rFonts w:hint="eastAsia"/>
          <w:sz w:val="24"/>
          <w:szCs w:val="22"/>
        </w:rPr>
        <w:t>（</w:t>
      </w:r>
      <w:r>
        <w:rPr>
          <w:rFonts w:hint="eastAsia"/>
          <w:sz w:val="24"/>
          <w:szCs w:val="22"/>
        </w:rPr>
        <w:t>8</w:t>
      </w:r>
      <w:r>
        <w:rPr>
          <w:rFonts w:hint="eastAsia"/>
          <w:sz w:val="24"/>
          <w:szCs w:val="22"/>
        </w:rPr>
        <w:t>）</w:t>
      </w:r>
      <w:r w:rsidRPr="00003058">
        <w:rPr>
          <w:rFonts w:hint="eastAsia"/>
          <w:sz w:val="24"/>
          <w:szCs w:val="22"/>
        </w:rPr>
        <w:t>上述假设仅为测试本次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003058">
        <w:rPr>
          <w:rFonts w:hint="eastAsia"/>
          <w:sz w:val="24"/>
          <w:szCs w:val="22"/>
        </w:rPr>
        <w:t>摊薄即期回报对公司主要财务指标的影响，不代表公司对</w:t>
      </w:r>
      <w:r w:rsidRPr="00003058">
        <w:rPr>
          <w:rFonts w:hint="eastAsia"/>
          <w:sz w:val="24"/>
          <w:szCs w:val="22"/>
        </w:rPr>
        <w:t>2025</w:t>
      </w:r>
      <w:r w:rsidRPr="00003058">
        <w:rPr>
          <w:rFonts w:hint="eastAsia"/>
          <w:sz w:val="24"/>
          <w:szCs w:val="22"/>
        </w:rPr>
        <w:t>年度的经营情况及趋势的判断，亦不构成盈利预测，投资者不应据此进行投资决策。</w:t>
      </w:r>
    </w:p>
    <w:p w14:paraId="351FD2CF" w14:textId="77777777" w:rsidR="004C71D1" w:rsidRDefault="00966BCB">
      <w:pPr>
        <w:spacing w:beforeLines="50" w:before="156" w:line="360" w:lineRule="auto"/>
        <w:ind w:firstLineChars="200" w:firstLine="482"/>
        <w:rPr>
          <w:b/>
          <w:sz w:val="24"/>
          <w:szCs w:val="22"/>
        </w:rPr>
      </w:pPr>
      <w:r>
        <w:rPr>
          <w:rFonts w:hint="eastAsia"/>
          <w:b/>
          <w:sz w:val="24"/>
          <w:szCs w:val="22"/>
        </w:rPr>
        <w:lastRenderedPageBreak/>
        <w:t>2</w:t>
      </w:r>
      <w:r>
        <w:rPr>
          <w:rFonts w:hint="eastAsia"/>
          <w:b/>
          <w:sz w:val="24"/>
          <w:szCs w:val="22"/>
        </w:rPr>
        <w:t>、本次发行摊薄即期回报对主要财务指标的影响分析</w:t>
      </w:r>
    </w:p>
    <w:p w14:paraId="20E72FC9" w14:textId="1EE9D344" w:rsidR="004C71D1" w:rsidRDefault="00966BCB">
      <w:pPr>
        <w:spacing w:beforeLines="50" w:before="156" w:line="360" w:lineRule="auto"/>
        <w:ind w:firstLineChars="200" w:firstLine="480"/>
        <w:rPr>
          <w:sz w:val="24"/>
          <w:szCs w:val="22"/>
        </w:rPr>
      </w:pPr>
      <w:r>
        <w:rPr>
          <w:rFonts w:hint="eastAsia"/>
          <w:sz w:val="24"/>
          <w:szCs w:val="22"/>
        </w:rPr>
        <w:t>基于上述情况及假设，公司测算了本次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Pr>
          <w:rFonts w:hint="eastAsia"/>
          <w:sz w:val="24"/>
          <w:szCs w:val="22"/>
        </w:rPr>
        <w:t>摊薄即期回报对公司主要财务指标的影响，具体分析如下：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44"/>
        <w:gridCol w:w="1926"/>
        <w:gridCol w:w="1577"/>
        <w:gridCol w:w="1575"/>
      </w:tblGrid>
      <w:tr w:rsidR="00335151" w:rsidRPr="00335151" w14:paraId="7BA8F8A9" w14:textId="77777777" w:rsidTr="00906740">
        <w:trPr>
          <w:trHeight w:val="468"/>
          <w:tblHeader/>
          <w:jc w:val="center"/>
        </w:trPr>
        <w:tc>
          <w:tcPr>
            <w:tcW w:w="2021" w:type="pct"/>
            <w:vMerge w:val="restart"/>
            <w:noWrap/>
            <w:vAlign w:val="center"/>
          </w:tcPr>
          <w:p w14:paraId="6CFDA68B" w14:textId="77777777" w:rsidR="00335151" w:rsidRPr="00335151" w:rsidRDefault="00335151" w:rsidP="00335151">
            <w:pPr>
              <w:widowControl/>
              <w:adjustRightInd w:val="0"/>
              <w:snapToGrid w:val="0"/>
              <w:contextualSpacing/>
              <w:jc w:val="center"/>
              <w:rPr>
                <w:b/>
                <w:bCs/>
                <w:color w:val="000000"/>
                <w:kern w:val="0"/>
                <w:sz w:val="22"/>
                <w:szCs w:val="22"/>
              </w:rPr>
            </w:pPr>
            <w:r w:rsidRPr="00335151">
              <w:rPr>
                <w:b/>
                <w:bCs/>
                <w:color w:val="000000"/>
                <w:kern w:val="0"/>
                <w:sz w:val="22"/>
                <w:szCs w:val="22"/>
              </w:rPr>
              <w:t>项目</w:t>
            </w:r>
          </w:p>
        </w:tc>
        <w:tc>
          <w:tcPr>
            <w:tcW w:w="1130" w:type="pct"/>
            <w:vMerge w:val="restart"/>
            <w:vAlign w:val="center"/>
          </w:tcPr>
          <w:p w14:paraId="59EB0447" w14:textId="77777777" w:rsidR="00335151" w:rsidRPr="00335151" w:rsidRDefault="00335151" w:rsidP="00335151">
            <w:pPr>
              <w:widowControl/>
              <w:adjustRightInd w:val="0"/>
              <w:snapToGrid w:val="0"/>
              <w:contextualSpacing/>
              <w:jc w:val="center"/>
              <w:rPr>
                <w:b/>
                <w:bCs/>
                <w:color w:val="000000"/>
                <w:kern w:val="0"/>
                <w:szCs w:val="21"/>
              </w:rPr>
            </w:pPr>
            <w:r w:rsidRPr="00335151">
              <w:rPr>
                <w:b/>
                <w:bCs/>
                <w:color w:val="000000"/>
                <w:kern w:val="0"/>
                <w:szCs w:val="21"/>
              </w:rPr>
              <w:t>202</w:t>
            </w:r>
            <w:r w:rsidRPr="00335151">
              <w:rPr>
                <w:rFonts w:hint="eastAsia"/>
                <w:b/>
                <w:bCs/>
                <w:color w:val="000000"/>
                <w:kern w:val="0"/>
                <w:szCs w:val="21"/>
              </w:rPr>
              <w:t>4</w:t>
            </w:r>
            <w:r w:rsidRPr="00335151">
              <w:rPr>
                <w:b/>
                <w:bCs/>
                <w:color w:val="000000"/>
                <w:kern w:val="0"/>
                <w:szCs w:val="21"/>
              </w:rPr>
              <w:t>年度</w:t>
            </w:r>
            <w:r w:rsidRPr="00335151">
              <w:rPr>
                <w:b/>
                <w:bCs/>
                <w:color w:val="000000"/>
                <w:kern w:val="0"/>
                <w:szCs w:val="21"/>
              </w:rPr>
              <w:t>/</w:t>
            </w:r>
          </w:p>
          <w:p w14:paraId="280FF348" w14:textId="77777777" w:rsidR="00335151" w:rsidRPr="00335151" w:rsidRDefault="00335151" w:rsidP="00335151">
            <w:pPr>
              <w:widowControl/>
              <w:adjustRightInd w:val="0"/>
              <w:snapToGrid w:val="0"/>
              <w:contextualSpacing/>
              <w:jc w:val="center"/>
              <w:rPr>
                <w:b/>
                <w:bCs/>
                <w:color w:val="000000"/>
                <w:kern w:val="0"/>
                <w:szCs w:val="21"/>
              </w:rPr>
            </w:pPr>
            <w:r w:rsidRPr="00335151">
              <w:rPr>
                <w:b/>
                <w:bCs/>
                <w:color w:val="000000"/>
                <w:kern w:val="0"/>
                <w:szCs w:val="21"/>
              </w:rPr>
              <w:t>202</w:t>
            </w:r>
            <w:r w:rsidRPr="00335151">
              <w:rPr>
                <w:rFonts w:hint="eastAsia"/>
                <w:b/>
                <w:bCs/>
                <w:color w:val="000000"/>
                <w:kern w:val="0"/>
                <w:szCs w:val="21"/>
              </w:rPr>
              <w:t>4</w:t>
            </w:r>
            <w:r w:rsidRPr="00335151">
              <w:rPr>
                <w:b/>
                <w:bCs/>
                <w:color w:val="000000"/>
                <w:kern w:val="0"/>
                <w:szCs w:val="21"/>
              </w:rPr>
              <w:t>年</w:t>
            </w:r>
            <w:r w:rsidRPr="00335151">
              <w:rPr>
                <w:b/>
                <w:bCs/>
                <w:color w:val="000000"/>
                <w:kern w:val="0"/>
                <w:szCs w:val="21"/>
              </w:rPr>
              <w:t>12</w:t>
            </w:r>
            <w:r w:rsidRPr="00335151">
              <w:rPr>
                <w:b/>
                <w:bCs/>
                <w:color w:val="000000"/>
                <w:kern w:val="0"/>
                <w:szCs w:val="21"/>
              </w:rPr>
              <w:t>月</w:t>
            </w:r>
            <w:r w:rsidRPr="00335151">
              <w:rPr>
                <w:b/>
                <w:bCs/>
                <w:color w:val="000000"/>
                <w:kern w:val="0"/>
                <w:szCs w:val="21"/>
              </w:rPr>
              <w:t>31</w:t>
            </w:r>
            <w:r w:rsidRPr="00335151">
              <w:rPr>
                <w:b/>
                <w:bCs/>
                <w:color w:val="000000"/>
                <w:kern w:val="0"/>
                <w:szCs w:val="21"/>
              </w:rPr>
              <w:t>日</w:t>
            </w:r>
          </w:p>
        </w:tc>
        <w:tc>
          <w:tcPr>
            <w:tcW w:w="1849" w:type="pct"/>
            <w:gridSpan w:val="2"/>
            <w:vAlign w:val="center"/>
          </w:tcPr>
          <w:p w14:paraId="06F4E2AF" w14:textId="77777777" w:rsidR="00335151" w:rsidRPr="00335151" w:rsidRDefault="00335151" w:rsidP="00335151">
            <w:pPr>
              <w:widowControl/>
              <w:adjustRightInd w:val="0"/>
              <w:snapToGrid w:val="0"/>
              <w:contextualSpacing/>
              <w:jc w:val="center"/>
              <w:rPr>
                <w:b/>
                <w:bCs/>
                <w:color w:val="000000"/>
                <w:kern w:val="0"/>
                <w:szCs w:val="21"/>
              </w:rPr>
            </w:pPr>
            <w:r w:rsidRPr="00335151">
              <w:rPr>
                <w:b/>
                <w:bCs/>
                <w:color w:val="000000"/>
                <w:kern w:val="0"/>
                <w:szCs w:val="21"/>
              </w:rPr>
              <w:t>202</w:t>
            </w:r>
            <w:r w:rsidRPr="00335151">
              <w:rPr>
                <w:rFonts w:hint="eastAsia"/>
                <w:b/>
                <w:bCs/>
                <w:color w:val="000000"/>
                <w:kern w:val="0"/>
                <w:szCs w:val="21"/>
              </w:rPr>
              <w:t>5</w:t>
            </w:r>
            <w:r w:rsidRPr="00335151">
              <w:rPr>
                <w:b/>
                <w:bCs/>
                <w:color w:val="000000"/>
                <w:kern w:val="0"/>
                <w:szCs w:val="21"/>
              </w:rPr>
              <w:t>年度</w:t>
            </w:r>
            <w:r w:rsidRPr="00335151">
              <w:rPr>
                <w:b/>
                <w:bCs/>
                <w:color w:val="000000"/>
                <w:kern w:val="0"/>
                <w:szCs w:val="21"/>
              </w:rPr>
              <w:t>/202</w:t>
            </w:r>
            <w:r w:rsidRPr="00335151">
              <w:rPr>
                <w:rFonts w:hint="eastAsia"/>
                <w:b/>
                <w:bCs/>
                <w:color w:val="000000"/>
                <w:kern w:val="0"/>
                <w:szCs w:val="21"/>
              </w:rPr>
              <w:t>5</w:t>
            </w:r>
            <w:r w:rsidRPr="00335151">
              <w:rPr>
                <w:b/>
                <w:bCs/>
                <w:color w:val="000000"/>
                <w:kern w:val="0"/>
                <w:szCs w:val="21"/>
              </w:rPr>
              <w:t>年</w:t>
            </w:r>
            <w:r w:rsidRPr="00335151">
              <w:rPr>
                <w:b/>
                <w:bCs/>
                <w:color w:val="000000"/>
                <w:kern w:val="0"/>
                <w:szCs w:val="21"/>
              </w:rPr>
              <w:t>12</w:t>
            </w:r>
            <w:r w:rsidRPr="00335151">
              <w:rPr>
                <w:b/>
                <w:bCs/>
                <w:color w:val="000000"/>
                <w:kern w:val="0"/>
                <w:szCs w:val="21"/>
              </w:rPr>
              <w:t>月</w:t>
            </w:r>
            <w:r w:rsidRPr="00335151">
              <w:rPr>
                <w:b/>
                <w:bCs/>
                <w:color w:val="000000"/>
                <w:kern w:val="0"/>
                <w:szCs w:val="21"/>
              </w:rPr>
              <w:t>31</w:t>
            </w:r>
            <w:r w:rsidRPr="00335151">
              <w:rPr>
                <w:b/>
                <w:bCs/>
                <w:color w:val="000000"/>
                <w:kern w:val="0"/>
                <w:szCs w:val="21"/>
              </w:rPr>
              <w:t>日</w:t>
            </w:r>
          </w:p>
        </w:tc>
      </w:tr>
      <w:tr w:rsidR="00335151" w:rsidRPr="00335151" w14:paraId="4BC17A69" w14:textId="77777777" w:rsidTr="00906740">
        <w:trPr>
          <w:trHeight w:val="576"/>
          <w:tblHeader/>
          <w:jc w:val="center"/>
        </w:trPr>
        <w:tc>
          <w:tcPr>
            <w:tcW w:w="2021" w:type="pct"/>
            <w:vMerge/>
            <w:vAlign w:val="center"/>
          </w:tcPr>
          <w:p w14:paraId="1C58683A" w14:textId="77777777" w:rsidR="00335151" w:rsidRPr="00335151" w:rsidRDefault="00335151" w:rsidP="00335151">
            <w:pPr>
              <w:widowControl/>
              <w:adjustRightInd w:val="0"/>
              <w:snapToGrid w:val="0"/>
              <w:contextualSpacing/>
              <w:jc w:val="left"/>
              <w:rPr>
                <w:b/>
                <w:bCs/>
                <w:color w:val="000000"/>
                <w:kern w:val="0"/>
                <w:sz w:val="22"/>
                <w:szCs w:val="22"/>
              </w:rPr>
            </w:pPr>
          </w:p>
        </w:tc>
        <w:tc>
          <w:tcPr>
            <w:tcW w:w="1130" w:type="pct"/>
            <w:vMerge/>
            <w:vAlign w:val="center"/>
          </w:tcPr>
          <w:p w14:paraId="06A3443A" w14:textId="77777777" w:rsidR="00335151" w:rsidRPr="00335151" w:rsidRDefault="00335151" w:rsidP="00335151">
            <w:pPr>
              <w:widowControl/>
              <w:adjustRightInd w:val="0"/>
              <w:snapToGrid w:val="0"/>
              <w:contextualSpacing/>
              <w:jc w:val="center"/>
              <w:rPr>
                <w:b/>
                <w:bCs/>
                <w:color w:val="000000"/>
                <w:kern w:val="0"/>
                <w:szCs w:val="21"/>
              </w:rPr>
            </w:pPr>
          </w:p>
        </w:tc>
        <w:tc>
          <w:tcPr>
            <w:tcW w:w="925" w:type="pct"/>
            <w:vAlign w:val="center"/>
          </w:tcPr>
          <w:p w14:paraId="407D1FAA" w14:textId="77777777" w:rsidR="00335151" w:rsidRPr="00335151" w:rsidRDefault="00335151" w:rsidP="00335151">
            <w:pPr>
              <w:widowControl/>
              <w:adjustRightInd w:val="0"/>
              <w:snapToGrid w:val="0"/>
              <w:contextualSpacing/>
              <w:jc w:val="center"/>
              <w:rPr>
                <w:b/>
                <w:bCs/>
                <w:color w:val="000000"/>
                <w:kern w:val="0"/>
                <w:szCs w:val="21"/>
              </w:rPr>
            </w:pPr>
            <w:r w:rsidRPr="00335151">
              <w:rPr>
                <w:rFonts w:hint="eastAsia"/>
                <w:b/>
                <w:bCs/>
                <w:color w:val="000000"/>
                <w:kern w:val="0"/>
                <w:szCs w:val="21"/>
              </w:rPr>
              <w:t>本次发行前</w:t>
            </w:r>
          </w:p>
        </w:tc>
        <w:tc>
          <w:tcPr>
            <w:tcW w:w="924" w:type="pct"/>
            <w:vAlign w:val="center"/>
          </w:tcPr>
          <w:p w14:paraId="1B34983F" w14:textId="77777777" w:rsidR="00335151" w:rsidRPr="00335151" w:rsidRDefault="00335151" w:rsidP="00335151">
            <w:pPr>
              <w:widowControl/>
              <w:adjustRightInd w:val="0"/>
              <w:snapToGrid w:val="0"/>
              <w:contextualSpacing/>
              <w:jc w:val="center"/>
              <w:rPr>
                <w:b/>
                <w:bCs/>
                <w:color w:val="000000"/>
                <w:kern w:val="0"/>
                <w:szCs w:val="21"/>
              </w:rPr>
            </w:pPr>
            <w:r w:rsidRPr="00335151">
              <w:rPr>
                <w:rFonts w:hint="eastAsia"/>
                <w:b/>
                <w:bCs/>
                <w:color w:val="000000"/>
                <w:kern w:val="0"/>
                <w:szCs w:val="21"/>
              </w:rPr>
              <w:t>本次发行后</w:t>
            </w:r>
          </w:p>
        </w:tc>
      </w:tr>
      <w:tr w:rsidR="00335151" w:rsidRPr="00335151" w14:paraId="4B979096" w14:textId="77777777" w:rsidTr="00906740">
        <w:trPr>
          <w:trHeight w:val="480"/>
          <w:jc w:val="center"/>
        </w:trPr>
        <w:tc>
          <w:tcPr>
            <w:tcW w:w="2021" w:type="pct"/>
            <w:vAlign w:val="center"/>
          </w:tcPr>
          <w:p w14:paraId="5881D999" w14:textId="77777777" w:rsidR="00335151" w:rsidRPr="00335151" w:rsidRDefault="00335151" w:rsidP="00335151">
            <w:pPr>
              <w:widowControl/>
              <w:adjustRightInd w:val="0"/>
              <w:snapToGrid w:val="0"/>
              <w:contextualSpacing/>
              <w:jc w:val="left"/>
              <w:rPr>
                <w:color w:val="000000"/>
                <w:kern w:val="0"/>
                <w:sz w:val="22"/>
                <w:szCs w:val="22"/>
              </w:rPr>
            </w:pPr>
            <w:r w:rsidRPr="00335151">
              <w:rPr>
                <w:rFonts w:hint="eastAsia"/>
                <w:color w:val="000000"/>
                <w:kern w:val="0"/>
                <w:sz w:val="22"/>
                <w:szCs w:val="22"/>
              </w:rPr>
              <w:t>期末</w:t>
            </w:r>
            <w:r w:rsidRPr="00335151">
              <w:rPr>
                <w:color w:val="000000"/>
                <w:kern w:val="0"/>
                <w:sz w:val="22"/>
                <w:szCs w:val="22"/>
              </w:rPr>
              <w:t>总股本（万股）</w:t>
            </w:r>
          </w:p>
        </w:tc>
        <w:tc>
          <w:tcPr>
            <w:tcW w:w="1130" w:type="pct"/>
            <w:noWrap/>
            <w:vAlign w:val="center"/>
          </w:tcPr>
          <w:p w14:paraId="0885990E" w14:textId="77777777" w:rsidR="00335151" w:rsidRPr="00335151" w:rsidRDefault="00335151" w:rsidP="00335151">
            <w:pPr>
              <w:widowControl/>
              <w:adjustRightInd w:val="0"/>
              <w:snapToGrid w:val="0"/>
              <w:contextualSpacing/>
              <w:jc w:val="right"/>
              <w:rPr>
                <w:color w:val="000000"/>
                <w:kern w:val="0"/>
                <w:szCs w:val="21"/>
              </w:rPr>
            </w:pPr>
            <w:r w:rsidRPr="00335151">
              <w:rPr>
                <w:rFonts w:hint="eastAsia"/>
                <w:color w:val="000000"/>
                <w:kern w:val="0"/>
                <w:szCs w:val="21"/>
              </w:rPr>
              <w:t>15,926.70</w:t>
            </w:r>
          </w:p>
        </w:tc>
        <w:tc>
          <w:tcPr>
            <w:tcW w:w="925" w:type="pct"/>
            <w:noWrap/>
            <w:vAlign w:val="center"/>
          </w:tcPr>
          <w:p w14:paraId="084D52BB" w14:textId="77777777" w:rsidR="00335151" w:rsidRPr="00335151" w:rsidRDefault="00335151" w:rsidP="00335151">
            <w:pPr>
              <w:widowControl/>
              <w:adjustRightInd w:val="0"/>
              <w:snapToGrid w:val="0"/>
              <w:contextualSpacing/>
              <w:jc w:val="right"/>
              <w:rPr>
                <w:color w:val="000000"/>
                <w:kern w:val="0"/>
                <w:szCs w:val="21"/>
              </w:rPr>
            </w:pPr>
            <w:r w:rsidRPr="00335151">
              <w:rPr>
                <w:rFonts w:hint="eastAsia"/>
                <w:color w:val="000000"/>
                <w:kern w:val="0"/>
                <w:szCs w:val="21"/>
              </w:rPr>
              <w:t>15,926.70</w:t>
            </w:r>
          </w:p>
        </w:tc>
        <w:tc>
          <w:tcPr>
            <w:tcW w:w="924" w:type="pct"/>
            <w:noWrap/>
            <w:vAlign w:val="center"/>
          </w:tcPr>
          <w:p w14:paraId="196B7C98" w14:textId="77777777" w:rsidR="00335151" w:rsidRPr="00335151" w:rsidRDefault="00335151" w:rsidP="00335151">
            <w:pPr>
              <w:widowControl/>
              <w:adjustRightInd w:val="0"/>
              <w:snapToGrid w:val="0"/>
              <w:contextualSpacing/>
              <w:jc w:val="right"/>
              <w:rPr>
                <w:color w:val="000000"/>
                <w:kern w:val="0"/>
                <w:szCs w:val="21"/>
              </w:rPr>
            </w:pPr>
            <w:r w:rsidRPr="00335151">
              <w:rPr>
                <w:color w:val="000000"/>
                <w:kern w:val="0"/>
                <w:szCs w:val="21"/>
              </w:rPr>
              <w:t>20,704.71</w:t>
            </w:r>
          </w:p>
        </w:tc>
      </w:tr>
      <w:tr w:rsidR="00335151" w:rsidRPr="00335151" w14:paraId="635B5233" w14:textId="77777777" w:rsidTr="00906740">
        <w:trPr>
          <w:trHeight w:val="576"/>
          <w:jc w:val="center"/>
        </w:trPr>
        <w:tc>
          <w:tcPr>
            <w:tcW w:w="5000" w:type="pct"/>
            <w:gridSpan w:val="4"/>
            <w:vAlign w:val="center"/>
          </w:tcPr>
          <w:p w14:paraId="10929B45" w14:textId="77777777" w:rsidR="00335151" w:rsidRPr="00335151" w:rsidRDefault="00335151" w:rsidP="00335151">
            <w:pPr>
              <w:widowControl/>
              <w:adjustRightInd w:val="0"/>
              <w:snapToGrid w:val="0"/>
              <w:contextualSpacing/>
              <w:rPr>
                <w:b/>
                <w:bCs/>
                <w:color w:val="000000"/>
                <w:kern w:val="0"/>
                <w:sz w:val="22"/>
                <w:szCs w:val="22"/>
              </w:rPr>
            </w:pPr>
            <w:r w:rsidRPr="00335151">
              <w:rPr>
                <w:rFonts w:hint="eastAsia"/>
                <w:b/>
                <w:bCs/>
                <w:color w:val="000000"/>
                <w:kern w:val="0"/>
                <w:sz w:val="22"/>
                <w:szCs w:val="22"/>
              </w:rPr>
              <w:t>情形</w:t>
            </w:r>
            <w:r w:rsidRPr="00335151">
              <w:rPr>
                <w:rFonts w:hint="eastAsia"/>
                <w:b/>
                <w:bCs/>
                <w:color w:val="000000"/>
                <w:kern w:val="0"/>
                <w:sz w:val="22"/>
                <w:szCs w:val="22"/>
              </w:rPr>
              <w:t>1</w:t>
            </w:r>
            <w:r w:rsidRPr="00335151">
              <w:rPr>
                <w:rFonts w:hint="eastAsia"/>
                <w:b/>
                <w:bCs/>
                <w:color w:val="000000"/>
                <w:kern w:val="0"/>
                <w:sz w:val="22"/>
                <w:szCs w:val="22"/>
              </w:rPr>
              <w:t>：</w:t>
            </w:r>
            <w:r w:rsidRPr="00335151">
              <w:rPr>
                <w:rFonts w:hint="eastAsia"/>
                <w:b/>
                <w:bCs/>
                <w:color w:val="000000"/>
                <w:kern w:val="0"/>
                <w:sz w:val="22"/>
                <w:szCs w:val="22"/>
              </w:rPr>
              <w:t>2025</w:t>
            </w:r>
            <w:r w:rsidRPr="00335151">
              <w:rPr>
                <w:rFonts w:hint="eastAsia"/>
                <w:b/>
                <w:bCs/>
                <w:color w:val="000000"/>
                <w:kern w:val="0"/>
                <w:sz w:val="22"/>
                <w:szCs w:val="22"/>
              </w:rPr>
              <w:t>年实现的归属于母公司股东的净利润和扣除非经常性损益后归属于母公司股东的净利润较</w:t>
            </w:r>
            <w:r w:rsidRPr="00335151">
              <w:rPr>
                <w:rFonts w:hint="eastAsia"/>
                <w:b/>
                <w:bCs/>
                <w:color w:val="000000"/>
                <w:kern w:val="0"/>
                <w:sz w:val="22"/>
                <w:szCs w:val="22"/>
              </w:rPr>
              <w:t>2024</w:t>
            </w:r>
            <w:r w:rsidRPr="00335151">
              <w:rPr>
                <w:rFonts w:hint="eastAsia"/>
                <w:b/>
                <w:bCs/>
                <w:color w:val="000000"/>
                <w:kern w:val="0"/>
                <w:sz w:val="22"/>
                <w:szCs w:val="22"/>
              </w:rPr>
              <w:t>年度增亏</w:t>
            </w:r>
            <w:r w:rsidRPr="00335151">
              <w:rPr>
                <w:rFonts w:hint="eastAsia"/>
                <w:b/>
                <w:bCs/>
                <w:color w:val="000000"/>
                <w:kern w:val="0"/>
                <w:sz w:val="22"/>
                <w:szCs w:val="22"/>
              </w:rPr>
              <w:t>50%</w:t>
            </w:r>
          </w:p>
        </w:tc>
      </w:tr>
      <w:tr w:rsidR="00335151" w:rsidRPr="00335151" w14:paraId="5F0451DB" w14:textId="77777777" w:rsidTr="00906740">
        <w:trPr>
          <w:trHeight w:val="576"/>
          <w:jc w:val="center"/>
        </w:trPr>
        <w:tc>
          <w:tcPr>
            <w:tcW w:w="2021" w:type="pct"/>
            <w:vAlign w:val="center"/>
          </w:tcPr>
          <w:p w14:paraId="416D47D8"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归属于母公司股东的净利润（万元）</w:t>
            </w:r>
          </w:p>
        </w:tc>
        <w:tc>
          <w:tcPr>
            <w:tcW w:w="1130" w:type="pct"/>
            <w:vAlign w:val="center"/>
          </w:tcPr>
          <w:p w14:paraId="1869F0BA"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-14,400.00 </w:t>
            </w:r>
          </w:p>
        </w:tc>
        <w:tc>
          <w:tcPr>
            <w:tcW w:w="925" w:type="pct"/>
            <w:noWrap/>
            <w:vAlign w:val="center"/>
          </w:tcPr>
          <w:p w14:paraId="3344DF72"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-21,600.00 </w:t>
            </w:r>
          </w:p>
        </w:tc>
        <w:tc>
          <w:tcPr>
            <w:tcW w:w="924" w:type="pct"/>
            <w:noWrap/>
            <w:vAlign w:val="center"/>
          </w:tcPr>
          <w:p w14:paraId="743CE404"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-21,600.00 </w:t>
            </w:r>
          </w:p>
        </w:tc>
      </w:tr>
      <w:tr w:rsidR="00335151" w:rsidRPr="00335151" w14:paraId="58FCC31E" w14:textId="77777777" w:rsidTr="00906740">
        <w:trPr>
          <w:trHeight w:val="480"/>
          <w:jc w:val="center"/>
        </w:trPr>
        <w:tc>
          <w:tcPr>
            <w:tcW w:w="2021" w:type="pct"/>
            <w:vAlign w:val="center"/>
          </w:tcPr>
          <w:p w14:paraId="43C527AF"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基本每股收益（元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7D903857"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vAlign w:val="center"/>
          </w:tcPr>
          <w:p w14:paraId="20CE64A8"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-1.36 </w:t>
            </w:r>
          </w:p>
        </w:tc>
        <w:tc>
          <w:tcPr>
            <w:tcW w:w="924" w:type="pct"/>
            <w:vAlign w:val="center"/>
          </w:tcPr>
          <w:p w14:paraId="28F84F09"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-1.18 </w:t>
            </w:r>
          </w:p>
        </w:tc>
      </w:tr>
      <w:tr w:rsidR="00335151" w:rsidRPr="00335151" w14:paraId="45853345" w14:textId="77777777" w:rsidTr="00906740">
        <w:trPr>
          <w:trHeight w:val="576"/>
          <w:jc w:val="center"/>
        </w:trPr>
        <w:tc>
          <w:tcPr>
            <w:tcW w:w="2021" w:type="pct"/>
            <w:vAlign w:val="center"/>
          </w:tcPr>
          <w:p w14:paraId="73D62E3C"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稀释每股收益（元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7AB8B9EA"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vAlign w:val="center"/>
          </w:tcPr>
          <w:p w14:paraId="1BC14B9C"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-1.36 </w:t>
            </w:r>
          </w:p>
        </w:tc>
        <w:tc>
          <w:tcPr>
            <w:tcW w:w="924" w:type="pct"/>
            <w:vAlign w:val="center"/>
          </w:tcPr>
          <w:p w14:paraId="617E4E0D"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-1.18 </w:t>
            </w:r>
          </w:p>
        </w:tc>
      </w:tr>
      <w:tr w:rsidR="00335151" w:rsidRPr="00335151" w14:paraId="1DF2FC75" w14:textId="77777777" w:rsidTr="00906740">
        <w:trPr>
          <w:trHeight w:val="576"/>
          <w:jc w:val="center"/>
        </w:trPr>
        <w:tc>
          <w:tcPr>
            <w:tcW w:w="2021" w:type="pct"/>
            <w:vAlign w:val="center"/>
          </w:tcPr>
          <w:p w14:paraId="220CC326"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扣除非经常性损益后归属于母公司股东的净利润（万元）</w:t>
            </w:r>
          </w:p>
        </w:tc>
        <w:tc>
          <w:tcPr>
            <w:tcW w:w="1130" w:type="pct"/>
            <w:vAlign w:val="center"/>
          </w:tcPr>
          <w:p w14:paraId="5EA73D8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-17,600.00 </w:t>
            </w:r>
          </w:p>
        </w:tc>
        <w:tc>
          <w:tcPr>
            <w:tcW w:w="925" w:type="pct"/>
            <w:vAlign w:val="center"/>
          </w:tcPr>
          <w:p w14:paraId="50F145A1" w14:textId="77777777" w:rsidR="00335151" w:rsidRPr="00335151" w:rsidRDefault="00335151" w:rsidP="00335151">
            <w:pPr>
              <w:widowControl/>
              <w:adjustRightInd w:val="0"/>
              <w:snapToGrid w:val="0"/>
              <w:contextualSpacing/>
              <w:jc w:val="right"/>
              <w:rPr>
                <w:bCs/>
                <w:color w:val="000000"/>
                <w:kern w:val="0"/>
                <w:szCs w:val="21"/>
              </w:rPr>
            </w:pPr>
            <w:r w:rsidRPr="00335151">
              <w:rPr>
                <w:rFonts w:cs="Arial"/>
                <w:bCs/>
                <w:szCs w:val="21"/>
              </w:rPr>
              <w:t xml:space="preserve">-26,400.00 </w:t>
            </w:r>
          </w:p>
        </w:tc>
        <w:tc>
          <w:tcPr>
            <w:tcW w:w="924" w:type="pct"/>
            <w:vAlign w:val="center"/>
          </w:tcPr>
          <w:p w14:paraId="5309118C" w14:textId="77777777" w:rsidR="00335151" w:rsidRPr="00335151" w:rsidRDefault="00335151" w:rsidP="00335151">
            <w:pPr>
              <w:widowControl/>
              <w:adjustRightInd w:val="0"/>
              <w:snapToGrid w:val="0"/>
              <w:contextualSpacing/>
              <w:jc w:val="right"/>
              <w:rPr>
                <w:bCs/>
                <w:color w:val="000000"/>
                <w:kern w:val="0"/>
                <w:szCs w:val="21"/>
              </w:rPr>
            </w:pPr>
            <w:r w:rsidRPr="00335151">
              <w:rPr>
                <w:rFonts w:cs="Arial"/>
                <w:bCs/>
                <w:szCs w:val="21"/>
              </w:rPr>
              <w:t xml:space="preserve">-26,400.00 </w:t>
            </w:r>
          </w:p>
        </w:tc>
      </w:tr>
      <w:tr w:rsidR="00335151" w:rsidRPr="00335151" w14:paraId="5B47B044" w14:textId="77777777" w:rsidTr="00906740">
        <w:trPr>
          <w:trHeight w:val="480"/>
          <w:jc w:val="center"/>
        </w:trPr>
        <w:tc>
          <w:tcPr>
            <w:tcW w:w="2021" w:type="pct"/>
            <w:vAlign w:val="center"/>
          </w:tcPr>
          <w:p w14:paraId="0DCBCAC1"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扣除非经常性损益后基本每股收益（元</w:t>
            </w:r>
            <w:r w:rsidRPr="00335151">
              <w:rPr>
                <w:color w:val="000000"/>
                <w:kern w:val="0"/>
                <w:sz w:val="22"/>
                <w:szCs w:val="22"/>
              </w:rPr>
              <w:t>/</w:t>
            </w:r>
            <w:r w:rsidRPr="00335151">
              <w:rPr>
                <w:color w:val="000000"/>
                <w:kern w:val="0"/>
                <w:sz w:val="22"/>
                <w:szCs w:val="22"/>
              </w:rPr>
              <w:t>股）</w:t>
            </w:r>
          </w:p>
        </w:tc>
        <w:tc>
          <w:tcPr>
            <w:tcW w:w="1130" w:type="pct"/>
            <w:noWrap/>
            <w:vAlign w:val="center"/>
          </w:tcPr>
          <w:p w14:paraId="5E2E1512"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noWrap/>
            <w:vAlign w:val="center"/>
          </w:tcPr>
          <w:p w14:paraId="28EB2DE8"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-1.66 </w:t>
            </w:r>
          </w:p>
        </w:tc>
        <w:tc>
          <w:tcPr>
            <w:tcW w:w="924" w:type="pct"/>
            <w:noWrap/>
            <w:vAlign w:val="center"/>
          </w:tcPr>
          <w:p w14:paraId="614CD301"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-1.44 </w:t>
            </w:r>
          </w:p>
        </w:tc>
      </w:tr>
      <w:tr w:rsidR="00335151" w:rsidRPr="00335151" w14:paraId="0F298FD4" w14:textId="77777777" w:rsidTr="00906740">
        <w:trPr>
          <w:trHeight w:val="576"/>
          <w:jc w:val="center"/>
        </w:trPr>
        <w:tc>
          <w:tcPr>
            <w:tcW w:w="2021" w:type="pct"/>
            <w:vAlign w:val="center"/>
          </w:tcPr>
          <w:p w14:paraId="684217E9"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扣除非经常性损益后稀释每股收益（元</w:t>
            </w:r>
            <w:r w:rsidRPr="00335151">
              <w:rPr>
                <w:color w:val="000000"/>
                <w:kern w:val="0"/>
                <w:sz w:val="22"/>
                <w:szCs w:val="22"/>
              </w:rPr>
              <w:t>/</w:t>
            </w:r>
            <w:r w:rsidRPr="00335151">
              <w:rPr>
                <w:color w:val="000000"/>
                <w:kern w:val="0"/>
                <w:sz w:val="22"/>
                <w:szCs w:val="22"/>
              </w:rPr>
              <w:t>股</w:t>
            </w:r>
            <w:r w:rsidRPr="00335151">
              <w:rPr>
                <w:color w:val="000000"/>
                <w:kern w:val="0"/>
                <w:sz w:val="22"/>
                <w:szCs w:val="22"/>
              </w:rPr>
              <w:t>)</w:t>
            </w:r>
          </w:p>
        </w:tc>
        <w:tc>
          <w:tcPr>
            <w:tcW w:w="1130" w:type="pct"/>
            <w:noWrap/>
            <w:vAlign w:val="center"/>
          </w:tcPr>
          <w:p w14:paraId="4A9C4579"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noWrap/>
            <w:vAlign w:val="center"/>
          </w:tcPr>
          <w:p w14:paraId="68220826" w14:textId="77777777" w:rsidR="00335151" w:rsidRPr="00335151" w:rsidRDefault="00335151" w:rsidP="00335151">
            <w:pPr>
              <w:widowControl/>
              <w:adjustRightInd w:val="0"/>
              <w:snapToGrid w:val="0"/>
              <w:contextualSpacing/>
              <w:jc w:val="right"/>
              <w:rPr>
                <w:b/>
                <w:color w:val="000000"/>
                <w:kern w:val="0"/>
                <w:szCs w:val="21"/>
                <w:highlight w:val="yellow"/>
              </w:rPr>
            </w:pPr>
            <w:r w:rsidRPr="00335151">
              <w:rPr>
                <w:rFonts w:cs="Arial"/>
                <w:bCs/>
                <w:szCs w:val="21"/>
              </w:rPr>
              <w:t xml:space="preserve">-1.66 </w:t>
            </w:r>
          </w:p>
        </w:tc>
        <w:tc>
          <w:tcPr>
            <w:tcW w:w="924" w:type="pct"/>
            <w:noWrap/>
            <w:vAlign w:val="center"/>
          </w:tcPr>
          <w:p w14:paraId="7C9F87CC"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-1.44 </w:t>
            </w:r>
          </w:p>
        </w:tc>
      </w:tr>
      <w:tr w:rsidR="00335151" w:rsidRPr="00335151" w14:paraId="5BD58C3C" w14:textId="77777777" w:rsidTr="00906740">
        <w:trPr>
          <w:trHeight w:val="480"/>
          <w:jc w:val="center"/>
        </w:trPr>
        <w:tc>
          <w:tcPr>
            <w:tcW w:w="5000" w:type="pct"/>
            <w:gridSpan w:val="4"/>
            <w:vAlign w:val="center"/>
          </w:tcPr>
          <w:p w14:paraId="487F6F16" w14:textId="77777777" w:rsidR="00335151" w:rsidRPr="00335151" w:rsidRDefault="00335151" w:rsidP="00335151">
            <w:pPr>
              <w:widowControl/>
              <w:adjustRightInd w:val="0"/>
              <w:snapToGrid w:val="0"/>
              <w:contextualSpacing/>
              <w:rPr>
                <w:b/>
                <w:bCs/>
                <w:color w:val="000000"/>
                <w:kern w:val="0"/>
                <w:szCs w:val="21"/>
              </w:rPr>
            </w:pPr>
            <w:r w:rsidRPr="00335151">
              <w:rPr>
                <w:rFonts w:hint="eastAsia"/>
                <w:b/>
                <w:bCs/>
                <w:color w:val="000000"/>
                <w:kern w:val="0"/>
                <w:sz w:val="22"/>
                <w:szCs w:val="22"/>
              </w:rPr>
              <w:t>情形</w:t>
            </w:r>
            <w:r w:rsidRPr="00335151">
              <w:rPr>
                <w:rFonts w:hint="eastAsia"/>
                <w:b/>
                <w:bCs/>
                <w:color w:val="000000"/>
                <w:kern w:val="0"/>
                <w:sz w:val="22"/>
                <w:szCs w:val="22"/>
              </w:rPr>
              <w:t>2</w:t>
            </w:r>
            <w:r w:rsidRPr="00335151">
              <w:rPr>
                <w:rFonts w:hint="eastAsia"/>
                <w:b/>
                <w:bCs/>
                <w:color w:val="000000"/>
                <w:kern w:val="0"/>
                <w:sz w:val="22"/>
                <w:szCs w:val="22"/>
              </w:rPr>
              <w:t>：</w:t>
            </w:r>
            <w:r w:rsidRPr="00335151">
              <w:rPr>
                <w:rFonts w:hint="eastAsia"/>
                <w:b/>
                <w:bCs/>
                <w:color w:val="000000"/>
                <w:kern w:val="0"/>
                <w:sz w:val="22"/>
                <w:szCs w:val="22"/>
              </w:rPr>
              <w:t>2025</w:t>
            </w:r>
            <w:r w:rsidRPr="00335151">
              <w:rPr>
                <w:rFonts w:hint="eastAsia"/>
                <w:b/>
                <w:bCs/>
                <w:color w:val="000000"/>
                <w:kern w:val="0"/>
                <w:sz w:val="22"/>
                <w:szCs w:val="22"/>
              </w:rPr>
              <w:t>年实现的归属于母公司股东的净利润和扣除非经常性损益后归属于母公司股东的净利润较</w:t>
            </w:r>
            <w:r w:rsidRPr="00335151">
              <w:rPr>
                <w:rFonts w:hint="eastAsia"/>
                <w:b/>
                <w:bCs/>
                <w:color w:val="000000"/>
                <w:kern w:val="0"/>
                <w:sz w:val="22"/>
                <w:szCs w:val="22"/>
              </w:rPr>
              <w:t>2024</w:t>
            </w:r>
            <w:r w:rsidRPr="00335151">
              <w:rPr>
                <w:rFonts w:hint="eastAsia"/>
                <w:b/>
                <w:bCs/>
                <w:color w:val="000000"/>
                <w:kern w:val="0"/>
                <w:sz w:val="22"/>
                <w:szCs w:val="22"/>
              </w:rPr>
              <w:t>年度持平</w:t>
            </w:r>
          </w:p>
        </w:tc>
      </w:tr>
      <w:tr w:rsidR="00335151" w:rsidRPr="00335151" w14:paraId="1BF7CED6" w14:textId="77777777" w:rsidTr="00906740">
        <w:trPr>
          <w:trHeight w:val="480"/>
          <w:jc w:val="center"/>
        </w:trPr>
        <w:tc>
          <w:tcPr>
            <w:tcW w:w="2021" w:type="pct"/>
            <w:vAlign w:val="center"/>
          </w:tcPr>
          <w:p w14:paraId="2A71D38F"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归属于母公司股东的净利润（万元）</w:t>
            </w:r>
          </w:p>
        </w:tc>
        <w:tc>
          <w:tcPr>
            <w:tcW w:w="1130" w:type="pct"/>
            <w:noWrap/>
            <w:vAlign w:val="center"/>
          </w:tcPr>
          <w:p w14:paraId="6BCDCECB"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-14,400.00 </w:t>
            </w:r>
          </w:p>
        </w:tc>
        <w:tc>
          <w:tcPr>
            <w:tcW w:w="925" w:type="pct"/>
            <w:noWrap/>
            <w:vAlign w:val="center"/>
          </w:tcPr>
          <w:p w14:paraId="51832447"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-14,400.00 </w:t>
            </w:r>
          </w:p>
        </w:tc>
        <w:tc>
          <w:tcPr>
            <w:tcW w:w="924" w:type="pct"/>
            <w:noWrap/>
            <w:vAlign w:val="center"/>
          </w:tcPr>
          <w:p w14:paraId="2F138C3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-14,400.00 </w:t>
            </w:r>
          </w:p>
        </w:tc>
      </w:tr>
      <w:tr w:rsidR="00335151" w:rsidRPr="00335151" w14:paraId="4E63D5F2" w14:textId="77777777" w:rsidTr="00906740">
        <w:trPr>
          <w:trHeight w:val="576"/>
          <w:jc w:val="center"/>
        </w:trPr>
        <w:tc>
          <w:tcPr>
            <w:tcW w:w="2021" w:type="pct"/>
            <w:vAlign w:val="center"/>
          </w:tcPr>
          <w:p w14:paraId="0CC6B6F2"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基本每股收益（元</w:t>
            </w:r>
            <w:r w:rsidRPr="00335151">
              <w:rPr>
                <w:color w:val="000000"/>
                <w:kern w:val="0"/>
                <w:sz w:val="22"/>
                <w:szCs w:val="22"/>
              </w:rPr>
              <w:t>/</w:t>
            </w:r>
            <w:r w:rsidRPr="00335151">
              <w:rPr>
                <w:color w:val="000000"/>
                <w:kern w:val="0"/>
                <w:sz w:val="22"/>
                <w:szCs w:val="22"/>
              </w:rPr>
              <w:t>股）</w:t>
            </w:r>
          </w:p>
        </w:tc>
        <w:tc>
          <w:tcPr>
            <w:tcW w:w="1130" w:type="pct"/>
            <w:noWrap/>
            <w:vAlign w:val="center"/>
          </w:tcPr>
          <w:p w14:paraId="3E65152A"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noWrap/>
            <w:vAlign w:val="center"/>
          </w:tcPr>
          <w:p w14:paraId="46E9CF63"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4" w:type="pct"/>
            <w:noWrap/>
            <w:vAlign w:val="center"/>
          </w:tcPr>
          <w:p w14:paraId="12C5EEB8"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-0.79 </w:t>
            </w:r>
          </w:p>
        </w:tc>
      </w:tr>
      <w:tr w:rsidR="00335151" w:rsidRPr="00335151" w14:paraId="385CA6AA" w14:textId="77777777" w:rsidTr="00906740">
        <w:trPr>
          <w:trHeight w:val="576"/>
          <w:jc w:val="center"/>
        </w:trPr>
        <w:tc>
          <w:tcPr>
            <w:tcW w:w="2021" w:type="pct"/>
            <w:vAlign w:val="center"/>
          </w:tcPr>
          <w:p w14:paraId="67137B3B"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稀释每股收益（元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716B69DC"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noWrap/>
            <w:vAlign w:val="center"/>
          </w:tcPr>
          <w:p w14:paraId="40C91E8C"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4" w:type="pct"/>
            <w:noWrap/>
            <w:vAlign w:val="center"/>
          </w:tcPr>
          <w:p w14:paraId="7EA5C3FC" w14:textId="77777777" w:rsidR="00335151" w:rsidRPr="00335151" w:rsidRDefault="00335151" w:rsidP="00335151">
            <w:pPr>
              <w:widowControl/>
              <w:adjustRightInd w:val="0"/>
              <w:snapToGrid w:val="0"/>
              <w:contextualSpacing/>
              <w:jc w:val="right"/>
              <w:rPr>
                <w:b/>
                <w:color w:val="000000"/>
                <w:kern w:val="0"/>
                <w:szCs w:val="21"/>
                <w:highlight w:val="yellow"/>
              </w:rPr>
            </w:pPr>
            <w:r w:rsidRPr="00335151">
              <w:rPr>
                <w:rFonts w:cs="Arial"/>
                <w:bCs/>
                <w:szCs w:val="21"/>
              </w:rPr>
              <w:t xml:space="preserve">-0.79 </w:t>
            </w:r>
          </w:p>
        </w:tc>
      </w:tr>
      <w:tr w:rsidR="00335151" w:rsidRPr="00335151" w14:paraId="0001759F" w14:textId="77777777" w:rsidTr="00906740">
        <w:trPr>
          <w:trHeight w:val="576"/>
          <w:jc w:val="center"/>
        </w:trPr>
        <w:tc>
          <w:tcPr>
            <w:tcW w:w="2021" w:type="pct"/>
            <w:vAlign w:val="center"/>
          </w:tcPr>
          <w:p w14:paraId="55729502"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扣除非经常性损益后归属于母公司股东的净利润（万元）</w:t>
            </w:r>
          </w:p>
        </w:tc>
        <w:tc>
          <w:tcPr>
            <w:tcW w:w="1130" w:type="pct"/>
            <w:vAlign w:val="center"/>
          </w:tcPr>
          <w:p w14:paraId="27CB51FB"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-17,600.00 </w:t>
            </w:r>
          </w:p>
        </w:tc>
        <w:tc>
          <w:tcPr>
            <w:tcW w:w="925" w:type="pct"/>
            <w:vAlign w:val="center"/>
          </w:tcPr>
          <w:p w14:paraId="3E14E55F"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-17,600.00 </w:t>
            </w:r>
          </w:p>
        </w:tc>
        <w:tc>
          <w:tcPr>
            <w:tcW w:w="924" w:type="pct"/>
            <w:vAlign w:val="center"/>
          </w:tcPr>
          <w:p w14:paraId="42B04986"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-17,600.00 </w:t>
            </w:r>
          </w:p>
        </w:tc>
      </w:tr>
      <w:tr w:rsidR="00335151" w:rsidRPr="00335151" w14:paraId="55016A49" w14:textId="77777777" w:rsidTr="00906740">
        <w:trPr>
          <w:trHeight w:val="480"/>
          <w:jc w:val="center"/>
        </w:trPr>
        <w:tc>
          <w:tcPr>
            <w:tcW w:w="2021" w:type="pct"/>
            <w:vAlign w:val="center"/>
          </w:tcPr>
          <w:p w14:paraId="530A035E"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扣除非经常性损益后基本每股收益（元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4230063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vAlign w:val="center"/>
          </w:tcPr>
          <w:p w14:paraId="476C38B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4" w:type="pct"/>
            <w:vAlign w:val="center"/>
          </w:tcPr>
          <w:p w14:paraId="1DC977B0"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-0.96 </w:t>
            </w:r>
          </w:p>
        </w:tc>
      </w:tr>
      <w:tr w:rsidR="00335151" w:rsidRPr="00335151" w14:paraId="6FCC9E55" w14:textId="77777777" w:rsidTr="00906740">
        <w:trPr>
          <w:trHeight w:val="576"/>
          <w:jc w:val="center"/>
        </w:trPr>
        <w:tc>
          <w:tcPr>
            <w:tcW w:w="2021" w:type="pct"/>
            <w:vAlign w:val="center"/>
          </w:tcPr>
          <w:p w14:paraId="32575A12"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扣除非经常性损益后稀释每股收益（元</w:t>
            </w:r>
            <w:r w:rsidRPr="00335151">
              <w:rPr>
                <w:color w:val="000000"/>
                <w:kern w:val="0"/>
                <w:sz w:val="22"/>
                <w:szCs w:val="22"/>
              </w:rPr>
              <w:t>/</w:t>
            </w:r>
            <w:r w:rsidRPr="00335151">
              <w:rPr>
                <w:color w:val="000000"/>
                <w:kern w:val="0"/>
                <w:sz w:val="22"/>
                <w:szCs w:val="22"/>
              </w:rPr>
              <w:t>股</w:t>
            </w:r>
            <w:r w:rsidRPr="00335151">
              <w:rPr>
                <w:color w:val="000000"/>
                <w:kern w:val="0"/>
                <w:sz w:val="22"/>
                <w:szCs w:val="22"/>
              </w:rPr>
              <w:t>)</w:t>
            </w:r>
          </w:p>
        </w:tc>
        <w:tc>
          <w:tcPr>
            <w:tcW w:w="1130" w:type="pct"/>
            <w:vAlign w:val="center"/>
          </w:tcPr>
          <w:p w14:paraId="5C273F6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vAlign w:val="center"/>
          </w:tcPr>
          <w:p w14:paraId="68B91F19" w14:textId="77777777" w:rsidR="00335151" w:rsidRPr="00335151" w:rsidRDefault="00335151" w:rsidP="00335151">
            <w:pPr>
              <w:widowControl/>
              <w:adjustRightInd w:val="0"/>
              <w:snapToGrid w:val="0"/>
              <w:contextualSpacing/>
              <w:jc w:val="right"/>
              <w:rPr>
                <w:b/>
                <w:color w:val="000000"/>
                <w:kern w:val="0"/>
                <w:szCs w:val="21"/>
                <w:highlight w:val="yellow"/>
              </w:rPr>
            </w:pPr>
            <w:r w:rsidRPr="00335151">
              <w:rPr>
                <w:rFonts w:cs="Arial"/>
                <w:bCs/>
                <w:szCs w:val="21"/>
              </w:rPr>
              <w:t xml:space="preserve">-1.11 </w:t>
            </w:r>
          </w:p>
        </w:tc>
        <w:tc>
          <w:tcPr>
            <w:tcW w:w="924" w:type="pct"/>
            <w:vAlign w:val="center"/>
          </w:tcPr>
          <w:p w14:paraId="20EAEE81"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-0.96 </w:t>
            </w:r>
          </w:p>
        </w:tc>
      </w:tr>
      <w:tr w:rsidR="00335151" w:rsidRPr="00335151" w14:paraId="7C059991" w14:textId="77777777" w:rsidTr="00906740">
        <w:trPr>
          <w:trHeight w:val="480"/>
          <w:jc w:val="center"/>
        </w:trPr>
        <w:tc>
          <w:tcPr>
            <w:tcW w:w="5000" w:type="pct"/>
            <w:gridSpan w:val="4"/>
            <w:vAlign w:val="center"/>
          </w:tcPr>
          <w:p w14:paraId="17E30A0F" w14:textId="77777777" w:rsidR="00335151" w:rsidRPr="00335151" w:rsidRDefault="00335151" w:rsidP="00335151">
            <w:pPr>
              <w:widowControl/>
              <w:adjustRightInd w:val="0"/>
              <w:snapToGrid w:val="0"/>
              <w:contextualSpacing/>
              <w:rPr>
                <w:b/>
                <w:bCs/>
                <w:color w:val="000000"/>
                <w:kern w:val="0"/>
                <w:szCs w:val="21"/>
              </w:rPr>
            </w:pPr>
            <w:r w:rsidRPr="00335151">
              <w:rPr>
                <w:rFonts w:hint="eastAsia"/>
                <w:b/>
                <w:bCs/>
                <w:color w:val="000000"/>
                <w:kern w:val="0"/>
                <w:sz w:val="22"/>
                <w:szCs w:val="22"/>
              </w:rPr>
              <w:t>情形</w:t>
            </w:r>
            <w:r w:rsidRPr="00335151">
              <w:rPr>
                <w:rFonts w:hint="eastAsia"/>
                <w:b/>
                <w:bCs/>
                <w:color w:val="000000"/>
                <w:kern w:val="0"/>
                <w:sz w:val="22"/>
                <w:szCs w:val="22"/>
              </w:rPr>
              <w:t>3</w:t>
            </w:r>
            <w:r w:rsidRPr="00335151">
              <w:rPr>
                <w:rFonts w:hint="eastAsia"/>
                <w:b/>
                <w:bCs/>
                <w:color w:val="000000"/>
                <w:kern w:val="0"/>
                <w:sz w:val="22"/>
                <w:szCs w:val="22"/>
              </w:rPr>
              <w:t>：</w:t>
            </w:r>
            <w:r w:rsidRPr="00335151">
              <w:rPr>
                <w:rFonts w:hint="eastAsia"/>
                <w:b/>
                <w:bCs/>
                <w:color w:val="000000"/>
                <w:kern w:val="0"/>
                <w:sz w:val="22"/>
                <w:szCs w:val="22"/>
              </w:rPr>
              <w:t>2025</w:t>
            </w:r>
            <w:r w:rsidRPr="00335151">
              <w:rPr>
                <w:rFonts w:hint="eastAsia"/>
                <w:b/>
                <w:bCs/>
                <w:color w:val="000000"/>
                <w:kern w:val="0"/>
                <w:sz w:val="22"/>
                <w:szCs w:val="22"/>
              </w:rPr>
              <w:t>年实现的归属于母公司股东的净利润和扣除非经常性损益后归属于母公司股东的净利润较</w:t>
            </w:r>
            <w:r w:rsidRPr="00335151">
              <w:rPr>
                <w:rFonts w:hint="eastAsia"/>
                <w:b/>
                <w:bCs/>
                <w:color w:val="000000"/>
                <w:kern w:val="0"/>
                <w:sz w:val="22"/>
                <w:szCs w:val="22"/>
              </w:rPr>
              <w:t>2024</w:t>
            </w:r>
            <w:r w:rsidRPr="00335151">
              <w:rPr>
                <w:rFonts w:hint="eastAsia"/>
                <w:b/>
                <w:bCs/>
                <w:color w:val="000000"/>
                <w:kern w:val="0"/>
                <w:sz w:val="22"/>
                <w:szCs w:val="22"/>
              </w:rPr>
              <w:t>年度减亏</w:t>
            </w:r>
            <w:r w:rsidRPr="00335151">
              <w:rPr>
                <w:rFonts w:hint="eastAsia"/>
                <w:b/>
                <w:bCs/>
                <w:color w:val="000000"/>
                <w:kern w:val="0"/>
                <w:sz w:val="22"/>
                <w:szCs w:val="22"/>
              </w:rPr>
              <w:t>50%</w:t>
            </w:r>
          </w:p>
        </w:tc>
      </w:tr>
      <w:tr w:rsidR="00335151" w:rsidRPr="00335151" w14:paraId="25057E82" w14:textId="77777777" w:rsidTr="00906740">
        <w:trPr>
          <w:trHeight w:val="480"/>
          <w:jc w:val="center"/>
        </w:trPr>
        <w:tc>
          <w:tcPr>
            <w:tcW w:w="2021" w:type="pct"/>
            <w:vAlign w:val="center"/>
          </w:tcPr>
          <w:p w14:paraId="7DE151BF"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归属于母公司股东的净利润（万元）</w:t>
            </w:r>
          </w:p>
        </w:tc>
        <w:tc>
          <w:tcPr>
            <w:tcW w:w="1130" w:type="pct"/>
            <w:noWrap/>
            <w:vAlign w:val="center"/>
          </w:tcPr>
          <w:p w14:paraId="480A192D"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-14,400.00 </w:t>
            </w:r>
          </w:p>
        </w:tc>
        <w:tc>
          <w:tcPr>
            <w:tcW w:w="925" w:type="pct"/>
            <w:noWrap/>
            <w:vAlign w:val="center"/>
          </w:tcPr>
          <w:p w14:paraId="4674B8E0"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-7,200.00 </w:t>
            </w:r>
          </w:p>
        </w:tc>
        <w:tc>
          <w:tcPr>
            <w:tcW w:w="924" w:type="pct"/>
            <w:noWrap/>
            <w:vAlign w:val="center"/>
          </w:tcPr>
          <w:p w14:paraId="06E547F0" w14:textId="77777777" w:rsidR="00335151" w:rsidRPr="00335151" w:rsidRDefault="00335151" w:rsidP="00335151">
            <w:pPr>
              <w:widowControl/>
              <w:adjustRightInd w:val="0"/>
              <w:snapToGrid w:val="0"/>
              <w:contextualSpacing/>
              <w:jc w:val="right"/>
              <w:rPr>
                <w:bCs/>
                <w:color w:val="000000"/>
                <w:kern w:val="0"/>
                <w:szCs w:val="21"/>
              </w:rPr>
            </w:pPr>
            <w:r w:rsidRPr="00335151">
              <w:rPr>
                <w:rFonts w:cs="Arial"/>
                <w:bCs/>
                <w:szCs w:val="21"/>
              </w:rPr>
              <w:t xml:space="preserve">-7,200.00 </w:t>
            </w:r>
          </w:p>
        </w:tc>
      </w:tr>
      <w:tr w:rsidR="00335151" w:rsidRPr="00335151" w14:paraId="28819259" w14:textId="77777777" w:rsidTr="00906740">
        <w:trPr>
          <w:trHeight w:val="576"/>
          <w:jc w:val="center"/>
        </w:trPr>
        <w:tc>
          <w:tcPr>
            <w:tcW w:w="2021" w:type="pct"/>
            <w:vAlign w:val="center"/>
          </w:tcPr>
          <w:p w14:paraId="5ED2FD2B"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基本每股收益（元</w:t>
            </w:r>
            <w:r w:rsidRPr="00335151">
              <w:rPr>
                <w:color w:val="000000"/>
                <w:kern w:val="0"/>
                <w:sz w:val="22"/>
                <w:szCs w:val="22"/>
              </w:rPr>
              <w:t>/</w:t>
            </w:r>
            <w:r w:rsidRPr="00335151">
              <w:rPr>
                <w:color w:val="000000"/>
                <w:kern w:val="0"/>
                <w:sz w:val="22"/>
                <w:szCs w:val="22"/>
              </w:rPr>
              <w:t>股）</w:t>
            </w:r>
          </w:p>
        </w:tc>
        <w:tc>
          <w:tcPr>
            <w:tcW w:w="1130" w:type="pct"/>
            <w:noWrap/>
            <w:vAlign w:val="center"/>
          </w:tcPr>
          <w:p w14:paraId="5F474072"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noWrap/>
            <w:vAlign w:val="center"/>
          </w:tcPr>
          <w:p w14:paraId="4B804FD9"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-0.45 </w:t>
            </w:r>
          </w:p>
        </w:tc>
        <w:tc>
          <w:tcPr>
            <w:tcW w:w="924" w:type="pct"/>
            <w:noWrap/>
            <w:vAlign w:val="center"/>
          </w:tcPr>
          <w:p w14:paraId="14840A08"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-0.39 </w:t>
            </w:r>
          </w:p>
        </w:tc>
      </w:tr>
      <w:tr w:rsidR="00335151" w:rsidRPr="00335151" w14:paraId="2F2BF24A" w14:textId="77777777" w:rsidTr="00906740">
        <w:trPr>
          <w:trHeight w:val="576"/>
          <w:jc w:val="center"/>
        </w:trPr>
        <w:tc>
          <w:tcPr>
            <w:tcW w:w="2021" w:type="pct"/>
            <w:vAlign w:val="center"/>
          </w:tcPr>
          <w:p w14:paraId="0DD83814"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稀释每股收益（元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3AEBFF47"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-0.90 </w:t>
            </w:r>
          </w:p>
        </w:tc>
        <w:tc>
          <w:tcPr>
            <w:tcW w:w="925" w:type="pct"/>
            <w:shd w:val="clear" w:color="auto" w:fill="auto"/>
            <w:noWrap/>
            <w:vAlign w:val="center"/>
          </w:tcPr>
          <w:p w14:paraId="0AAD207C"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-0.45 </w:t>
            </w:r>
          </w:p>
        </w:tc>
        <w:tc>
          <w:tcPr>
            <w:tcW w:w="924" w:type="pct"/>
            <w:shd w:val="clear" w:color="auto" w:fill="auto"/>
            <w:noWrap/>
            <w:vAlign w:val="center"/>
          </w:tcPr>
          <w:p w14:paraId="2EC3F8C9"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-0.39 </w:t>
            </w:r>
          </w:p>
        </w:tc>
      </w:tr>
      <w:tr w:rsidR="00335151" w:rsidRPr="00335151" w14:paraId="54167ED9" w14:textId="77777777" w:rsidTr="00906740">
        <w:trPr>
          <w:trHeight w:val="576"/>
          <w:jc w:val="center"/>
        </w:trPr>
        <w:tc>
          <w:tcPr>
            <w:tcW w:w="2021" w:type="pct"/>
            <w:vAlign w:val="center"/>
          </w:tcPr>
          <w:p w14:paraId="43FACE5C"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lastRenderedPageBreak/>
              <w:t>扣除非经常性损益后归属于母公司股东的净利润（万元）</w:t>
            </w:r>
          </w:p>
        </w:tc>
        <w:tc>
          <w:tcPr>
            <w:tcW w:w="1130" w:type="pct"/>
            <w:vAlign w:val="center"/>
          </w:tcPr>
          <w:p w14:paraId="07CB7239"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-17,600.00 </w:t>
            </w:r>
          </w:p>
        </w:tc>
        <w:tc>
          <w:tcPr>
            <w:tcW w:w="925" w:type="pct"/>
            <w:shd w:val="clear" w:color="auto" w:fill="auto"/>
            <w:vAlign w:val="center"/>
          </w:tcPr>
          <w:p w14:paraId="22E99D2C" w14:textId="77777777" w:rsidR="00335151" w:rsidRPr="00335151" w:rsidRDefault="00335151" w:rsidP="00335151">
            <w:pPr>
              <w:widowControl/>
              <w:adjustRightInd w:val="0"/>
              <w:snapToGrid w:val="0"/>
              <w:contextualSpacing/>
              <w:jc w:val="right"/>
              <w:rPr>
                <w:b/>
                <w:color w:val="000000"/>
                <w:kern w:val="0"/>
                <w:szCs w:val="21"/>
                <w:highlight w:val="yellow"/>
              </w:rPr>
            </w:pPr>
            <w:r w:rsidRPr="00335151">
              <w:rPr>
                <w:rFonts w:cs="Arial"/>
                <w:bCs/>
                <w:szCs w:val="21"/>
              </w:rPr>
              <w:t xml:space="preserve">-8,800.00 </w:t>
            </w:r>
          </w:p>
        </w:tc>
        <w:tc>
          <w:tcPr>
            <w:tcW w:w="924" w:type="pct"/>
            <w:shd w:val="clear" w:color="auto" w:fill="auto"/>
            <w:vAlign w:val="center"/>
          </w:tcPr>
          <w:p w14:paraId="773F57C1"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-8,800.00 </w:t>
            </w:r>
          </w:p>
        </w:tc>
      </w:tr>
      <w:tr w:rsidR="00335151" w:rsidRPr="00335151" w14:paraId="404FB116" w14:textId="77777777" w:rsidTr="00906740">
        <w:trPr>
          <w:trHeight w:val="480"/>
          <w:jc w:val="center"/>
        </w:trPr>
        <w:tc>
          <w:tcPr>
            <w:tcW w:w="2021" w:type="pct"/>
            <w:vAlign w:val="center"/>
          </w:tcPr>
          <w:p w14:paraId="7E0D2EDC"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扣除非经常性损益后基本每股收益（元</w:t>
            </w:r>
            <w:r w:rsidRPr="00335151">
              <w:rPr>
                <w:color w:val="000000"/>
                <w:kern w:val="0"/>
                <w:sz w:val="22"/>
                <w:szCs w:val="22"/>
              </w:rPr>
              <w:t>/</w:t>
            </w:r>
            <w:r w:rsidRPr="00335151">
              <w:rPr>
                <w:color w:val="000000"/>
                <w:kern w:val="0"/>
                <w:sz w:val="22"/>
                <w:szCs w:val="22"/>
              </w:rPr>
              <w:t>股）</w:t>
            </w:r>
          </w:p>
        </w:tc>
        <w:tc>
          <w:tcPr>
            <w:tcW w:w="1130" w:type="pct"/>
            <w:vAlign w:val="center"/>
          </w:tcPr>
          <w:p w14:paraId="5ACB9A91"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vAlign w:val="center"/>
          </w:tcPr>
          <w:p w14:paraId="4FF59533"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-0.55 </w:t>
            </w:r>
          </w:p>
        </w:tc>
        <w:tc>
          <w:tcPr>
            <w:tcW w:w="924" w:type="pct"/>
            <w:vAlign w:val="center"/>
          </w:tcPr>
          <w:p w14:paraId="1B69AE48"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-0.48 </w:t>
            </w:r>
          </w:p>
        </w:tc>
      </w:tr>
      <w:tr w:rsidR="00335151" w:rsidRPr="00335151" w14:paraId="0B97572A" w14:textId="77777777" w:rsidTr="00906740">
        <w:trPr>
          <w:trHeight w:val="576"/>
          <w:jc w:val="center"/>
        </w:trPr>
        <w:tc>
          <w:tcPr>
            <w:tcW w:w="2021" w:type="pct"/>
            <w:vAlign w:val="center"/>
          </w:tcPr>
          <w:p w14:paraId="4C4963EC" w14:textId="77777777" w:rsidR="00335151" w:rsidRPr="00335151" w:rsidRDefault="00335151" w:rsidP="00335151">
            <w:pPr>
              <w:widowControl/>
              <w:adjustRightInd w:val="0"/>
              <w:snapToGrid w:val="0"/>
              <w:contextualSpacing/>
              <w:jc w:val="left"/>
              <w:rPr>
                <w:color w:val="000000"/>
                <w:kern w:val="0"/>
                <w:sz w:val="22"/>
                <w:szCs w:val="22"/>
              </w:rPr>
            </w:pPr>
            <w:r w:rsidRPr="00335151">
              <w:rPr>
                <w:color w:val="000000"/>
                <w:kern w:val="0"/>
                <w:sz w:val="22"/>
                <w:szCs w:val="22"/>
              </w:rPr>
              <w:t>扣除非经常性损益后稀释每股收益（元</w:t>
            </w:r>
            <w:r w:rsidRPr="00335151">
              <w:rPr>
                <w:color w:val="000000"/>
                <w:kern w:val="0"/>
                <w:sz w:val="22"/>
                <w:szCs w:val="22"/>
              </w:rPr>
              <w:t>/</w:t>
            </w:r>
            <w:r w:rsidRPr="00335151">
              <w:rPr>
                <w:color w:val="000000"/>
                <w:kern w:val="0"/>
                <w:sz w:val="22"/>
                <w:szCs w:val="22"/>
              </w:rPr>
              <w:t>股</w:t>
            </w:r>
            <w:r w:rsidRPr="00335151">
              <w:rPr>
                <w:color w:val="000000"/>
                <w:kern w:val="0"/>
                <w:sz w:val="22"/>
                <w:szCs w:val="22"/>
              </w:rPr>
              <w:t>)</w:t>
            </w:r>
          </w:p>
        </w:tc>
        <w:tc>
          <w:tcPr>
            <w:tcW w:w="1130" w:type="pct"/>
            <w:vAlign w:val="center"/>
          </w:tcPr>
          <w:p w14:paraId="368B20CA" w14:textId="77777777" w:rsidR="00335151" w:rsidRPr="00335151" w:rsidRDefault="00335151" w:rsidP="00335151">
            <w:pPr>
              <w:widowControl/>
              <w:adjustRightInd w:val="0"/>
              <w:snapToGrid w:val="0"/>
              <w:contextualSpacing/>
              <w:jc w:val="right"/>
              <w:rPr>
                <w:color w:val="000000"/>
                <w:kern w:val="0"/>
                <w:szCs w:val="21"/>
              </w:rPr>
            </w:pPr>
            <w:r w:rsidRPr="00335151">
              <w:rPr>
                <w:rFonts w:cs="Arial"/>
                <w:bCs/>
                <w:szCs w:val="21"/>
              </w:rPr>
              <w:t xml:space="preserve">-1.11 </w:t>
            </w:r>
          </w:p>
        </w:tc>
        <w:tc>
          <w:tcPr>
            <w:tcW w:w="925" w:type="pct"/>
            <w:vAlign w:val="center"/>
          </w:tcPr>
          <w:p w14:paraId="1275A6E0"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-0.55 </w:t>
            </w:r>
          </w:p>
        </w:tc>
        <w:tc>
          <w:tcPr>
            <w:tcW w:w="924" w:type="pct"/>
            <w:vAlign w:val="center"/>
          </w:tcPr>
          <w:p w14:paraId="468F8969" w14:textId="77777777" w:rsidR="00335151" w:rsidRPr="00335151" w:rsidRDefault="00335151" w:rsidP="00335151">
            <w:pPr>
              <w:widowControl/>
              <w:adjustRightInd w:val="0"/>
              <w:snapToGrid w:val="0"/>
              <w:contextualSpacing/>
              <w:jc w:val="right"/>
              <w:rPr>
                <w:b/>
                <w:color w:val="000000"/>
                <w:kern w:val="0"/>
                <w:szCs w:val="21"/>
              </w:rPr>
            </w:pPr>
            <w:r w:rsidRPr="00335151">
              <w:rPr>
                <w:rFonts w:cs="Arial"/>
                <w:bCs/>
                <w:szCs w:val="21"/>
              </w:rPr>
              <w:t xml:space="preserve">-0.48 </w:t>
            </w:r>
          </w:p>
        </w:tc>
      </w:tr>
    </w:tbl>
    <w:p w14:paraId="12B07966"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（二）关于摊薄即期回报的风险提示</w:t>
      </w:r>
    </w:p>
    <w:p w14:paraId="7B4B0CFD" w14:textId="3581D35E" w:rsidR="00152DC2" w:rsidRPr="00152DC2" w:rsidRDefault="00152DC2" w:rsidP="00152DC2">
      <w:pPr>
        <w:adjustRightInd w:val="0"/>
        <w:spacing w:beforeLines="50" w:before="156" w:line="360" w:lineRule="auto"/>
        <w:ind w:firstLineChars="200" w:firstLine="480"/>
        <w:rPr>
          <w:sz w:val="24"/>
        </w:rPr>
      </w:pPr>
      <w:r w:rsidRPr="00152DC2">
        <w:rPr>
          <w:rFonts w:hint="eastAsia"/>
          <w:sz w:val="24"/>
        </w:rPr>
        <w:t>本次向特定对象发行募集资金到位后，公司的总股本和净资产将会相应增加，有利于提高公司的流动性，增强公司的抗风险能力和更好地实现战略发展目标。本次募集资金到位后的短期内，公司净利润增长幅度可能会低于净资产和总股本的增长幅度，基本每股收益可能出现一定幅度的下降，股东即期回报存在被摊薄的风险。</w:t>
      </w:r>
    </w:p>
    <w:p w14:paraId="172DF461" w14:textId="093E48F7" w:rsidR="004C71D1" w:rsidRDefault="00152DC2" w:rsidP="00152DC2">
      <w:pPr>
        <w:adjustRightInd w:val="0"/>
        <w:spacing w:beforeLines="50" w:before="156" w:line="360" w:lineRule="auto"/>
        <w:ind w:firstLineChars="200" w:firstLine="480"/>
        <w:rPr>
          <w:sz w:val="24"/>
        </w:rPr>
      </w:pPr>
      <w:r w:rsidRPr="00152DC2">
        <w:rPr>
          <w:rFonts w:hint="eastAsia"/>
          <w:sz w:val="24"/>
        </w:rPr>
        <w:t>在测算本次发行对即期回报的摊薄影响过程中，公司对</w:t>
      </w:r>
      <w:r w:rsidRPr="00152DC2">
        <w:rPr>
          <w:rFonts w:hint="eastAsia"/>
          <w:sz w:val="24"/>
        </w:rPr>
        <w:t>2025</w:t>
      </w:r>
      <w:r w:rsidRPr="00152DC2">
        <w:rPr>
          <w:rFonts w:hint="eastAsia"/>
          <w:sz w:val="24"/>
        </w:rPr>
        <w:t>年度实现的扣除非经常性损益前、后归属于母公司股东的净利润的假设分析并非公司的盈利预测，为应对即期回报被摊薄风险而制定的填补回报具体措施不等于对公司未来利润做出保证，投资者不应据此进行投资决策，投资者据此进行投资决策造成损失的，公司不承担赔偿责任。提请广大投资者注意。</w:t>
      </w:r>
    </w:p>
    <w:p w14:paraId="5904FB2A" w14:textId="0B5AAA0E" w:rsidR="004C71D1" w:rsidRDefault="00966BCB">
      <w:pPr>
        <w:spacing w:beforeLines="50" w:before="156" w:line="360" w:lineRule="auto"/>
        <w:ind w:firstLineChars="200" w:firstLine="482"/>
        <w:outlineLvl w:val="2"/>
        <w:rPr>
          <w:b/>
          <w:snapToGrid w:val="0"/>
          <w:sz w:val="24"/>
        </w:rPr>
      </w:pPr>
      <w:r>
        <w:rPr>
          <w:rFonts w:hint="eastAsia"/>
          <w:b/>
          <w:snapToGrid w:val="0"/>
          <w:sz w:val="24"/>
        </w:rPr>
        <w:t>（三）本次</w:t>
      </w:r>
      <w:r w:rsidR="003A35FD">
        <w:rPr>
          <w:rFonts w:hint="eastAsia"/>
          <w:b/>
          <w:snapToGrid w:val="0"/>
          <w:sz w:val="24"/>
        </w:rPr>
        <w:t>向特定对象发行</w:t>
      </w:r>
      <w:r w:rsidR="003A35FD">
        <w:rPr>
          <w:rFonts w:hint="eastAsia"/>
          <w:b/>
          <w:snapToGrid w:val="0"/>
          <w:sz w:val="24"/>
        </w:rPr>
        <w:t>A</w:t>
      </w:r>
      <w:r w:rsidR="003A35FD">
        <w:rPr>
          <w:rFonts w:hint="eastAsia"/>
          <w:b/>
          <w:snapToGrid w:val="0"/>
          <w:sz w:val="24"/>
        </w:rPr>
        <w:t>股股票</w:t>
      </w:r>
      <w:r>
        <w:rPr>
          <w:rFonts w:hint="eastAsia"/>
          <w:b/>
          <w:snapToGrid w:val="0"/>
          <w:sz w:val="24"/>
        </w:rPr>
        <w:t>的必要性和合理性</w:t>
      </w:r>
    </w:p>
    <w:p w14:paraId="154C1DE8" w14:textId="303A801A" w:rsidR="00152DC2" w:rsidRPr="00152DC2" w:rsidRDefault="00152DC2" w:rsidP="00152DC2">
      <w:pPr>
        <w:spacing w:beforeLines="50" w:before="156" w:line="360" w:lineRule="auto"/>
        <w:ind w:firstLineChars="200" w:firstLine="480"/>
        <w:rPr>
          <w:sz w:val="24"/>
          <w:szCs w:val="22"/>
        </w:rPr>
      </w:pPr>
      <w:r w:rsidRPr="00152DC2">
        <w:rPr>
          <w:rFonts w:hint="eastAsia"/>
          <w:sz w:val="24"/>
          <w:szCs w:val="22"/>
        </w:rPr>
        <w:t>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152DC2">
        <w:rPr>
          <w:rFonts w:hint="eastAsia"/>
          <w:sz w:val="24"/>
          <w:szCs w:val="22"/>
        </w:rPr>
        <w:t>募集资金使用计划符合相关政策和法律法规，符合公司未来发展战略规划，具备必要性和可行性。本次发行的必要性和合理性的具体分析详见《</w:t>
      </w:r>
      <w:r w:rsidRPr="00152DC2">
        <w:rPr>
          <w:rFonts w:hint="eastAsia"/>
          <w:sz w:val="24"/>
          <w:szCs w:val="22"/>
        </w:rPr>
        <w:t>2025</w:t>
      </w:r>
      <w:r w:rsidRPr="00152DC2">
        <w:rPr>
          <w:rFonts w:hint="eastAsia"/>
          <w:sz w:val="24"/>
          <w:szCs w:val="22"/>
        </w:rPr>
        <w:t>年度向特定对象发行</w:t>
      </w:r>
      <w:r w:rsidRPr="00152DC2">
        <w:rPr>
          <w:rFonts w:hint="eastAsia"/>
          <w:sz w:val="24"/>
          <w:szCs w:val="22"/>
        </w:rPr>
        <w:t>A</w:t>
      </w:r>
      <w:r w:rsidRPr="00152DC2">
        <w:rPr>
          <w:rFonts w:hint="eastAsia"/>
          <w:sz w:val="24"/>
          <w:szCs w:val="22"/>
        </w:rPr>
        <w:t>股股票募集资金使用可行性分析报告》。</w:t>
      </w:r>
    </w:p>
    <w:p w14:paraId="1F311AF7" w14:textId="77777777" w:rsidR="004C71D1" w:rsidRDefault="00966BCB">
      <w:pPr>
        <w:spacing w:beforeLines="50" w:before="156" w:line="360" w:lineRule="auto"/>
        <w:ind w:firstLineChars="200" w:firstLine="482"/>
        <w:outlineLvl w:val="2"/>
        <w:rPr>
          <w:b/>
          <w:snapToGrid w:val="0"/>
          <w:sz w:val="24"/>
        </w:rPr>
      </w:pPr>
      <w:r>
        <w:rPr>
          <w:rFonts w:hint="eastAsia"/>
          <w:b/>
          <w:snapToGrid w:val="0"/>
          <w:sz w:val="24"/>
        </w:rPr>
        <w:t>（四）公司采取的填补回报的具体措施</w:t>
      </w:r>
    </w:p>
    <w:p w14:paraId="39E42EC0" w14:textId="66A8DBF2" w:rsidR="004C71D1" w:rsidRDefault="00152DC2">
      <w:pPr>
        <w:spacing w:beforeLines="50" w:before="156" w:line="360" w:lineRule="auto"/>
        <w:ind w:firstLineChars="200" w:firstLine="480"/>
        <w:rPr>
          <w:sz w:val="24"/>
          <w:szCs w:val="22"/>
        </w:rPr>
      </w:pPr>
      <w:r w:rsidRPr="00152DC2">
        <w:rPr>
          <w:rFonts w:hint="eastAsia"/>
          <w:sz w:val="24"/>
          <w:szCs w:val="28"/>
        </w:rPr>
        <w:t>考虑本次向特定对象发行可能摊薄普通股股东即期回报，为保护公司普通股股东特别是中小股东利益，上市公司将采取以下具体填补回报措施，增强公司盈利能力和股东回报水平</w:t>
      </w:r>
      <w:r w:rsidR="00966BCB">
        <w:rPr>
          <w:rFonts w:hint="eastAsia"/>
          <w:sz w:val="24"/>
          <w:szCs w:val="28"/>
        </w:rPr>
        <w:t>。</w:t>
      </w:r>
      <w:r w:rsidR="00966BCB">
        <w:rPr>
          <w:sz w:val="24"/>
          <w:szCs w:val="28"/>
        </w:rPr>
        <w:t>具体措施如下</w:t>
      </w:r>
      <w:r w:rsidR="00966BCB">
        <w:rPr>
          <w:rFonts w:hint="eastAsia"/>
          <w:sz w:val="24"/>
          <w:szCs w:val="22"/>
        </w:rPr>
        <w:t>：</w:t>
      </w:r>
    </w:p>
    <w:p w14:paraId="01E25E5C" w14:textId="77777777" w:rsidR="004C71D1" w:rsidRDefault="00966BCB">
      <w:pPr>
        <w:spacing w:beforeLines="50" w:before="156" w:line="360" w:lineRule="auto"/>
        <w:ind w:firstLineChars="200" w:firstLine="482"/>
        <w:rPr>
          <w:b/>
          <w:sz w:val="24"/>
          <w:szCs w:val="22"/>
        </w:rPr>
      </w:pPr>
      <w:r>
        <w:rPr>
          <w:rFonts w:hint="eastAsia"/>
          <w:b/>
          <w:sz w:val="24"/>
          <w:szCs w:val="22"/>
        </w:rPr>
        <w:t>1</w:t>
      </w:r>
      <w:r>
        <w:rPr>
          <w:rFonts w:hint="eastAsia"/>
          <w:b/>
          <w:sz w:val="24"/>
          <w:szCs w:val="22"/>
        </w:rPr>
        <w:t>、持续强化竞争优势，有效提升公司盈利能力</w:t>
      </w:r>
    </w:p>
    <w:p w14:paraId="644AA465" w14:textId="33F1FE5B" w:rsidR="004C71D1" w:rsidRDefault="002919FA">
      <w:pPr>
        <w:spacing w:beforeLines="50" w:before="156" w:line="360" w:lineRule="auto"/>
        <w:ind w:firstLineChars="200" w:firstLine="480"/>
        <w:rPr>
          <w:sz w:val="24"/>
          <w:szCs w:val="28"/>
        </w:rPr>
      </w:pPr>
      <w:r w:rsidRPr="002919FA">
        <w:rPr>
          <w:rFonts w:hint="eastAsia"/>
          <w:sz w:val="24"/>
          <w:szCs w:val="28"/>
        </w:rPr>
        <w:lastRenderedPageBreak/>
        <w:t>公司是国内深耕抗病毒及肝脏健康领域领先的创新药研发生产企业，在发展过程中逐步形成了产品、技术、人才、营销、品牌及渠道等竞争优势。公司将在巩固现有业务优势的基础上进一步加强研发与市场开拓，不断完善产品管线，从产品结构、市场布局和技术实力等方面全面提升公司的市场竞争力，持续提升公司的盈利能力。</w:t>
      </w:r>
    </w:p>
    <w:p w14:paraId="1E91A0A5" w14:textId="77777777" w:rsidR="004C71D1" w:rsidRDefault="00966BCB">
      <w:pPr>
        <w:spacing w:beforeLines="50" w:before="156" w:line="360" w:lineRule="auto"/>
        <w:ind w:firstLineChars="200" w:firstLine="482"/>
        <w:rPr>
          <w:b/>
          <w:sz w:val="24"/>
          <w:szCs w:val="28"/>
        </w:rPr>
      </w:pPr>
      <w:r>
        <w:rPr>
          <w:b/>
          <w:sz w:val="24"/>
          <w:szCs w:val="28"/>
        </w:rPr>
        <w:t>2</w:t>
      </w:r>
      <w:r>
        <w:rPr>
          <w:rFonts w:hint="eastAsia"/>
          <w:b/>
          <w:sz w:val="24"/>
          <w:szCs w:val="28"/>
        </w:rPr>
        <w:t>、积极推进</w:t>
      </w:r>
      <w:r>
        <w:rPr>
          <w:rFonts w:hint="eastAsia"/>
          <w:b/>
          <w:sz w:val="24"/>
        </w:rPr>
        <w:t>募集资金投资项目</w:t>
      </w:r>
      <w:r>
        <w:rPr>
          <w:rFonts w:hint="eastAsia"/>
          <w:b/>
          <w:sz w:val="24"/>
          <w:szCs w:val="28"/>
        </w:rPr>
        <w:t>，助力公司业务快速发展</w:t>
      </w:r>
    </w:p>
    <w:p w14:paraId="53CC9E46" w14:textId="1D2B7C5E" w:rsidR="004C71D1" w:rsidRDefault="002919FA">
      <w:pPr>
        <w:spacing w:beforeLines="50" w:before="156" w:line="360" w:lineRule="auto"/>
        <w:ind w:firstLineChars="200" w:firstLine="480"/>
        <w:rPr>
          <w:sz w:val="24"/>
          <w:szCs w:val="28"/>
        </w:rPr>
      </w:pPr>
      <w:r w:rsidRPr="002919FA">
        <w:rPr>
          <w:rFonts w:hint="eastAsia"/>
          <w:sz w:val="24"/>
          <w:szCs w:val="28"/>
        </w:rPr>
        <w:t>本次募集资金投资项目的实施，将推动公司业务发展，进一步加强公司创新药的研发能力和研发进度，进一步提高公司市场竞争力，为公司的战略发展带来积极影响。本次发行募集资金到位后，公司将积极推进募集资金投资项目，从而降低本次发行对股东即期回报摊薄的风险。</w:t>
      </w:r>
    </w:p>
    <w:p w14:paraId="6BE0D671" w14:textId="43D210A9" w:rsidR="004C71D1" w:rsidRDefault="00966BCB">
      <w:pPr>
        <w:spacing w:beforeLines="50" w:before="156" w:line="360" w:lineRule="auto"/>
        <w:ind w:firstLineChars="200" w:firstLine="482"/>
        <w:rPr>
          <w:b/>
          <w:sz w:val="24"/>
          <w:szCs w:val="28"/>
        </w:rPr>
      </w:pPr>
      <w:r>
        <w:rPr>
          <w:rFonts w:hint="eastAsia"/>
          <w:b/>
          <w:sz w:val="24"/>
          <w:szCs w:val="28"/>
        </w:rPr>
        <w:t>3</w:t>
      </w:r>
      <w:r>
        <w:rPr>
          <w:rFonts w:hint="eastAsia"/>
          <w:b/>
          <w:sz w:val="24"/>
          <w:szCs w:val="28"/>
        </w:rPr>
        <w:t>、</w:t>
      </w:r>
      <w:r w:rsidR="002919FA" w:rsidRPr="002919FA">
        <w:rPr>
          <w:rFonts w:hint="eastAsia"/>
          <w:b/>
          <w:sz w:val="24"/>
          <w:szCs w:val="28"/>
        </w:rPr>
        <w:t>加强对募集资金的管理，防范募集资金使用风险</w:t>
      </w:r>
    </w:p>
    <w:p w14:paraId="2B8FA649" w14:textId="38CB1CAD" w:rsidR="004C71D1" w:rsidRDefault="002919FA">
      <w:pPr>
        <w:spacing w:beforeLines="50" w:before="156" w:line="360" w:lineRule="auto"/>
        <w:ind w:firstLineChars="200" w:firstLine="480"/>
        <w:rPr>
          <w:sz w:val="24"/>
          <w:szCs w:val="28"/>
        </w:rPr>
      </w:pPr>
      <w:r w:rsidRPr="002919FA">
        <w:rPr>
          <w:rFonts w:hint="eastAsia"/>
          <w:sz w:val="24"/>
          <w:szCs w:val="28"/>
        </w:rPr>
        <w:t>公司已根据《中华人民共和国证券法》（以下简称“《证券法》”）、《中华人民共和国公司法》（以下简称“《公司法》”）、《上市公司证券发行注册管理办法》（以下简称“《注册管理办法》”）、《上市公司监管指引第</w:t>
      </w:r>
      <w:r>
        <w:rPr>
          <w:rFonts w:hint="eastAsia"/>
          <w:sz w:val="24"/>
          <w:szCs w:val="28"/>
        </w:rPr>
        <w:t>2</w:t>
      </w:r>
      <w:r w:rsidRPr="002919FA">
        <w:rPr>
          <w:rFonts w:hint="eastAsia"/>
          <w:sz w:val="24"/>
          <w:szCs w:val="28"/>
        </w:rPr>
        <w:t>号——上市公司募集资金管理和使用的监管要求》等法律、法规和规范性文件的要求，结合公司实际情况，制定了《福建广生堂药业股份有限公司募集资金管理办法募集资金管理办法》，严格管理募集资金，保证募集资金按照约定用途合理规范的使用，防范募集资金使用风险。公司将定期对募集资金进行内部审计、配合存管银行和保荐机构对募集资金使用的检查和监督。</w:t>
      </w:r>
    </w:p>
    <w:p w14:paraId="40EB1476" w14:textId="7D077436" w:rsidR="004C71D1" w:rsidRDefault="00966BCB">
      <w:pPr>
        <w:spacing w:beforeLines="50" w:before="156" w:line="360" w:lineRule="auto"/>
        <w:ind w:firstLineChars="200" w:firstLine="482"/>
        <w:rPr>
          <w:b/>
          <w:sz w:val="24"/>
          <w:szCs w:val="28"/>
        </w:rPr>
      </w:pPr>
      <w:r>
        <w:rPr>
          <w:rFonts w:hint="eastAsia"/>
          <w:b/>
          <w:sz w:val="24"/>
          <w:szCs w:val="28"/>
        </w:rPr>
        <w:t>4</w:t>
      </w:r>
      <w:r>
        <w:rPr>
          <w:rFonts w:hint="eastAsia"/>
          <w:b/>
          <w:sz w:val="24"/>
          <w:szCs w:val="28"/>
        </w:rPr>
        <w:t>、</w:t>
      </w:r>
      <w:r w:rsidR="002919FA" w:rsidRPr="002919FA">
        <w:rPr>
          <w:rFonts w:hint="eastAsia"/>
          <w:b/>
          <w:sz w:val="24"/>
          <w:szCs w:val="28"/>
        </w:rPr>
        <w:t>不断完善公司治理，为公司发展提供制度保障</w:t>
      </w:r>
    </w:p>
    <w:p w14:paraId="157CD9D2" w14:textId="79E8F786" w:rsidR="004C71D1" w:rsidRDefault="002919FA">
      <w:pPr>
        <w:spacing w:beforeLines="50" w:before="156" w:line="360" w:lineRule="auto"/>
        <w:ind w:firstLineChars="200" w:firstLine="480"/>
        <w:rPr>
          <w:sz w:val="24"/>
          <w:szCs w:val="28"/>
        </w:rPr>
      </w:pPr>
      <w:r w:rsidRPr="002919FA">
        <w:rPr>
          <w:rFonts w:hint="eastAsia"/>
          <w:sz w:val="24"/>
          <w:szCs w:val="28"/>
        </w:rPr>
        <w:t>公司将严格遵循《公司法》《证券法》《上市公司治理准则》等法律法规和规范性文件的要求，完善现代企业管理制度，优化公司治理结构，确保公司股东特别是中小股东能够充分行使股东权利，确保董事会能够按照法律、法规和《公司章程》的规定行使职权，作出科学、迅速和谨慎地决策，确保独立董事能够认真履行职责，维护公司整体利益，尤其是中小股东的合法权益，确保监事会能够独立有效地行使对董事、经理和其他高级管理人员及公司财务的监督权和检查权，为公司的长远健康发展提供制度保障。</w:t>
      </w:r>
    </w:p>
    <w:p w14:paraId="71BD16CA" w14:textId="6C90CAC6" w:rsidR="004C71D1" w:rsidRDefault="00966BCB">
      <w:pPr>
        <w:spacing w:beforeLines="50" w:before="156" w:line="360" w:lineRule="auto"/>
        <w:ind w:firstLineChars="200" w:firstLine="482"/>
        <w:rPr>
          <w:b/>
          <w:sz w:val="24"/>
          <w:szCs w:val="28"/>
        </w:rPr>
      </w:pPr>
      <w:r>
        <w:rPr>
          <w:rFonts w:hint="eastAsia"/>
          <w:b/>
          <w:sz w:val="24"/>
          <w:szCs w:val="28"/>
        </w:rPr>
        <w:lastRenderedPageBreak/>
        <w:t>5</w:t>
      </w:r>
      <w:r>
        <w:rPr>
          <w:rFonts w:hint="eastAsia"/>
          <w:b/>
          <w:sz w:val="24"/>
          <w:szCs w:val="28"/>
        </w:rPr>
        <w:t>、</w:t>
      </w:r>
      <w:r w:rsidR="002919FA" w:rsidRPr="002919FA">
        <w:rPr>
          <w:rFonts w:hint="eastAsia"/>
          <w:b/>
          <w:sz w:val="24"/>
          <w:szCs w:val="28"/>
        </w:rPr>
        <w:t>严格执行现金分红政策，强化投资者回报机制</w:t>
      </w:r>
    </w:p>
    <w:p w14:paraId="5CD077C3" w14:textId="6CF18FB9"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公司已经按照《关于进一步落实上市公司现金分红有关事项的通知》和《上市公司监管指引第</w:t>
      </w:r>
      <w:r>
        <w:rPr>
          <w:rFonts w:hint="eastAsia"/>
          <w:sz w:val="24"/>
          <w:szCs w:val="22"/>
        </w:rPr>
        <w:t>3</w:t>
      </w:r>
      <w:r w:rsidRPr="002919FA">
        <w:rPr>
          <w:rFonts w:hint="eastAsia"/>
          <w:sz w:val="24"/>
          <w:szCs w:val="22"/>
        </w:rPr>
        <w:t>号——上市公司现金分红》及其他相关法律、法规和规范性文件的要求，进一步明确了公司利润分配方案、分配原则、分配形式及决策机制，强化了中小投资者权益保障机制。</w:t>
      </w:r>
    </w:p>
    <w:p w14:paraId="448F64FB" w14:textId="7777777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未来，公司将继续严格执行公司分红政策，强化投资者回报机制，确保公司股东特别是中小股东的利益得到保护。但公司制定上述填补回报措施不等于对公司未来利润作出任何保证，敬请投资者注意投资风险。</w:t>
      </w:r>
    </w:p>
    <w:p w14:paraId="4C21D5A9" w14:textId="77777777" w:rsidR="002919FA" w:rsidRDefault="002919FA" w:rsidP="002919FA">
      <w:pPr>
        <w:spacing w:beforeLines="50" w:before="156" w:line="360" w:lineRule="auto"/>
        <w:ind w:firstLineChars="200" w:firstLine="480"/>
        <w:rPr>
          <w:sz w:val="24"/>
          <w:szCs w:val="22"/>
        </w:rPr>
      </w:pPr>
      <w:r w:rsidRPr="002919FA">
        <w:rPr>
          <w:rFonts w:hint="eastAsia"/>
          <w:sz w:val="24"/>
          <w:szCs w:val="22"/>
        </w:rPr>
        <w:t>综上，本次发行完成后，公司将提升管理水平，强化主营业务，积极推进募集资金投资项目实施，加强募集资金管理，并通过不断完善公司治理等措施，进一步提升公司的盈利能力、市场竞争力及运营效率。在满足利润分配条件的前提下，公司将积极推动对股东的利润分配，提升公司对股东的回报能力。</w:t>
      </w:r>
    </w:p>
    <w:p w14:paraId="159A13F5" w14:textId="09BA4A25" w:rsidR="002919FA" w:rsidRPr="002919FA" w:rsidRDefault="002919FA" w:rsidP="002919FA">
      <w:pPr>
        <w:spacing w:beforeLines="50" w:before="156" w:line="360" w:lineRule="auto"/>
        <w:ind w:firstLineChars="200" w:firstLine="482"/>
        <w:outlineLvl w:val="2"/>
        <w:rPr>
          <w:b/>
          <w:snapToGrid w:val="0"/>
          <w:sz w:val="24"/>
        </w:rPr>
      </w:pPr>
      <w:r w:rsidRPr="002919FA">
        <w:rPr>
          <w:rFonts w:hint="eastAsia"/>
          <w:b/>
          <w:snapToGrid w:val="0"/>
          <w:sz w:val="24"/>
        </w:rPr>
        <w:t>（五）相关主体出具的承诺</w:t>
      </w:r>
    </w:p>
    <w:p w14:paraId="4B7D7E2F" w14:textId="4F5134F2"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公司就本次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2919FA">
        <w:rPr>
          <w:rFonts w:hint="eastAsia"/>
          <w:sz w:val="24"/>
          <w:szCs w:val="22"/>
        </w:rPr>
        <w:t>摊薄即期回报对主要财务指标的影响进行了分析并提出了具体的填补回报措施，相关主体对填补回报措施能够切实履行作出了承诺，具体情况如下：</w:t>
      </w:r>
    </w:p>
    <w:p w14:paraId="285EAEE3" w14:textId="7968F709" w:rsidR="002919FA" w:rsidRPr="002919FA" w:rsidRDefault="002919FA" w:rsidP="002919FA">
      <w:pPr>
        <w:spacing w:beforeLines="50" w:before="156" w:line="360" w:lineRule="auto"/>
        <w:ind w:firstLineChars="200" w:firstLine="482"/>
        <w:rPr>
          <w:b/>
          <w:sz w:val="24"/>
          <w:szCs w:val="22"/>
        </w:rPr>
      </w:pPr>
      <w:r>
        <w:rPr>
          <w:rFonts w:hint="eastAsia"/>
          <w:b/>
          <w:sz w:val="24"/>
          <w:szCs w:val="22"/>
        </w:rPr>
        <w:t>1</w:t>
      </w:r>
      <w:r>
        <w:rPr>
          <w:rFonts w:hint="eastAsia"/>
          <w:b/>
          <w:sz w:val="24"/>
          <w:szCs w:val="22"/>
        </w:rPr>
        <w:t>、</w:t>
      </w:r>
      <w:r w:rsidRPr="002919FA">
        <w:rPr>
          <w:rFonts w:hint="eastAsia"/>
          <w:b/>
          <w:sz w:val="24"/>
          <w:szCs w:val="22"/>
        </w:rPr>
        <w:t>公司董事和高级管理人员对公司本次</w:t>
      </w:r>
      <w:r w:rsidR="003A35FD">
        <w:rPr>
          <w:rFonts w:hint="eastAsia"/>
          <w:b/>
          <w:sz w:val="24"/>
          <w:szCs w:val="22"/>
        </w:rPr>
        <w:t>向特定对象发行</w:t>
      </w:r>
      <w:r w:rsidR="003A35FD">
        <w:rPr>
          <w:rFonts w:hint="eastAsia"/>
          <w:b/>
          <w:sz w:val="24"/>
          <w:szCs w:val="22"/>
        </w:rPr>
        <w:t>A</w:t>
      </w:r>
      <w:r w:rsidR="003A35FD">
        <w:rPr>
          <w:rFonts w:hint="eastAsia"/>
          <w:b/>
          <w:sz w:val="24"/>
          <w:szCs w:val="22"/>
        </w:rPr>
        <w:t>股股票</w:t>
      </w:r>
      <w:r w:rsidRPr="002919FA">
        <w:rPr>
          <w:rFonts w:hint="eastAsia"/>
          <w:b/>
          <w:sz w:val="24"/>
          <w:szCs w:val="22"/>
        </w:rPr>
        <w:t>摊薄即期回报采取填补措施的承诺</w:t>
      </w:r>
    </w:p>
    <w:p w14:paraId="5367FDD3" w14:textId="1A973A62"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为维护公司和全体股东合法权益，并根据中国证监会相关规定对公司填补回报措施能够得到切实履行，公司全体董事及高级管理人员将忠实、勤勉履行职责，并承诺：</w:t>
      </w:r>
    </w:p>
    <w:p w14:paraId="57816CCE" w14:textId="2E1B4DC0"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w:t>
      </w:r>
      <w:r w:rsidRPr="002919FA">
        <w:rPr>
          <w:rFonts w:hint="eastAsia"/>
          <w:sz w:val="24"/>
          <w:szCs w:val="22"/>
        </w:rPr>
        <w:t>1</w:t>
      </w:r>
      <w:r w:rsidRPr="002919FA">
        <w:rPr>
          <w:rFonts w:hint="eastAsia"/>
          <w:sz w:val="24"/>
          <w:szCs w:val="22"/>
        </w:rPr>
        <w:t>、本人承诺不无偿或以不公平条件向其他单位或者个人输送利益，也不采用其他方式损害公司利益；</w:t>
      </w:r>
    </w:p>
    <w:p w14:paraId="1B37FCEB" w14:textId="7052A89C"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2</w:t>
      </w:r>
      <w:r w:rsidRPr="002919FA">
        <w:rPr>
          <w:rFonts w:hint="eastAsia"/>
          <w:sz w:val="24"/>
          <w:szCs w:val="22"/>
        </w:rPr>
        <w:t>、本人承诺对本人的职务消费行为进行约束；</w:t>
      </w:r>
    </w:p>
    <w:p w14:paraId="4DEE944B" w14:textId="7777777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3</w:t>
      </w:r>
      <w:r w:rsidRPr="002919FA">
        <w:rPr>
          <w:rFonts w:hint="eastAsia"/>
          <w:sz w:val="24"/>
          <w:szCs w:val="22"/>
        </w:rPr>
        <w:t>、本人承诺不动用公司资产从事与本人履行职责无关的投资、消费活动；</w:t>
      </w:r>
    </w:p>
    <w:p w14:paraId="54BBE1AE" w14:textId="7777777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4</w:t>
      </w:r>
      <w:r w:rsidRPr="002919FA">
        <w:rPr>
          <w:rFonts w:hint="eastAsia"/>
          <w:sz w:val="24"/>
          <w:szCs w:val="22"/>
        </w:rPr>
        <w:t>、本人承诺由董事会或薪酬委员会制定的薪酬制度与公司填补回报措施的</w:t>
      </w:r>
      <w:r w:rsidRPr="002919FA">
        <w:rPr>
          <w:rFonts w:hint="eastAsia"/>
          <w:sz w:val="24"/>
          <w:szCs w:val="22"/>
        </w:rPr>
        <w:lastRenderedPageBreak/>
        <w:t>执行情况相挂钩；</w:t>
      </w:r>
      <w:r w:rsidRPr="002919FA">
        <w:rPr>
          <w:rFonts w:hint="eastAsia"/>
          <w:sz w:val="24"/>
          <w:szCs w:val="22"/>
        </w:rPr>
        <w:t xml:space="preserve"> </w:t>
      </w:r>
    </w:p>
    <w:p w14:paraId="46CDA149" w14:textId="7777777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5</w:t>
      </w:r>
      <w:r w:rsidRPr="002919FA">
        <w:rPr>
          <w:rFonts w:hint="eastAsia"/>
          <w:sz w:val="24"/>
          <w:szCs w:val="22"/>
        </w:rPr>
        <w:t>、未来公司如实施股权激励，本人承诺拟公布的公司股权激励的行权条件与公司填补回报措施的执行情况相挂钩；</w:t>
      </w:r>
      <w:r w:rsidRPr="002919FA">
        <w:rPr>
          <w:rFonts w:hint="eastAsia"/>
          <w:sz w:val="24"/>
          <w:szCs w:val="22"/>
        </w:rPr>
        <w:t xml:space="preserve"> </w:t>
      </w:r>
    </w:p>
    <w:p w14:paraId="59B13586" w14:textId="4ADA0D4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6</w:t>
      </w:r>
      <w:r w:rsidRPr="002919FA">
        <w:rPr>
          <w:rFonts w:hint="eastAsia"/>
          <w:sz w:val="24"/>
          <w:szCs w:val="22"/>
        </w:rPr>
        <w:t>、自本承诺出具日至公司本次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2919FA">
        <w:rPr>
          <w:rFonts w:hint="eastAsia"/>
          <w:sz w:val="24"/>
          <w:szCs w:val="22"/>
        </w:rPr>
        <w:t>实施完毕前，若中国证券监督管理委员会和深圳证券交易所等证券监管机构作出关于填补回报措施及其承诺的其他新的监管规定的，且上述承诺不能满足该等规定时，本人承诺届时将按照中国证券监督管理委员会和深圳证券交易所等证券监管机构的最新规定出具补充承诺。</w:t>
      </w:r>
    </w:p>
    <w:p w14:paraId="51C0BFF5" w14:textId="7E5F44DF" w:rsidR="004C71D1" w:rsidRDefault="002919FA" w:rsidP="002919FA">
      <w:pPr>
        <w:spacing w:beforeLines="50" w:before="156" w:afterLines="50" w:after="156" w:line="360" w:lineRule="auto"/>
        <w:ind w:firstLineChars="200" w:firstLine="480"/>
        <w:rPr>
          <w:sz w:val="24"/>
          <w:szCs w:val="22"/>
        </w:rPr>
      </w:pPr>
      <w:r w:rsidRPr="002919FA">
        <w:rPr>
          <w:rFonts w:hint="eastAsia"/>
          <w:sz w:val="24"/>
          <w:szCs w:val="22"/>
        </w:rPr>
        <w:t>作为填补回报措施相关责任主体之一，若违反上述承诺或拒不履行上述承诺，本人同意接受中国证券监督管理委员会和深圳证券交易所等证券监管机构按照其制定或发布的有关规定、规则，对本人作出相关处罚或采取相关管理措施。”</w:t>
      </w:r>
    </w:p>
    <w:p w14:paraId="6A90F2DE" w14:textId="2A3C441F" w:rsidR="004C71D1" w:rsidRPr="002919FA" w:rsidRDefault="002919FA" w:rsidP="002919FA">
      <w:pPr>
        <w:spacing w:beforeLines="50" w:before="156" w:line="360" w:lineRule="auto"/>
        <w:ind w:firstLineChars="200" w:firstLine="482"/>
        <w:rPr>
          <w:b/>
          <w:sz w:val="24"/>
          <w:szCs w:val="22"/>
        </w:rPr>
      </w:pPr>
      <w:r w:rsidRPr="002919FA">
        <w:rPr>
          <w:rFonts w:hint="eastAsia"/>
          <w:b/>
          <w:sz w:val="24"/>
          <w:szCs w:val="22"/>
        </w:rPr>
        <w:t>2</w:t>
      </w:r>
      <w:r w:rsidRPr="002919FA">
        <w:rPr>
          <w:rFonts w:hint="eastAsia"/>
          <w:b/>
          <w:sz w:val="24"/>
          <w:szCs w:val="22"/>
        </w:rPr>
        <w:t>、公司的控股股东、实际控制人对公司本次</w:t>
      </w:r>
      <w:r w:rsidR="003A35FD">
        <w:rPr>
          <w:rFonts w:hint="eastAsia"/>
          <w:b/>
          <w:sz w:val="24"/>
          <w:szCs w:val="22"/>
        </w:rPr>
        <w:t>向特定对象发行</w:t>
      </w:r>
      <w:r w:rsidR="003A35FD">
        <w:rPr>
          <w:rFonts w:hint="eastAsia"/>
          <w:b/>
          <w:sz w:val="24"/>
          <w:szCs w:val="22"/>
        </w:rPr>
        <w:t>A</w:t>
      </w:r>
      <w:r w:rsidR="003A35FD">
        <w:rPr>
          <w:rFonts w:hint="eastAsia"/>
          <w:b/>
          <w:sz w:val="24"/>
          <w:szCs w:val="22"/>
        </w:rPr>
        <w:t>股股票</w:t>
      </w:r>
      <w:r w:rsidRPr="002919FA">
        <w:rPr>
          <w:rFonts w:hint="eastAsia"/>
          <w:b/>
          <w:sz w:val="24"/>
          <w:szCs w:val="22"/>
        </w:rPr>
        <w:t>摊薄即期回报采取填补措施的承诺</w:t>
      </w:r>
    </w:p>
    <w:p w14:paraId="00020DB0" w14:textId="75586832"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为确保公司填补回报措施能够得到切实履行，公司控股股东福建奥华集团有限公司，实际控制人李国平先生、叶理青女士、李国栋先生承诺：</w:t>
      </w:r>
    </w:p>
    <w:p w14:paraId="69D3D76D" w14:textId="5BA24877"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w:t>
      </w:r>
      <w:r w:rsidRPr="002919FA">
        <w:rPr>
          <w:rFonts w:hint="eastAsia"/>
          <w:sz w:val="24"/>
          <w:szCs w:val="22"/>
        </w:rPr>
        <w:t>1</w:t>
      </w:r>
      <w:r w:rsidRPr="002919FA">
        <w:rPr>
          <w:rFonts w:hint="eastAsia"/>
          <w:sz w:val="24"/>
          <w:szCs w:val="22"/>
        </w:rPr>
        <w:t>、依照相关法律、法规及公司章程的有关规定行使股东权利，本人</w:t>
      </w:r>
      <w:r w:rsidRPr="002919FA">
        <w:rPr>
          <w:rFonts w:hint="eastAsia"/>
          <w:sz w:val="24"/>
          <w:szCs w:val="22"/>
        </w:rPr>
        <w:t>/</w:t>
      </w:r>
      <w:r w:rsidRPr="002919FA">
        <w:rPr>
          <w:rFonts w:hint="eastAsia"/>
          <w:sz w:val="24"/>
          <w:szCs w:val="22"/>
        </w:rPr>
        <w:t>本企业承诺不越权干预公司经营管理活动，不侵占公司利益。</w:t>
      </w:r>
    </w:p>
    <w:p w14:paraId="7EFC5D2B" w14:textId="7BC2D245"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2</w:t>
      </w:r>
      <w:r w:rsidRPr="002919FA">
        <w:rPr>
          <w:rFonts w:hint="eastAsia"/>
          <w:sz w:val="24"/>
          <w:szCs w:val="22"/>
        </w:rPr>
        <w:t>、本人</w:t>
      </w:r>
      <w:r w:rsidRPr="002919FA">
        <w:rPr>
          <w:rFonts w:hint="eastAsia"/>
          <w:sz w:val="24"/>
          <w:szCs w:val="22"/>
        </w:rPr>
        <w:t>/</w:t>
      </w:r>
      <w:r w:rsidRPr="002919FA">
        <w:rPr>
          <w:rFonts w:hint="eastAsia"/>
          <w:sz w:val="24"/>
          <w:szCs w:val="22"/>
        </w:rPr>
        <w:t>本企业承诺切实履行公司制定的有关填补回报的相关措施以及本人</w:t>
      </w:r>
      <w:r w:rsidRPr="002919FA">
        <w:rPr>
          <w:rFonts w:hint="eastAsia"/>
          <w:sz w:val="24"/>
          <w:szCs w:val="22"/>
        </w:rPr>
        <w:t>/</w:t>
      </w:r>
      <w:r w:rsidRPr="002919FA">
        <w:rPr>
          <w:rFonts w:hint="eastAsia"/>
          <w:sz w:val="24"/>
          <w:szCs w:val="22"/>
        </w:rPr>
        <w:t>本企业对此作出的任何有关填补回报措施的承诺，若本人</w:t>
      </w:r>
      <w:r w:rsidRPr="002919FA">
        <w:rPr>
          <w:rFonts w:hint="eastAsia"/>
          <w:sz w:val="24"/>
          <w:szCs w:val="22"/>
        </w:rPr>
        <w:t>/</w:t>
      </w:r>
      <w:r w:rsidRPr="002919FA">
        <w:rPr>
          <w:rFonts w:hint="eastAsia"/>
          <w:sz w:val="24"/>
          <w:szCs w:val="22"/>
        </w:rPr>
        <w:t>本企业违反该等承诺并给公司或者投资者造成损失的，本人</w:t>
      </w:r>
      <w:r w:rsidRPr="002919FA">
        <w:rPr>
          <w:rFonts w:hint="eastAsia"/>
          <w:sz w:val="24"/>
          <w:szCs w:val="22"/>
        </w:rPr>
        <w:t>/</w:t>
      </w:r>
      <w:r w:rsidRPr="002919FA">
        <w:rPr>
          <w:rFonts w:hint="eastAsia"/>
          <w:sz w:val="24"/>
          <w:szCs w:val="22"/>
        </w:rPr>
        <w:t>本企业愿意依法承担对公司或者投资者的补偿责任。</w:t>
      </w:r>
    </w:p>
    <w:p w14:paraId="328F29E4" w14:textId="650E1F3E" w:rsidR="002919FA" w:rsidRPr="002919FA" w:rsidRDefault="002919FA" w:rsidP="002919FA">
      <w:pPr>
        <w:spacing w:beforeLines="50" w:before="156" w:line="360" w:lineRule="auto"/>
        <w:ind w:firstLineChars="200" w:firstLine="480"/>
        <w:rPr>
          <w:sz w:val="24"/>
          <w:szCs w:val="22"/>
        </w:rPr>
      </w:pPr>
      <w:r w:rsidRPr="002919FA">
        <w:rPr>
          <w:rFonts w:hint="eastAsia"/>
          <w:sz w:val="24"/>
          <w:szCs w:val="22"/>
        </w:rPr>
        <w:t>3</w:t>
      </w:r>
      <w:r w:rsidRPr="002919FA">
        <w:rPr>
          <w:rFonts w:hint="eastAsia"/>
          <w:sz w:val="24"/>
          <w:szCs w:val="22"/>
        </w:rPr>
        <w:t>、自本承诺出具日至公司本次</w:t>
      </w:r>
      <w:r w:rsidR="003A35FD">
        <w:rPr>
          <w:rFonts w:hint="eastAsia"/>
          <w:sz w:val="24"/>
          <w:szCs w:val="22"/>
        </w:rPr>
        <w:t>向特定对象发行</w:t>
      </w:r>
      <w:r w:rsidR="003A35FD">
        <w:rPr>
          <w:rFonts w:hint="eastAsia"/>
          <w:sz w:val="24"/>
          <w:szCs w:val="22"/>
        </w:rPr>
        <w:t>A</w:t>
      </w:r>
      <w:r w:rsidR="003A35FD">
        <w:rPr>
          <w:rFonts w:hint="eastAsia"/>
          <w:sz w:val="24"/>
          <w:szCs w:val="22"/>
        </w:rPr>
        <w:t>股股票</w:t>
      </w:r>
      <w:r w:rsidRPr="002919FA">
        <w:rPr>
          <w:rFonts w:hint="eastAsia"/>
          <w:sz w:val="24"/>
          <w:szCs w:val="22"/>
        </w:rPr>
        <w:t>实施完毕前，若中国证券监督管理委员会和深圳证券交易所等证券监管机构作出关于填补回报措施及其承诺的其他新的监管规定的，且上述承诺不能满足该等规定时，本人</w:t>
      </w:r>
      <w:r w:rsidRPr="002919FA">
        <w:rPr>
          <w:rFonts w:hint="eastAsia"/>
          <w:sz w:val="24"/>
          <w:szCs w:val="22"/>
        </w:rPr>
        <w:t>/</w:t>
      </w:r>
      <w:r w:rsidRPr="002919FA">
        <w:rPr>
          <w:rFonts w:hint="eastAsia"/>
          <w:sz w:val="24"/>
          <w:szCs w:val="22"/>
        </w:rPr>
        <w:t>本企业承诺届时将按照中国证券监督管理委员会和深圳证券交易所等证券监管机构的最新规定出具补充承诺。</w:t>
      </w:r>
      <w:r w:rsidRPr="002919FA">
        <w:rPr>
          <w:rFonts w:hint="eastAsia"/>
          <w:sz w:val="24"/>
          <w:szCs w:val="22"/>
        </w:rPr>
        <w:t xml:space="preserve"> </w:t>
      </w:r>
    </w:p>
    <w:p w14:paraId="603EEE30" w14:textId="3946DFA1" w:rsidR="004C71D1" w:rsidRDefault="002919FA" w:rsidP="002919FA">
      <w:pPr>
        <w:spacing w:beforeLines="50" w:before="156" w:line="360" w:lineRule="auto"/>
        <w:ind w:firstLineChars="200" w:firstLine="480"/>
        <w:rPr>
          <w:sz w:val="24"/>
          <w:szCs w:val="22"/>
        </w:rPr>
      </w:pPr>
      <w:r w:rsidRPr="002919FA">
        <w:rPr>
          <w:rFonts w:hint="eastAsia"/>
          <w:sz w:val="24"/>
          <w:szCs w:val="22"/>
        </w:rPr>
        <w:lastRenderedPageBreak/>
        <w:t>作为填补回报措施相关责任主体之一，若违反上述承诺或拒不履行上述承诺，本人</w:t>
      </w:r>
      <w:r w:rsidRPr="002919FA">
        <w:rPr>
          <w:rFonts w:hint="eastAsia"/>
          <w:sz w:val="24"/>
          <w:szCs w:val="22"/>
        </w:rPr>
        <w:t>/</w:t>
      </w:r>
      <w:r w:rsidRPr="002919FA">
        <w:rPr>
          <w:rFonts w:hint="eastAsia"/>
          <w:sz w:val="24"/>
          <w:szCs w:val="22"/>
        </w:rPr>
        <w:t>本企业同意接受中国证券监督管理委员会和深圳证券交易所等证券监管机构按照其制定或发布的有关规定、规则，对本人</w:t>
      </w:r>
      <w:r w:rsidRPr="002919FA">
        <w:rPr>
          <w:rFonts w:hint="eastAsia"/>
          <w:sz w:val="24"/>
          <w:szCs w:val="22"/>
        </w:rPr>
        <w:t>/</w:t>
      </w:r>
      <w:r w:rsidRPr="002919FA">
        <w:rPr>
          <w:rFonts w:hint="eastAsia"/>
          <w:sz w:val="24"/>
          <w:szCs w:val="22"/>
        </w:rPr>
        <w:t>本企业作出相关处罚或采取相关管理措施。”</w:t>
      </w:r>
    </w:p>
    <w:p w14:paraId="69449654" w14:textId="77777777" w:rsidR="004C71D1" w:rsidRDefault="00966BCB">
      <w:pPr>
        <w:keepNext/>
        <w:spacing w:beforeLines="50" w:before="156" w:line="360" w:lineRule="auto"/>
        <w:outlineLvl w:val="1"/>
        <w:rPr>
          <w:b/>
          <w:snapToGrid w:val="0"/>
          <w:sz w:val="28"/>
          <w:szCs w:val="28"/>
        </w:rPr>
      </w:pPr>
      <w:r>
        <w:rPr>
          <w:rFonts w:hint="eastAsia"/>
          <w:b/>
          <w:snapToGrid w:val="0"/>
          <w:sz w:val="28"/>
          <w:szCs w:val="28"/>
        </w:rPr>
        <w:t>八</w:t>
      </w:r>
      <w:r>
        <w:rPr>
          <w:b/>
          <w:snapToGrid w:val="0"/>
          <w:sz w:val="28"/>
          <w:szCs w:val="28"/>
        </w:rPr>
        <w:t>、结论</w:t>
      </w:r>
    </w:p>
    <w:p w14:paraId="07480E21" w14:textId="69D18063" w:rsidR="004C71D1" w:rsidRDefault="00966BCB">
      <w:pPr>
        <w:spacing w:beforeLines="50" w:before="156" w:line="360" w:lineRule="auto"/>
        <w:ind w:firstLineChars="200" w:firstLine="480"/>
        <w:rPr>
          <w:sz w:val="24"/>
          <w:szCs w:val="22"/>
        </w:rPr>
      </w:pPr>
      <w:r>
        <w:rPr>
          <w:sz w:val="24"/>
          <w:szCs w:val="22"/>
        </w:rPr>
        <w:t>综上所述，公司本次</w:t>
      </w:r>
      <w:r w:rsidR="003A35FD">
        <w:rPr>
          <w:sz w:val="24"/>
          <w:szCs w:val="22"/>
        </w:rPr>
        <w:t>向特定对象发行</w:t>
      </w:r>
      <w:r w:rsidR="003A35FD">
        <w:rPr>
          <w:sz w:val="24"/>
          <w:szCs w:val="22"/>
        </w:rPr>
        <w:t>A</w:t>
      </w:r>
      <w:r w:rsidR="003A35FD">
        <w:rPr>
          <w:sz w:val="24"/>
          <w:szCs w:val="22"/>
        </w:rPr>
        <w:t>股股票</w:t>
      </w:r>
      <w:r>
        <w:rPr>
          <w:sz w:val="24"/>
          <w:szCs w:val="22"/>
        </w:rPr>
        <w:t>具备必要性与可行性，本次发行股票方案公平、合理，符合相关法律法规的要求，符合公司发展战略，符合公司及全体股东利益。</w:t>
      </w:r>
    </w:p>
    <w:p w14:paraId="6A899934" w14:textId="4AE1A418" w:rsidR="00F552A7" w:rsidRDefault="00F12C45">
      <w:pPr>
        <w:spacing w:beforeLines="50" w:before="156" w:line="360" w:lineRule="auto"/>
        <w:ind w:firstLineChars="200" w:firstLine="480"/>
        <w:rPr>
          <w:sz w:val="24"/>
          <w:szCs w:val="22"/>
        </w:rPr>
      </w:pPr>
      <w:r w:rsidRPr="00F12C45">
        <w:rPr>
          <w:rFonts w:hint="eastAsia"/>
          <w:sz w:val="24"/>
          <w:szCs w:val="22"/>
        </w:rPr>
        <w:t>（本页以下无正文）</w:t>
      </w:r>
    </w:p>
    <w:p w14:paraId="4D61019D" w14:textId="77777777" w:rsidR="00F552A7" w:rsidRDefault="00F552A7">
      <w:pPr>
        <w:widowControl/>
        <w:jc w:val="left"/>
        <w:rPr>
          <w:sz w:val="24"/>
          <w:szCs w:val="22"/>
        </w:rPr>
      </w:pPr>
      <w:r>
        <w:rPr>
          <w:sz w:val="24"/>
          <w:szCs w:val="22"/>
        </w:rPr>
        <w:br w:type="page"/>
      </w:r>
    </w:p>
    <w:p w14:paraId="376C2559" w14:textId="2D451EF5" w:rsidR="00F12C45" w:rsidRDefault="00F552A7" w:rsidP="00F552A7">
      <w:pPr>
        <w:spacing w:beforeLines="50" w:before="156" w:line="360" w:lineRule="auto"/>
        <w:rPr>
          <w:sz w:val="24"/>
          <w:szCs w:val="22"/>
        </w:rPr>
      </w:pPr>
      <w:r w:rsidRPr="00F552A7">
        <w:rPr>
          <w:rFonts w:hint="eastAsia"/>
          <w:sz w:val="24"/>
          <w:szCs w:val="22"/>
        </w:rPr>
        <w:lastRenderedPageBreak/>
        <w:t>（本页无正文，为《</w:t>
      </w:r>
      <w:r>
        <w:rPr>
          <w:rFonts w:hint="eastAsia"/>
          <w:sz w:val="24"/>
          <w:szCs w:val="22"/>
        </w:rPr>
        <w:t>福建广生堂药业</w:t>
      </w:r>
      <w:r w:rsidRPr="00F552A7">
        <w:rPr>
          <w:rFonts w:hint="eastAsia"/>
          <w:sz w:val="24"/>
          <w:szCs w:val="22"/>
        </w:rPr>
        <w:t>股份有限公司关于</w:t>
      </w:r>
      <w:r w:rsidRPr="00F552A7">
        <w:rPr>
          <w:rFonts w:hint="eastAsia"/>
          <w:sz w:val="24"/>
          <w:szCs w:val="22"/>
        </w:rPr>
        <w:t>2025</w:t>
      </w:r>
      <w:r w:rsidRPr="00F552A7">
        <w:rPr>
          <w:rFonts w:hint="eastAsia"/>
          <w:sz w:val="24"/>
          <w:szCs w:val="22"/>
        </w:rPr>
        <w:t>年度向特定对象发行</w:t>
      </w:r>
      <w:r w:rsidRPr="00F552A7">
        <w:rPr>
          <w:rFonts w:hint="eastAsia"/>
          <w:sz w:val="24"/>
          <w:szCs w:val="22"/>
        </w:rPr>
        <w:t>A</w:t>
      </w:r>
      <w:r w:rsidRPr="00F552A7">
        <w:rPr>
          <w:rFonts w:hint="eastAsia"/>
          <w:sz w:val="24"/>
          <w:szCs w:val="22"/>
        </w:rPr>
        <w:t>股股票方案的论证分析报告》之签章页）</w:t>
      </w:r>
    </w:p>
    <w:p w14:paraId="4BDDBF5E" w14:textId="77777777" w:rsidR="00F552A7" w:rsidRDefault="00F552A7" w:rsidP="00F552A7">
      <w:pPr>
        <w:spacing w:beforeLines="50" w:before="156" w:line="360" w:lineRule="auto"/>
        <w:rPr>
          <w:sz w:val="24"/>
          <w:szCs w:val="22"/>
        </w:rPr>
      </w:pPr>
    </w:p>
    <w:p w14:paraId="3E81C3D4" w14:textId="77777777" w:rsidR="00F552A7" w:rsidRDefault="00F552A7" w:rsidP="00F552A7">
      <w:pPr>
        <w:spacing w:beforeLines="50" w:before="156" w:line="360" w:lineRule="auto"/>
        <w:rPr>
          <w:sz w:val="24"/>
          <w:szCs w:val="22"/>
        </w:rPr>
      </w:pPr>
    </w:p>
    <w:p w14:paraId="77684776" w14:textId="77777777" w:rsidR="00F552A7" w:rsidRDefault="00F552A7" w:rsidP="00F552A7">
      <w:pPr>
        <w:spacing w:beforeLines="50" w:before="156" w:line="360" w:lineRule="auto"/>
        <w:rPr>
          <w:sz w:val="24"/>
          <w:szCs w:val="22"/>
        </w:rPr>
      </w:pPr>
    </w:p>
    <w:p w14:paraId="3799CBCF" w14:textId="77777777" w:rsidR="00F552A7" w:rsidRDefault="00F552A7" w:rsidP="00F552A7">
      <w:pPr>
        <w:spacing w:beforeLines="50" w:before="156" w:line="360" w:lineRule="auto"/>
        <w:rPr>
          <w:sz w:val="24"/>
          <w:szCs w:val="22"/>
        </w:rPr>
      </w:pPr>
    </w:p>
    <w:p w14:paraId="24503BF6" w14:textId="77777777" w:rsidR="00F552A7" w:rsidRDefault="00F552A7" w:rsidP="00F552A7">
      <w:pPr>
        <w:spacing w:beforeLines="50" w:before="156" w:line="360" w:lineRule="auto"/>
        <w:rPr>
          <w:sz w:val="24"/>
          <w:szCs w:val="22"/>
        </w:rPr>
      </w:pPr>
    </w:p>
    <w:p w14:paraId="33D9C344" w14:textId="6E20A3B5" w:rsidR="00F552A7" w:rsidRDefault="00F552A7" w:rsidP="00D722D5">
      <w:pPr>
        <w:spacing w:beforeLines="50" w:before="156" w:line="360" w:lineRule="auto"/>
        <w:jc w:val="right"/>
        <w:rPr>
          <w:sz w:val="24"/>
          <w:szCs w:val="22"/>
        </w:rPr>
      </w:pPr>
      <w:r>
        <w:rPr>
          <w:rFonts w:hint="eastAsia"/>
          <w:sz w:val="24"/>
          <w:szCs w:val="22"/>
        </w:rPr>
        <w:t>福建广生堂药业股份有限公司董事会</w:t>
      </w:r>
    </w:p>
    <w:p w14:paraId="4E2DED16" w14:textId="1F34C56F" w:rsidR="00F552A7" w:rsidRPr="00F552A7" w:rsidRDefault="00F552A7" w:rsidP="00F552A7">
      <w:pPr>
        <w:spacing w:beforeLines="50" w:before="156" w:line="360" w:lineRule="auto"/>
        <w:jc w:val="right"/>
        <w:rPr>
          <w:sz w:val="24"/>
          <w:szCs w:val="22"/>
        </w:rPr>
      </w:pPr>
      <w:r w:rsidRPr="00B05829">
        <w:rPr>
          <w:sz w:val="24"/>
          <w:szCs w:val="22"/>
        </w:rPr>
        <w:t>2025</w:t>
      </w:r>
      <w:r w:rsidRPr="00B05829">
        <w:rPr>
          <w:rFonts w:hint="eastAsia"/>
          <w:sz w:val="24"/>
          <w:szCs w:val="22"/>
        </w:rPr>
        <w:t>年</w:t>
      </w:r>
      <w:r w:rsidR="003A35FD" w:rsidRPr="00B05829">
        <w:rPr>
          <w:sz w:val="24"/>
          <w:szCs w:val="22"/>
        </w:rPr>
        <w:t>4</w:t>
      </w:r>
      <w:r w:rsidRPr="00B05829">
        <w:rPr>
          <w:rFonts w:hint="eastAsia"/>
          <w:sz w:val="24"/>
          <w:szCs w:val="22"/>
        </w:rPr>
        <w:t>月</w:t>
      </w:r>
      <w:r w:rsidR="00931C5C">
        <w:rPr>
          <w:rFonts w:hint="eastAsia"/>
          <w:sz w:val="24"/>
          <w:szCs w:val="22"/>
        </w:rPr>
        <w:t>2</w:t>
      </w:r>
      <w:r w:rsidRPr="00B05829">
        <w:rPr>
          <w:rFonts w:hint="eastAsia"/>
          <w:sz w:val="24"/>
          <w:szCs w:val="22"/>
        </w:rPr>
        <w:t>日</w:t>
      </w:r>
    </w:p>
    <w:sectPr w:rsidR="00F552A7" w:rsidRPr="00F552A7">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9992" w14:textId="77777777" w:rsidR="00534DB4" w:rsidRDefault="00534DB4">
      <w:r>
        <w:separator/>
      </w:r>
    </w:p>
  </w:endnote>
  <w:endnote w:type="continuationSeparator" w:id="0">
    <w:p w14:paraId="6ED07023" w14:textId="77777777" w:rsidR="00534DB4" w:rsidRDefault="0053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C05A5" w14:textId="77777777" w:rsidR="004C71D1" w:rsidRDefault="00966BCB">
    <w:pPr>
      <w:pStyle w:val="a6"/>
      <w:framePr w:wrap="around" w:vAnchor="text" w:hAnchor="margin" w:xAlign="center" w:y="1"/>
      <w:rPr>
        <w:rStyle w:val="ad"/>
        <w:rFonts w:hint="eastAsia"/>
      </w:rPr>
    </w:pPr>
    <w:r>
      <w:rPr>
        <w:rStyle w:val="ad"/>
      </w:rPr>
      <w:fldChar w:fldCharType="begin"/>
    </w:r>
    <w:r>
      <w:rPr>
        <w:rStyle w:val="ad"/>
      </w:rPr>
      <w:instrText xml:space="preserve">PAGE  </w:instrText>
    </w:r>
    <w:r>
      <w:rPr>
        <w:rStyle w:val="ad"/>
      </w:rPr>
      <w:fldChar w:fldCharType="end"/>
    </w:r>
  </w:p>
  <w:p w14:paraId="437168C0" w14:textId="77777777" w:rsidR="004C71D1" w:rsidRDefault="004C71D1">
    <w:pPr>
      <w:pStyle w:val="a6"/>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421C" w14:textId="77777777" w:rsidR="004C71D1" w:rsidRDefault="004C71D1">
    <w:pPr>
      <w:pStyle w:val="a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AA74" w14:textId="77777777" w:rsidR="004C71D1" w:rsidRPr="00670784" w:rsidRDefault="004C71D1" w:rsidP="00670784">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AEEF" w14:textId="537B9695" w:rsidR="004C71D1" w:rsidRDefault="00000000">
    <w:pPr>
      <w:pStyle w:val="a6"/>
      <w:jc w:val="center"/>
      <w:rPr>
        <w:rFonts w:hint="eastAsia"/>
      </w:rPr>
    </w:pPr>
    <w:sdt>
      <w:sdtPr>
        <w:rPr>
          <w:rFonts w:ascii="Times New Roman" w:hAnsi="Times New Roman" w:cs="Times New Roman"/>
        </w:rPr>
        <w:id w:val="-1361974203"/>
      </w:sdtPr>
      <w:sdtContent>
        <w:r w:rsidR="00966BCB">
          <w:rPr>
            <w:rFonts w:ascii="Times New Roman" w:hAnsi="Times New Roman" w:cs="Times New Roman"/>
          </w:rPr>
          <w:fldChar w:fldCharType="begin"/>
        </w:r>
        <w:r w:rsidR="00966BCB">
          <w:rPr>
            <w:rFonts w:ascii="Times New Roman" w:hAnsi="Times New Roman" w:cs="Times New Roman"/>
          </w:rPr>
          <w:instrText>PAGE   \* MERGEFORMAT</w:instrText>
        </w:r>
        <w:r w:rsidR="00966BCB">
          <w:rPr>
            <w:rFonts w:ascii="Times New Roman" w:hAnsi="Times New Roman" w:cs="Times New Roman"/>
          </w:rPr>
          <w:fldChar w:fldCharType="separate"/>
        </w:r>
        <w:r w:rsidR="002C699D" w:rsidRPr="002C699D">
          <w:rPr>
            <w:rFonts w:ascii="Times New Roman" w:hAnsi="Times New Roman" w:cs="Times New Roman"/>
            <w:noProof/>
            <w:lang w:val="zh-CN"/>
          </w:rPr>
          <w:t>1</w:t>
        </w:r>
        <w:r w:rsidR="00966BCB">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71A1" w14:textId="77777777" w:rsidR="00534DB4" w:rsidRDefault="00534DB4">
      <w:r>
        <w:separator/>
      </w:r>
    </w:p>
  </w:footnote>
  <w:footnote w:type="continuationSeparator" w:id="0">
    <w:p w14:paraId="377CB5FA" w14:textId="77777777" w:rsidR="00534DB4" w:rsidRDefault="0053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3058" w14:textId="77777777" w:rsidR="00C57140" w:rsidRDefault="00C571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1585" w14:textId="1375E2B6" w:rsidR="004C71D1" w:rsidRPr="006514C8" w:rsidRDefault="006514C8" w:rsidP="006514C8">
    <w:pPr>
      <w:pStyle w:val="a8"/>
      <w:pBdr>
        <w:bottom w:val="none" w:sz="0" w:space="0" w:color="auto"/>
      </w:pBdr>
      <w:jc w:val="both"/>
    </w:pPr>
    <w:r w:rsidRPr="006514C8">
      <w:rPr>
        <w:rFonts w:hint="eastAsia"/>
        <w:color w:val="000000" w:themeColor="text1"/>
      </w:rPr>
      <w:t>福建广生堂药业股份有限公司</w:t>
    </w:r>
    <w:r w:rsidRPr="006514C8">
      <w:rPr>
        <w:rFonts w:hint="eastAsia"/>
        <w:color w:val="000000" w:themeColor="text1"/>
      </w:rPr>
      <w:t xml:space="preserve">            </w:t>
    </w:r>
    <w:r w:rsidRPr="006514C8">
      <w:rPr>
        <w:rFonts w:hint="eastAsia"/>
        <w:color w:val="000000" w:themeColor="text1"/>
      </w:rPr>
      <w:t>关于</w:t>
    </w:r>
    <w:r w:rsidRPr="006514C8">
      <w:rPr>
        <w:rFonts w:hint="eastAsia"/>
        <w:color w:val="000000" w:themeColor="text1"/>
      </w:rPr>
      <w:t>2025</w:t>
    </w:r>
    <w:r w:rsidRPr="006514C8">
      <w:rPr>
        <w:rFonts w:hint="eastAsia"/>
        <w:color w:val="000000" w:themeColor="text1"/>
      </w:rPr>
      <w:t>年度向特定对象发行</w:t>
    </w:r>
    <w:r w:rsidRPr="006514C8">
      <w:rPr>
        <w:rFonts w:hint="eastAsia"/>
        <w:color w:val="000000" w:themeColor="text1"/>
      </w:rPr>
      <w:t>A</w:t>
    </w:r>
    <w:r w:rsidRPr="006514C8">
      <w:rPr>
        <w:rFonts w:hint="eastAsia"/>
        <w:color w:val="000000" w:themeColor="text1"/>
      </w:rPr>
      <w:t>股股票方案的论证分析报告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AFDB" w14:textId="77777777" w:rsidR="004C71D1" w:rsidRDefault="004C71D1">
    <w:pPr>
      <w:pStyle w:val="a8"/>
      <w:pBdr>
        <w:bottom w:val="none" w:sz="0" w:space="0" w:color="auto"/>
      </w:pBdr>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E2CC6"/>
    <w:multiLevelType w:val="multilevel"/>
    <w:tmpl w:val="211E2CC6"/>
    <w:lvl w:ilvl="0">
      <w:start w:val="1"/>
      <w:numFmt w:val="chineseCountingThousand"/>
      <w:pStyle w:val="1"/>
      <w:suff w:val="space"/>
      <w:lvlText w:val="第%1节"/>
      <w:lvlJc w:val="left"/>
      <w:pPr>
        <w:ind w:left="0" w:firstLine="0"/>
      </w:pPr>
      <w:rPr>
        <w:rFonts w:ascii="Times New Roman" w:eastAsia="黑体" w:hAnsi="Times New Roman" w:hint="default"/>
        <w:b w:val="0"/>
        <w:i w:val="0"/>
        <w:sz w:val="32"/>
      </w:rPr>
    </w:lvl>
    <w:lvl w:ilvl="1">
      <w:start w:val="1"/>
      <w:numFmt w:val="chineseCountingThousand"/>
      <w:pStyle w:val="2"/>
      <w:suff w:val="nothing"/>
      <w:lvlText w:val="%2、"/>
      <w:lvlJc w:val="left"/>
      <w:pPr>
        <w:ind w:left="0" w:firstLine="0"/>
      </w:pPr>
      <w:rPr>
        <w:rFonts w:ascii="Times New Roman" w:eastAsia="黑体" w:hAnsi="Times New Roman" w:hint="default"/>
        <w:b w:val="0"/>
        <w:i w:val="0"/>
        <w:sz w:val="28"/>
      </w:rPr>
    </w:lvl>
    <w:lvl w:ilvl="2">
      <w:start w:val="1"/>
      <w:numFmt w:val="chineseCountingThousand"/>
      <w:pStyle w:val="3"/>
      <w:suff w:val="nothing"/>
      <w:lvlText w:val="（%3）"/>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suff w:val="nothing"/>
      <w:lvlText w:val="%4、"/>
      <w:lvlJc w:val="left"/>
      <w:pPr>
        <w:ind w:left="568" w:firstLine="0"/>
      </w:pPr>
      <w:rPr>
        <w:rFonts w:ascii="Times New Roman" w:eastAsia="宋体" w:hAnsi="Times New Roman" w:hint="default"/>
        <w:b/>
        <w:i w:val="0"/>
        <w:sz w:val="24"/>
      </w:rPr>
    </w:lvl>
    <w:lvl w:ilvl="4">
      <w:start w:val="1"/>
      <w:numFmt w:val="decimal"/>
      <w:pStyle w:val="5"/>
      <w:suff w:val="nothing"/>
      <w:lvlText w:val="（%5）"/>
      <w:lvlJc w:val="left"/>
      <w:pPr>
        <w:ind w:left="852" w:firstLine="0"/>
      </w:pPr>
      <w:rPr>
        <w:rFonts w:ascii="Times New Roman" w:eastAsia="宋体"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suff w:val="nothing"/>
      <w:lvlText w:val="%6）"/>
      <w:lvlJc w:val="left"/>
      <w:pPr>
        <w:ind w:left="0" w:firstLine="0"/>
      </w:pPr>
      <w:rPr>
        <w:rFonts w:ascii="Times New Roman" w:eastAsia="宋体" w:hAnsi="Times New Roman" w:hint="default"/>
        <w:b w:val="0"/>
        <w:i w:val="0"/>
        <w:sz w:val="24"/>
        <w:u w:val="none"/>
      </w:rPr>
    </w:lvl>
    <w:lvl w:ilvl="6">
      <w:start w:val="1"/>
      <w:numFmt w:val="decimalEnclosedCircle"/>
      <w:pStyle w:val="7"/>
      <w:lvlText w:val="%7"/>
      <w:lvlJc w:val="left"/>
      <w:pPr>
        <w:ind w:left="0" w:firstLine="0"/>
      </w:pPr>
      <w:rPr>
        <w:rFonts w:ascii="Times New Roman" w:eastAsia="宋体" w:hAnsi="Times New Roman" w:hint="default"/>
        <w:b w:val="0"/>
        <w:i w:val="0"/>
        <w:sz w:val="24"/>
        <w:lang w:val="en-US"/>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33360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2ZWIyNTliNDI0ZWQxMTJlMTA0YzJiYjFkMGY2OTAifQ=="/>
  </w:docVars>
  <w:rsids>
    <w:rsidRoot w:val="00E500D2"/>
    <w:rsid w:val="00003058"/>
    <w:rsid w:val="00003434"/>
    <w:rsid w:val="00004A16"/>
    <w:rsid w:val="0003666D"/>
    <w:rsid w:val="00036A70"/>
    <w:rsid w:val="00087737"/>
    <w:rsid w:val="000D5C86"/>
    <w:rsid w:val="000E054C"/>
    <w:rsid w:val="00152DC2"/>
    <w:rsid w:val="00154DA1"/>
    <w:rsid w:val="001A493A"/>
    <w:rsid w:val="001B3EC6"/>
    <w:rsid w:val="001D6C66"/>
    <w:rsid w:val="00206594"/>
    <w:rsid w:val="00216236"/>
    <w:rsid w:val="00221BF8"/>
    <w:rsid w:val="002346EC"/>
    <w:rsid w:val="002450FB"/>
    <w:rsid w:val="00245558"/>
    <w:rsid w:val="002919FA"/>
    <w:rsid w:val="002947C5"/>
    <w:rsid w:val="002A7AC2"/>
    <w:rsid w:val="002C634F"/>
    <w:rsid w:val="002C699D"/>
    <w:rsid w:val="002E3357"/>
    <w:rsid w:val="002F02C2"/>
    <w:rsid w:val="002F368E"/>
    <w:rsid w:val="00301862"/>
    <w:rsid w:val="003337B6"/>
    <w:rsid w:val="00335151"/>
    <w:rsid w:val="0035750C"/>
    <w:rsid w:val="003720AB"/>
    <w:rsid w:val="00374753"/>
    <w:rsid w:val="00377B8D"/>
    <w:rsid w:val="00392D5E"/>
    <w:rsid w:val="003A35FD"/>
    <w:rsid w:val="003B191D"/>
    <w:rsid w:val="003C0C9C"/>
    <w:rsid w:val="003D4C29"/>
    <w:rsid w:val="003E2E84"/>
    <w:rsid w:val="003F2CC8"/>
    <w:rsid w:val="0044620A"/>
    <w:rsid w:val="004514FD"/>
    <w:rsid w:val="00453AFD"/>
    <w:rsid w:val="00466A5C"/>
    <w:rsid w:val="004829F4"/>
    <w:rsid w:val="004954C2"/>
    <w:rsid w:val="004A09A3"/>
    <w:rsid w:val="004B1074"/>
    <w:rsid w:val="004C71D1"/>
    <w:rsid w:val="004E4E03"/>
    <w:rsid w:val="004F69C0"/>
    <w:rsid w:val="005072C8"/>
    <w:rsid w:val="00525BD9"/>
    <w:rsid w:val="00534DB4"/>
    <w:rsid w:val="00544A11"/>
    <w:rsid w:val="00545C79"/>
    <w:rsid w:val="00556977"/>
    <w:rsid w:val="005605F8"/>
    <w:rsid w:val="00564ADF"/>
    <w:rsid w:val="00582C9C"/>
    <w:rsid w:val="005C2FF7"/>
    <w:rsid w:val="005C679A"/>
    <w:rsid w:val="005D2E0D"/>
    <w:rsid w:val="005E74AF"/>
    <w:rsid w:val="00604E32"/>
    <w:rsid w:val="0061258F"/>
    <w:rsid w:val="00614719"/>
    <w:rsid w:val="00616DD8"/>
    <w:rsid w:val="006223E4"/>
    <w:rsid w:val="00642CF1"/>
    <w:rsid w:val="006509A1"/>
    <w:rsid w:val="006514C8"/>
    <w:rsid w:val="0066151B"/>
    <w:rsid w:val="00670784"/>
    <w:rsid w:val="00685B7C"/>
    <w:rsid w:val="006A20F4"/>
    <w:rsid w:val="006E3979"/>
    <w:rsid w:val="006F3C66"/>
    <w:rsid w:val="007126A9"/>
    <w:rsid w:val="00734BE6"/>
    <w:rsid w:val="007559C7"/>
    <w:rsid w:val="0076144B"/>
    <w:rsid w:val="007650DC"/>
    <w:rsid w:val="00776135"/>
    <w:rsid w:val="00786721"/>
    <w:rsid w:val="00797315"/>
    <w:rsid w:val="007D5167"/>
    <w:rsid w:val="007E1548"/>
    <w:rsid w:val="007F2C83"/>
    <w:rsid w:val="007F429E"/>
    <w:rsid w:val="007F7C12"/>
    <w:rsid w:val="00806178"/>
    <w:rsid w:val="008075BA"/>
    <w:rsid w:val="00823443"/>
    <w:rsid w:val="00824BAC"/>
    <w:rsid w:val="008260CF"/>
    <w:rsid w:val="008340B2"/>
    <w:rsid w:val="00844337"/>
    <w:rsid w:val="008617C7"/>
    <w:rsid w:val="00871E78"/>
    <w:rsid w:val="0088215C"/>
    <w:rsid w:val="00892892"/>
    <w:rsid w:val="008A6D6F"/>
    <w:rsid w:val="008E4294"/>
    <w:rsid w:val="008F3452"/>
    <w:rsid w:val="009152B6"/>
    <w:rsid w:val="00931C5C"/>
    <w:rsid w:val="00934D41"/>
    <w:rsid w:val="00936CFA"/>
    <w:rsid w:val="00942573"/>
    <w:rsid w:val="00966BCB"/>
    <w:rsid w:val="009B5B0F"/>
    <w:rsid w:val="009B6889"/>
    <w:rsid w:val="009E2D93"/>
    <w:rsid w:val="00A0229E"/>
    <w:rsid w:val="00A21B70"/>
    <w:rsid w:val="00A3142C"/>
    <w:rsid w:val="00A36504"/>
    <w:rsid w:val="00A8509F"/>
    <w:rsid w:val="00A9587F"/>
    <w:rsid w:val="00AA48AB"/>
    <w:rsid w:val="00AB2979"/>
    <w:rsid w:val="00AB463F"/>
    <w:rsid w:val="00AC5921"/>
    <w:rsid w:val="00AC7233"/>
    <w:rsid w:val="00AD0821"/>
    <w:rsid w:val="00B02EB0"/>
    <w:rsid w:val="00B05829"/>
    <w:rsid w:val="00B16710"/>
    <w:rsid w:val="00B45C73"/>
    <w:rsid w:val="00B932A2"/>
    <w:rsid w:val="00BA1217"/>
    <w:rsid w:val="00C028D6"/>
    <w:rsid w:val="00C1198B"/>
    <w:rsid w:val="00C14B3F"/>
    <w:rsid w:val="00C22323"/>
    <w:rsid w:val="00C52ED4"/>
    <w:rsid w:val="00C57140"/>
    <w:rsid w:val="00C93860"/>
    <w:rsid w:val="00C97EBD"/>
    <w:rsid w:val="00CA3124"/>
    <w:rsid w:val="00CA3B71"/>
    <w:rsid w:val="00CB0C13"/>
    <w:rsid w:val="00CC2DB1"/>
    <w:rsid w:val="00CD5AD1"/>
    <w:rsid w:val="00CD5C35"/>
    <w:rsid w:val="00CE2713"/>
    <w:rsid w:val="00D11FAF"/>
    <w:rsid w:val="00D228DD"/>
    <w:rsid w:val="00D24888"/>
    <w:rsid w:val="00D30E2B"/>
    <w:rsid w:val="00D31E6B"/>
    <w:rsid w:val="00D44E06"/>
    <w:rsid w:val="00D5659F"/>
    <w:rsid w:val="00D64E73"/>
    <w:rsid w:val="00D669AE"/>
    <w:rsid w:val="00D722D5"/>
    <w:rsid w:val="00D90722"/>
    <w:rsid w:val="00DA0CEA"/>
    <w:rsid w:val="00DC4DE5"/>
    <w:rsid w:val="00DC4F4A"/>
    <w:rsid w:val="00E07471"/>
    <w:rsid w:val="00E3283D"/>
    <w:rsid w:val="00E339D7"/>
    <w:rsid w:val="00E4537E"/>
    <w:rsid w:val="00E500D2"/>
    <w:rsid w:val="00E5587C"/>
    <w:rsid w:val="00E66F24"/>
    <w:rsid w:val="00E76F48"/>
    <w:rsid w:val="00E80272"/>
    <w:rsid w:val="00EA14F1"/>
    <w:rsid w:val="00EB0BD1"/>
    <w:rsid w:val="00EB5B20"/>
    <w:rsid w:val="00EE0942"/>
    <w:rsid w:val="00EF18C7"/>
    <w:rsid w:val="00F03CE5"/>
    <w:rsid w:val="00F05EF2"/>
    <w:rsid w:val="00F12C45"/>
    <w:rsid w:val="00F1454F"/>
    <w:rsid w:val="00F161B1"/>
    <w:rsid w:val="00F22152"/>
    <w:rsid w:val="00F552A7"/>
    <w:rsid w:val="00F70D41"/>
    <w:rsid w:val="00F8264B"/>
    <w:rsid w:val="00FA36D7"/>
    <w:rsid w:val="00FD666B"/>
    <w:rsid w:val="00FE0D06"/>
    <w:rsid w:val="00FE3A01"/>
    <w:rsid w:val="19CB7674"/>
    <w:rsid w:val="201B5A6E"/>
    <w:rsid w:val="439F7137"/>
    <w:rsid w:val="494E1EDC"/>
    <w:rsid w:val="53C17441"/>
    <w:rsid w:val="5BC74313"/>
    <w:rsid w:val="6779702D"/>
    <w:rsid w:val="7160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907D"/>
  <w15:docId w15:val="{5669AC9D-92DE-42BC-A103-EE9AE1D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next w:val="a0"/>
    <w:link w:val="10"/>
    <w:uiPriority w:val="1"/>
    <w:qFormat/>
    <w:pPr>
      <w:keepNext/>
      <w:keepLines/>
      <w:pageBreakBefore/>
      <w:numPr>
        <w:numId w:val="1"/>
      </w:numPr>
      <w:spacing w:beforeLines="50" w:before="50" w:afterLines="50" w:after="50" w:line="360" w:lineRule="auto"/>
      <w:jc w:val="center"/>
      <w:outlineLvl w:val="0"/>
    </w:pPr>
    <w:rPr>
      <w:rFonts w:ascii="Times New Roman" w:eastAsia="黑体" w:hAnsi="Times New Roman" w:cs="Times New Roman"/>
      <w:bCs/>
      <w:sz w:val="32"/>
      <w:szCs w:val="44"/>
    </w:rPr>
  </w:style>
  <w:style w:type="paragraph" w:styleId="2">
    <w:name w:val="heading 2"/>
    <w:next w:val="a0"/>
    <w:link w:val="20"/>
    <w:uiPriority w:val="1"/>
    <w:qFormat/>
    <w:pPr>
      <w:keepNext/>
      <w:keepLines/>
      <w:numPr>
        <w:ilvl w:val="1"/>
        <w:numId w:val="1"/>
      </w:numPr>
      <w:spacing w:beforeLines="50" w:before="50" w:line="360" w:lineRule="auto"/>
      <w:jc w:val="both"/>
      <w:outlineLvl w:val="1"/>
    </w:pPr>
    <w:rPr>
      <w:rFonts w:ascii="Times New Roman" w:eastAsia="黑体" w:hAnsi="Times New Roman" w:cs="Times New Roman"/>
      <w:bCs/>
      <w:kern w:val="2"/>
      <w:sz w:val="28"/>
      <w:szCs w:val="32"/>
    </w:rPr>
  </w:style>
  <w:style w:type="paragraph" w:styleId="3">
    <w:name w:val="heading 3"/>
    <w:next w:val="a0"/>
    <w:link w:val="30"/>
    <w:uiPriority w:val="9"/>
    <w:qFormat/>
    <w:pPr>
      <w:keepNext/>
      <w:keepLines/>
      <w:numPr>
        <w:ilvl w:val="2"/>
        <w:numId w:val="1"/>
      </w:numPr>
      <w:snapToGrid w:val="0"/>
      <w:spacing w:beforeLines="50" w:before="50" w:line="360" w:lineRule="auto"/>
      <w:jc w:val="both"/>
      <w:outlineLvl w:val="2"/>
    </w:pPr>
    <w:rPr>
      <w:rFonts w:ascii="Times New Roman" w:eastAsia="黑体" w:hAnsi="Times New Roman" w:cs="Times New Roman"/>
      <w:bCs/>
      <w:color w:val="000000"/>
      <w:sz w:val="24"/>
      <w:szCs w:val="24"/>
      <w:lang w:eastAsia="ar-SA"/>
    </w:rPr>
  </w:style>
  <w:style w:type="paragraph" w:styleId="4">
    <w:name w:val="heading 4"/>
    <w:next w:val="a0"/>
    <w:link w:val="40"/>
    <w:uiPriority w:val="1"/>
    <w:qFormat/>
    <w:pPr>
      <w:keepNext/>
      <w:keepLines/>
      <w:numPr>
        <w:ilvl w:val="3"/>
        <w:numId w:val="1"/>
      </w:numPr>
      <w:spacing w:beforeLines="50" w:before="50" w:line="360" w:lineRule="auto"/>
      <w:jc w:val="both"/>
      <w:outlineLvl w:val="3"/>
    </w:pPr>
    <w:rPr>
      <w:rFonts w:ascii="Times New Roman" w:eastAsia="宋体" w:hAnsi="Times New Roman" w:cs="Times New Roman"/>
      <w:b/>
      <w:bCs/>
      <w:kern w:val="2"/>
      <w:sz w:val="24"/>
      <w:szCs w:val="28"/>
    </w:rPr>
  </w:style>
  <w:style w:type="paragraph" w:styleId="5">
    <w:name w:val="heading 5"/>
    <w:next w:val="a0"/>
    <w:link w:val="50"/>
    <w:uiPriority w:val="1"/>
    <w:qFormat/>
    <w:pPr>
      <w:keepNext/>
      <w:keepLines/>
      <w:numPr>
        <w:ilvl w:val="4"/>
        <w:numId w:val="1"/>
      </w:numPr>
      <w:spacing w:beforeLines="50" w:before="50" w:afterLines="50" w:after="50" w:line="360" w:lineRule="auto"/>
      <w:outlineLvl w:val="4"/>
    </w:pPr>
    <w:rPr>
      <w:rFonts w:ascii="Times New Roman" w:eastAsia="宋体" w:hAnsi="Times New Roman" w:cs="Times New Roman"/>
      <w:bCs/>
      <w:kern w:val="2"/>
      <w:sz w:val="24"/>
      <w:szCs w:val="28"/>
    </w:rPr>
  </w:style>
  <w:style w:type="paragraph" w:styleId="6">
    <w:name w:val="heading 6"/>
    <w:next w:val="a0"/>
    <w:link w:val="60"/>
    <w:uiPriority w:val="1"/>
    <w:qFormat/>
    <w:pPr>
      <w:numPr>
        <w:ilvl w:val="5"/>
        <w:numId w:val="1"/>
      </w:numPr>
      <w:spacing w:beforeLines="50" w:before="50" w:afterLines="50" w:after="50" w:line="360" w:lineRule="auto"/>
      <w:jc w:val="both"/>
      <w:outlineLvl w:val="5"/>
    </w:pPr>
    <w:rPr>
      <w:rFonts w:ascii="Times New Roman" w:eastAsia="宋体" w:hAnsi="Times New Roman" w:cs="Times New Roman"/>
      <w:bCs/>
      <w:kern w:val="2"/>
      <w:sz w:val="24"/>
      <w:szCs w:val="24"/>
    </w:rPr>
  </w:style>
  <w:style w:type="paragraph" w:styleId="7">
    <w:name w:val="heading 7"/>
    <w:next w:val="a0"/>
    <w:link w:val="70"/>
    <w:uiPriority w:val="2"/>
    <w:unhideWhenUsed/>
    <w:qFormat/>
    <w:pPr>
      <w:keepNext/>
      <w:keepLines/>
      <w:numPr>
        <w:ilvl w:val="6"/>
        <w:numId w:val="1"/>
      </w:numPr>
      <w:spacing w:beforeLines="50" w:before="50" w:afterLines="50" w:after="50" w:line="360" w:lineRule="auto"/>
      <w:outlineLvl w:val="6"/>
    </w:pPr>
    <w:rPr>
      <w:rFonts w:ascii="Times New Roman" w:eastAsia="宋体" w:hAnsi="Times New Roman" w:cs="Times New Roman"/>
      <w:bCs/>
      <w:kern w:val="2"/>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spacing w:beforeLines="50" w:before="50" w:line="360" w:lineRule="auto"/>
      <w:ind w:firstLineChars="200" w:firstLine="200"/>
      <w:jc w:val="both"/>
    </w:pPr>
    <w:rPr>
      <w:rFonts w:ascii="Times New Roman" w:eastAsia="宋体" w:hAnsi="Times New Roman" w:cs="Times New Roman"/>
      <w:kern w:val="2"/>
      <w:sz w:val="24"/>
      <w:szCs w:val="23"/>
    </w:r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ac"/>
    <w:uiPriority w:val="99"/>
    <w:semiHidden/>
    <w:unhideWhenUsed/>
    <w:qFormat/>
    <w:rPr>
      <w:b/>
      <w:bCs/>
    </w:rPr>
  </w:style>
  <w:style w:type="character" w:styleId="ad">
    <w:name w:val="page number"/>
    <w:basedOn w:val="a1"/>
    <w:qFormat/>
  </w:style>
  <w:style w:type="character" w:styleId="ae">
    <w:name w:val="annotation reference"/>
    <w:basedOn w:val="a1"/>
    <w:uiPriority w:val="99"/>
    <w:semiHidden/>
    <w:unhideWhenUsed/>
    <w:qFormat/>
    <w:rPr>
      <w:sz w:val="21"/>
      <w:szCs w:val="21"/>
    </w:rPr>
  </w:style>
  <w:style w:type="character" w:customStyle="1" w:styleId="10">
    <w:name w:val="标题 1 字符"/>
    <w:basedOn w:val="a1"/>
    <w:link w:val="1"/>
    <w:uiPriority w:val="1"/>
    <w:qFormat/>
    <w:rPr>
      <w:rFonts w:ascii="Times New Roman" w:eastAsia="黑体" w:hAnsi="Times New Roman" w:cs="Times New Roman"/>
      <w:bCs/>
      <w:kern w:val="0"/>
      <w:sz w:val="32"/>
      <w:szCs w:val="44"/>
    </w:rPr>
  </w:style>
  <w:style w:type="character" w:customStyle="1" w:styleId="20">
    <w:name w:val="标题 2 字符"/>
    <w:basedOn w:val="a1"/>
    <w:link w:val="2"/>
    <w:uiPriority w:val="1"/>
    <w:qFormat/>
    <w:rPr>
      <w:rFonts w:ascii="Times New Roman" w:eastAsia="黑体" w:hAnsi="Times New Roman" w:cs="Times New Roman"/>
      <w:bCs/>
      <w:sz w:val="28"/>
      <w:szCs w:val="32"/>
    </w:rPr>
  </w:style>
  <w:style w:type="character" w:customStyle="1" w:styleId="30">
    <w:name w:val="标题 3 字符"/>
    <w:basedOn w:val="a1"/>
    <w:link w:val="3"/>
    <w:uiPriority w:val="9"/>
    <w:qFormat/>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qFormat/>
    <w:rPr>
      <w:rFonts w:ascii="Times New Roman" w:eastAsia="宋体" w:hAnsi="Times New Roman" w:cs="Times New Roman"/>
      <w:b/>
      <w:bCs/>
      <w:sz w:val="24"/>
      <w:szCs w:val="28"/>
    </w:rPr>
  </w:style>
  <w:style w:type="character" w:customStyle="1" w:styleId="50">
    <w:name w:val="标题 5 字符"/>
    <w:basedOn w:val="a1"/>
    <w:link w:val="5"/>
    <w:uiPriority w:val="1"/>
    <w:qFormat/>
    <w:rPr>
      <w:rFonts w:ascii="Times New Roman" w:eastAsia="宋体" w:hAnsi="Times New Roman" w:cs="Times New Roman"/>
      <w:bCs/>
      <w:sz w:val="24"/>
      <w:szCs w:val="28"/>
    </w:rPr>
  </w:style>
  <w:style w:type="character" w:customStyle="1" w:styleId="60">
    <w:name w:val="标题 6 字符"/>
    <w:basedOn w:val="a1"/>
    <w:link w:val="6"/>
    <w:uiPriority w:val="1"/>
    <w:qFormat/>
    <w:rPr>
      <w:rFonts w:ascii="Times New Roman" w:eastAsia="宋体" w:hAnsi="Times New Roman" w:cs="Times New Roman"/>
      <w:bCs/>
      <w:sz w:val="24"/>
      <w:szCs w:val="24"/>
    </w:rPr>
  </w:style>
  <w:style w:type="character" w:customStyle="1" w:styleId="70">
    <w:name w:val="标题 7 字符"/>
    <w:basedOn w:val="a1"/>
    <w:link w:val="7"/>
    <w:uiPriority w:val="2"/>
    <w:qFormat/>
    <w:rPr>
      <w:rFonts w:ascii="Times New Roman" w:eastAsia="宋体" w:hAnsi="Times New Roman" w:cs="Times New Roman"/>
      <w:bCs/>
      <w:sz w:val="24"/>
      <w:szCs w:val="24"/>
    </w:rPr>
  </w:style>
  <w:style w:type="paragraph" w:customStyle="1" w:styleId="af">
    <w:name w:val="表格后说明"/>
    <w:next w:val="a0"/>
    <w:uiPriority w:val="3"/>
    <w:qFormat/>
    <w:pPr>
      <w:jc w:val="both"/>
    </w:pPr>
    <w:rPr>
      <w:rFonts w:ascii="Times New Roman" w:eastAsia="宋体" w:hAnsi="Times New Roman" w:cs="Times New Roman"/>
      <w:kern w:val="2"/>
      <w:sz w:val="21"/>
      <w:szCs w:val="24"/>
    </w:rPr>
  </w:style>
  <w:style w:type="paragraph" w:customStyle="1" w:styleId="af0">
    <w:name w:val="表格前单位"/>
    <w:next w:val="a0"/>
    <w:uiPriority w:val="2"/>
    <w:qFormat/>
    <w:pPr>
      <w:keepNext/>
      <w:jc w:val="right"/>
    </w:pPr>
    <w:rPr>
      <w:rFonts w:ascii="Times New Roman" w:eastAsia="宋体" w:hAnsi="Times New Roman" w:cs="Times New Roman"/>
      <w:kern w:val="2"/>
      <w:sz w:val="21"/>
      <w:szCs w:val="24"/>
    </w:rPr>
  </w:style>
  <w:style w:type="table" w:customStyle="1" w:styleId="af1">
    <w:name w:val="报告表格"/>
    <w:basedOn w:val="a2"/>
    <w:uiPriority w:val="99"/>
    <w:qFormat/>
    <w:rPr>
      <w:rFonts w:ascii="Times New Roman" w:eastAsia="宋体" w:hAnsi="Times New Roman"/>
      <w:sz w:val="18"/>
    </w:rPr>
    <w:tblPr/>
  </w:style>
  <w:style w:type="character" w:customStyle="1" w:styleId="80">
    <w:name w:val="标题 8 字符"/>
    <w:basedOn w:val="a1"/>
    <w:link w:val="8"/>
    <w:uiPriority w:val="9"/>
    <w:semiHidden/>
    <w:qFormat/>
    <w:rPr>
      <w:rFonts w:asciiTheme="majorHAnsi" w:eastAsiaTheme="majorEastAsia" w:hAnsiTheme="majorHAnsi" w:cstheme="majorBidi"/>
      <w:sz w:val="24"/>
      <w:szCs w:val="24"/>
    </w:rPr>
  </w:style>
  <w:style w:type="character" w:customStyle="1" w:styleId="a7">
    <w:name w:val="页脚 字符"/>
    <w:link w:val="a6"/>
    <w:uiPriority w:val="99"/>
    <w:qFormat/>
    <w:rPr>
      <w:sz w:val="18"/>
      <w:szCs w:val="18"/>
    </w:rPr>
  </w:style>
  <w:style w:type="character" w:customStyle="1" w:styleId="a9">
    <w:name w:val="页眉 字符"/>
    <w:basedOn w:val="a1"/>
    <w:link w:val="a8"/>
    <w:qFormat/>
    <w:rPr>
      <w:rFonts w:ascii="Times New Roman" w:eastAsia="宋体" w:hAnsi="Times New Roman" w:cs="Times New Roman"/>
      <w:sz w:val="18"/>
      <w:szCs w:val="18"/>
    </w:rPr>
  </w:style>
  <w:style w:type="character" w:customStyle="1" w:styleId="11">
    <w:name w:val="页脚 字符1"/>
    <w:basedOn w:val="a1"/>
    <w:uiPriority w:val="99"/>
    <w:semiHidden/>
    <w:qFormat/>
    <w:rPr>
      <w:rFonts w:ascii="Times New Roman" w:eastAsia="宋体" w:hAnsi="Times New Roman" w:cs="Times New Roman"/>
      <w:sz w:val="18"/>
      <w:szCs w:val="18"/>
    </w:rPr>
  </w:style>
  <w:style w:type="character" w:customStyle="1" w:styleId="005Char">
    <w:name w:val="005正文 Char"/>
    <w:link w:val="005"/>
    <w:qFormat/>
    <w:rPr>
      <w:sz w:val="24"/>
      <w:szCs w:val="22"/>
    </w:rPr>
  </w:style>
  <w:style w:type="paragraph" w:customStyle="1" w:styleId="005">
    <w:name w:val="005正文"/>
    <w:basedOn w:val="a"/>
    <w:link w:val="005Char"/>
    <w:qFormat/>
    <w:pPr>
      <w:spacing w:beforeLines="50" w:before="50" w:line="360" w:lineRule="auto"/>
      <w:ind w:firstLineChars="200" w:firstLine="200"/>
    </w:pPr>
    <w:rPr>
      <w:rFonts w:asciiTheme="minorHAnsi" w:eastAsiaTheme="minorEastAsia" w:hAnsiTheme="minorHAnsi" w:cstheme="minorBidi"/>
      <w:sz w:val="24"/>
      <w:szCs w:val="22"/>
    </w:rPr>
  </w:style>
  <w:style w:type="character" w:customStyle="1" w:styleId="DefaultChar">
    <w:name w:val="Default Char"/>
    <w:link w:val="Default"/>
    <w:qFormat/>
    <w:locked/>
    <w:rPr>
      <w:rFonts w:ascii="宋体"/>
      <w:color w:val="000000"/>
      <w:sz w:val="24"/>
      <w:szCs w:val="24"/>
    </w:rPr>
  </w:style>
  <w:style w:type="paragraph" w:customStyle="1" w:styleId="Default">
    <w:name w:val="Default"/>
    <w:link w:val="DefaultChar"/>
    <w:qFormat/>
    <w:pPr>
      <w:widowControl w:val="0"/>
      <w:autoSpaceDE w:val="0"/>
      <w:autoSpaceDN w:val="0"/>
      <w:adjustRightInd w:val="0"/>
    </w:pPr>
    <w:rPr>
      <w:rFonts w:ascii="宋体"/>
      <w:color w:val="000000"/>
      <w:kern w:val="2"/>
      <w:sz w:val="24"/>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a5">
    <w:name w:val="批注文字 字符"/>
    <w:basedOn w:val="a1"/>
    <w:link w:val="a4"/>
    <w:uiPriority w:val="99"/>
    <w:semiHidden/>
    <w:qFormat/>
    <w:rPr>
      <w:rFonts w:ascii="Times New Roman" w:eastAsia="宋体" w:hAnsi="Times New Roman" w:cs="Times New Roman"/>
      <w:szCs w:val="24"/>
    </w:rPr>
  </w:style>
  <w:style w:type="character" w:customStyle="1" w:styleId="ac">
    <w:name w:val="批注主题 字符"/>
    <w:basedOn w:val="a5"/>
    <w:link w:val="ab"/>
    <w:uiPriority w:val="99"/>
    <w:semiHidden/>
    <w:qFormat/>
    <w:rPr>
      <w:rFonts w:ascii="Times New Roman" w:eastAsia="宋体" w:hAnsi="Times New Roman" w:cs="Times New Roman"/>
      <w:b/>
      <w:bCs/>
      <w:szCs w:val="24"/>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customStyle="1" w:styleId="31">
    <w:name w:val="修订3"/>
    <w:hidden/>
    <w:uiPriority w:val="99"/>
    <w:semiHidden/>
    <w:qFormat/>
    <w:rPr>
      <w:rFonts w:ascii="Times New Roman" w:eastAsia="宋体" w:hAnsi="Times New Roman" w:cs="Times New Roman"/>
      <w:kern w:val="2"/>
      <w:sz w:val="21"/>
      <w:szCs w:val="24"/>
    </w:rPr>
  </w:style>
  <w:style w:type="paragraph" w:customStyle="1" w:styleId="41">
    <w:name w:val="修订4"/>
    <w:hidden/>
    <w:uiPriority w:val="99"/>
    <w:semiHidden/>
    <w:rPr>
      <w:rFonts w:ascii="Times New Roman" w:eastAsia="宋体" w:hAnsi="Times New Roman" w:cs="Times New Roman"/>
      <w:kern w:val="2"/>
      <w:sz w:val="21"/>
      <w:szCs w:val="24"/>
    </w:rPr>
  </w:style>
  <w:style w:type="paragraph" w:styleId="af2">
    <w:name w:val="Balloon Text"/>
    <w:basedOn w:val="a"/>
    <w:link w:val="af3"/>
    <w:uiPriority w:val="99"/>
    <w:semiHidden/>
    <w:unhideWhenUsed/>
    <w:rsid w:val="002C699D"/>
    <w:rPr>
      <w:sz w:val="18"/>
      <w:szCs w:val="18"/>
    </w:rPr>
  </w:style>
  <w:style w:type="character" w:customStyle="1" w:styleId="af3">
    <w:name w:val="批注框文本 字符"/>
    <w:basedOn w:val="a1"/>
    <w:link w:val="af2"/>
    <w:uiPriority w:val="99"/>
    <w:semiHidden/>
    <w:rsid w:val="002C699D"/>
    <w:rPr>
      <w:rFonts w:ascii="Times New Roman" w:eastAsia="宋体" w:hAnsi="Times New Roman" w:cs="Times New Roman"/>
      <w:kern w:val="2"/>
      <w:sz w:val="18"/>
      <w:szCs w:val="18"/>
    </w:rPr>
  </w:style>
  <w:style w:type="paragraph" w:styleId="af4">
    <w:name w:val="Revision"/>
    <w:hidden/>
    <w:uiPriority w:val="99"/>
    <w:unhideWhenUsed/>
    <w:rsid w:val="00DC4F4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21</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wenjie wu</dc:creator>
  <cp:lastModifiedBy>QH</cp:lastModifiedBy>
  <cp:revision>73</cp:revision>
  <dcterms:created xsi:type="dcterms:W3CDTF">2022-11-03T11:29:00Z</dcterms:created>
  <dcterms:modified xsi:type="dcterms:W3CDTF">2025-04-02T09:45:00Z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8745328EA6B847619FB90A860CBB5C2A</vt:lpwstr>
  </property>
</Properties>
</file>