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DF007" w14:textId="0C147902" w:rsidR="0025117A" w:rsidRDefault="00E45893">
      <w:pPr>
        <w:spacing w:line="360" w:lineRule="auto"/>
        <w:rPr>
          <w:kern w:val="0"/>
          <w:sz w:val="16"/>
          <w:szCs w:val="16"/>
        </w:rPr>
      </w:pPr>
      <w:r>
        <w:rPr>
          <w:kern w:val="0"/>
          <w:sz w:val="24"/>
          <w:szCs w:val="24"/>
        </w:rPr>
        <w:t xml:space="preserve"> </w:t>
      </w:r>
      <w:r>
        <w:rPr>
          <w:kern w:val="0"/>
          <w:sz w:val="24"/>
          <w:szCs w:val="24"/>
        </w:rPr>
        <w:t>证券代码：</w:t>
      </w:r>
      <w:r>
        <w:rPr>
          <w:kern w:val="0"/>
          <w:sz w:val="24"/>
          <w:szCs w:val="24"/>
        </w:rPr>
        <w:t xml:space="preserve">300436           </w:t>
      </w:r>
      <w:r>
        <w:rPr>
          <w:kern w:val="0"/>
          <w:sz w:val="24"/>
          <w:szCs w:val="24"/>
        </w:rPr>
        <w:t>证券简称：广生堂</w:t>
      </w:r>
      <w:r>
        <w:rPr>
          <w:kern w:val="0"/>
          <w:sz w:val="24"/>
          <w:szCs w:val="24"/>
        </w:rPr>
        <w:t xml:space="preserve">           </w:t>
      </w:r>
      <w:r>
        <w:rPr>
          <w:kern w:val="0"/>
          <w:sz w:val="24"/>
          <w:szCs w:val="24"/>
        </w:rPr>
        <w:t>公告编号：</w:t>
      </w:r>
      <w:r>
        <w:rPr>
          <w:rFonts w:hint="eastAsia"/>
          <w:kern w:val="0"/>
          <w:sz w:val="24"/>
          <w:szCs w:val="24"/>
        </w:rPr>
        <w:t>202</w:t>
      </w:r>
      <w:r w:rsidR="007F41A7">
        <w:rPr>
          <w:rFonts w:hint="eastAsia"/>
          <w:kern w:val="0"/>
          <w:sz w:val="24"/>
          <w:szCs w:val="24"/>
        </w:rPr>
        <w:t>5013</w:t>
      </w:r>
    </w:p>
    <w:p w14:paraId="439E3B06" w14:textId="77777777" w:rsidR="0025117A" w:rsidRDefault="00E45893">
      <w:pPr>
        <w:spacing w:beforeLines="50" w:before="156" w:line="360" w:lineRule="auto"/>
        <w:jc w:val="center"/>
        <w:rPr>
          <w:b/>
          <w:sz w:val="32"/>
          <w:szCs w:val="32"/>
        </w:rPr>
      </w:pPr>
      <w:r>
        <w:rPr>
          <w:b/>
          <w:sz w:val="32"/>
          <w:szCs w:val="32"/>
        </w:rPr>
        <w:t>福建广生堂药业股份有限公司</w:t>
      </w:r>
    </w:p>
    <w:p w14:paraId="284B2009" w14:textId="08730B76" w:rsidR="0025117A" w:rsidRDefault="00E45893">
      <w:pPr>
        <w:spacing w:afterLines="50" w:after="156" w:line="360" w:lineRule="auto"/>
        <w:jc w:val="center"/>
        <w:rPr>
          <w:b/>
          <w:sz w:val="32"/>
          <w:szCs w:val="32"/>
        </w:rPr>
      </w:pPr>
      <w:r>
        <w:rPr>
          <w:rFonts w:hint="eastAsia"/>
          <w:b/>
          <w:sz w:val="32"/>
          <w:szCs w:val="32"/>
        </w:rPr>
        <w:t>关于</w:t>
      </w:r>
      <w:r w:rsidR="00174E03">
        <w:rPr>
          <w:rFonts w:hint="eastAsia"/>
          <w:b/>
          <w:sz w:val="32"/>
          <w:szCs w:val="32"/>
        </w:rPr>
        <w:t>累计诉讼、仲裁案件</w:t>
      </w:r>
      <w:r w:rsidR="007849C2">
        <w:rPr>
          <w:rFonts w:hint="eastAsia"/>
          <w:b/>
          <w:sz w:val="32"/>
          <w:szCs w:val="32"/>
        </w:rPr>
        <w:t>及和解</w:t>
      </w:r>
      <w:r w:rsidR="00174E03">
        <w:rPr>
          <w:rFonts w:hint="eastAsia"/>
          <w:b/>
          <w:sz w:val="32"/>
          <w:szCs w:val="32"/>
        </w:rPr>
        <w:t>情况</w:t>
      </w:r>
      <w:r>
        <w:rPr>
          <w:rFonts w:hint="eastAsia"/>
          <w:b/>
          <w:sz w:val="32"/>
          <w:szCs w:val="32"/>
        </w:rPr>
        <w:t>的</w:t>
      </w:r>
      <w:r w:rsidR="007F41A7">
        <w:rPr>
          <w:rFonts w:hint="eastAsia"/>
          <w:b/>
          <w:sz w:val="32"/>
          <w:szCs w:val="32"/>
        </w:rPr>
        <w:t>进展</w:t>
      </w:r>
      <w:r>
        <w:rPr>
          <w:rFonts w:hint="eastAsia"/>
          <w:b/>
          <w:sz w:val="32"/>
          <w:szCs w:val="32"/>
        </w:rPr>
        <w:t>公告</w:t>
      </w:r>
      <w:r>
        <w:rPr>
          <w:rFonts w:hint="eastAsia"/>
          <w:b/>
          <w:sz w:val="32"/>
          <w:szCs w:val="32"/>
        </w:rPr>
        <w:t xml:space="preserve"> </w:t>
      </w:r>
    </w:p>
    <w:tbl>
      <w:tblPr>
        <w:tblW w:w="8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522"/>
      </w:tblGrid>
      <w:tr w:rsidR="0025117A" w14:paraId="014B6EAC" w14:textId="77777777">
        <w:trPr>
          <w:trHeight w:val="1247"/>
        </w:trPr>
        <w:tc>
          <w:tcPr>
            <w:tcW w:w="8522" w:type="dxa"/>
            <w:vAlign w:val="center"/>
          </w:tcPr>
          <w:p w14:paraId="6518BE5A" w14:textId="77777777" w:rsidR="0025117A" w:rsidRDefault="00E45893">
            <w:pPr>
              <w:ind w:firstLineChars="200" w:firstLine="600"/>
              <w:rPr>
                <w:b/>
                <w:sz w:val="30"/>
                <w:szCs w:val="30"/>
              </w:rPr>
            </w:pPr>
            <w:r>
              <w:rPr>
                <w:kern w:val="0"/>
                <w:sz w:val="30"/>
                <w:szCs w:val="30"/>
              </w:rPr>
              <w:t>本公司及董事会全体成员保证信息披露的内容真实、准确、完整，没有虚假记载、误导性陈述或重大遗漏。</w:t>
            </w:r>
          </w:p>
        </w:tc>
      </w:tr>
    </w:tbl>
    <w:p w14:paraId="56983ABD" w14:textId="4335F04A" w:rsidR="00593208" w:rsidRPr="00E0313C" w:rsidRDefault="009C0FA3" w:rsidP="00E0313C">
      <w:pPr>
        <w:numPr>
          <w:ilvl w:val="255"/>
          <w:numId w:val="0"/>
        </w:numPr>
        <w:adjustRightInd w:val="0"/>
        <w:spacing w:beforeLines="50" w:before="156" w:afterLines="50" w:after="156" w:line="360" w:lineRule="auto"/>
        <w:ind w:firstLineChars="200" w:firstLine="482"/>
        <w:rPr>
          <w:b/>
          <w:bCs/>
          <w:color w:val="000000"/>
          <w:kern w:val="0"/>
          <w:sz w:val="24"/>
          <w:szCs w:val="24"/>
        </w:rPr>
      </w:pPr>
      <w:r>
        <w:rPr>
          <w:rFonts w:hint="eastAsia"/>
          <w:b/>
          <w:bCs/>
          <w:color w:val="000000"/>
          <w:kern w:val="0"/>
          <w:sz w:val="24"/>
          <w:szCs w:val="24"/>
        </w:rPr>
        <w:t>一、</w:t>
      </w:r>
      <w:r w:rsidR="005207C2">
        <w:rPr>
          <w:rFonts w:hint="eastAsia"/>
          <w:b/>
          <w:bCs/>
          <w:color w:val="000000"/>
          <w:kern w:val="0"/>
          <w:sz w:val="24"/>
          <w:szCs w:val="24"/>
        </w:rPr>
        <w:t>已披露</w:t>
      </w:r>
      <w:r w:rsidR="00593208" w:rsidRPr="00E0313C">
        <w:rPr>
          <w:rFonts w:hint="eastAsia"/>
          <w:b/>
          <w:bCs/>
          <w:color w:val="000000"/>
          <w:kern w:val="0"/>
          <w:sz w:val="24"/>
          <w:szCs w:val="24"/>
        </w:rPr>
        <w:t>累计诉讼、仲裁事项</w:t>
      </w:r>
      <w:r w:rsidR="005207C2">
        <w:rPr>
          <w:rFonts w:hint="eastAsia"/>
          <w:b/>
          <w:bCs/>
          <w:color w:val="000000"/>
          <w:kern w:val="0"/>
          <w:sz w:val="24"/>
          <w:szCs w:val="24"/>
        </w:rPr>
        <w:t>的进展</w:t>
      </w:r>
      <w:r w:rsidR="00593208" w:rsidRPr="00E0313C">
        <w:rPr>
          <w:rFonts w:hint="eastAsia"/>
          <w:b/>
          <w:bCs/>
          <w:color w:val="000000"/>
          <w:kern w:val="0"/>
          <w:sz w:val="24"/>
          <w:szCs w:val="24"/>
        </w:rPr>
        <w:t>情况</w:t>
      </w:r>
    </w:p>
    <w:p w14:paraId="4A507F89" w14:textId="72F672B5" w:rsidR="00B0557B" w:rsidRDefault="005207C2" w:rsidP="005207C2">
      <w:pPr>
        <w:numPr>
          <w:ilvl w:val="255"/>
          <w:numId w:val="0"/>
        </w:numPr>
        <w:adjustRightInd w:val="0"/>
        <w:spacing w:line="360" w:lineRule="auto"/>
        <w:ind w:firstLineChars="200" w:firstLine="480"/>
        <w:rPr>
          <w:color w:val="000000"/>
          <w:kern w:val="0"/>
          <w:sz w:val="24"/>
          <w:szCs w:val="24"/>
        </w:rPr>
      </w:pPr>
      <w:bookmarkStart w:id="0" w:name="_Hlk162950700"/>
      <w:r w:rsidRPr="005207C2">
        <w:rPr>
          <w:rFonts w:hint="eastAsia"/>
          <w:color w:val="000000"/>
          <w:kern w:val="0"/>
          <w:sz w:val="24"/>
          <w:szCs w:val="24"/>
        </w:rPr>
        <w:t>福建广生堂药业股份有限公司（以下简称“公司”或“广生堂”）</w:t>
      </w:r>
      <w:r>
        <w:rPr>
          <w:rFonts w:hint="eastAsia"/>
          <w:color w:val="000000"/>
          <w:kern w:val="0"/>
          <w:sz w:val="24"/>
          <w:szCs w:val="24"/>
        </w:rPr>
        <w:t>于</w:t>
      </w:r>
      <w:r>
        <w:rPr>
          <w:rFonts w:hint="eastAsia"/>
          <w:color w:val="000000"/>
          <w:kern w:val="0"/>
          <w:sz w:val="24"/>
          <w:szCs w:val="24"/>
        </w:rPr>
        <w:t>2024</w:t>
      </w:r>
      <w:r>
        <w:rPr>
          <w:rFonts w:hint="eastAsia"/>
          <w:color w:val="000000"/>
          <w:kern w:val="0"/>
          <w:sz w:val="24"/>
          <w:szCs w:val="24"/>
        </w:rPr>
        <w:t>年</w:t>
      </w:r>
      <w:r>
        <w:rPr>
          <w:rFonts w:hint="eastAsia"/>
          <w:color w:val="000000"/>
          <w:kern w:val="0"/>
          <w:sz w:val="24"/>
          <w:szCs w:val="24"/>
        </w:rPr>
        <w:t>4</w:t>
      </w:r>
      <w:r>
        <w:rPr>
          <w:rFonts w:hint="eastAsia"/>
          <w:color w:val="000000"/>
          <w:kern w:val="0"/>
          <w:sz w:val="24"/>
          <w:szCs w:val="24"/>
        </w:rPr>
        <w:t>月</w:t>
      </w:r>
      <w:r w:rsidR="00FC46F8">
        <w:rPr>
          <w:rFonts w:hint="eastAsia"/>
          <w:color w:val="000000"/>
          <w:kern w:val="0"/>
          <w:sz w:val="24"/>
          <w:szCs w:val="24"/>
        </w:rPr>
        <w:t>2</w:t>
      </w:r>
      <w:r>
        <w:rPr>
          <w:rFonts w:hint="eastAsia"/>
          <w:color w:val="000000"/>
          <w:kern w:val="0"/>
          <w:sz w:val="24"/>
          <w:szCs w:val="24"/>
        </w:rPr>
        <w:t>日披露了《</w:t>
      </w:r>
      <w:r w:rsidRPr="005207C2">
        <w:rPr>
          <w:rFonts w:hint="eastAsia"/>
          <w:color w:val="000000"/>
          <w:kern w:val="0"/>
          <w:sz w:val="24"/>
          <w:szCs w:val="24"/>
        </w:rPr>
        <w:t>关于累计诉讼、仲裁案件及和解情况的公告</w:t>
      </w:r>
      <w:r>
        <w:rPr>
          <w:rFonts w:hint="eastAsia"/>
          <w:color w:val="000000"/>
          <w:kern w:val="0"/>
          <w:sz w:val="24"/>
          <w:szCs w:val="24"/>
        </w:rPr>
        <w:t>》（公告编号：</w:t>
      </w:r>
      <w:r>
        <w:rPr>
          <w:rFonts w:hint="eastAsia"/>
          <w:color w:val="000000"/>
          <w:kern w:val="0"/>
          <w:sz w:val="24"/>
          <w:szCs w:val="24"/>
        </w:rPr>
        <w:t>2024020</w:t>
      </w:r>
      <w:r>
        <w:rPr>
          <w:rFonts w:hint="eastAsia"/>
          <w:color w:val="000000"/>
          <w:kern w:val="0"/>
          <w:sz w:val="24"/>
          <w:szCs w:val="24"/>
        </w:rPr>
        <w:t>）。</w:t>
      </w:r>
    </w:p>
    <w:p w14:paraId="758C84B7" w14:textId="20455A2C" w:rsidR="00B0557B" w:rsidRDefault="00B0557B" w:rsidP="005207C2">
      <w:pPr>
        <w:numPr>
          <w:ilvl w:val="255"/>
          <w:numId w:val="0"/>
        </w:numPr>
        <w:adjustRightInd w:val="0"/>
        <w:spacing w:line="360" w:lineRule="auto"/>
        <w:ind w:firstLineChars="200" w:firstLine="480"/>
        <w:rPr>
          <w:color w:val="000000"/>
          <w:kern w:val="0"/>
          <w:sz w:val="24"/>
          <w:szCs w:val="24"/>
        </w:rPr>
      </w:pPr>
      <w:r>
        <w:rPr>
          <w:rFonts w:hint="eastAsia"/>
          <w:color w:val="000000"/>
          <w:kern w:val="0"/>
          <w:sz w:val="24"/>
          <w:szCs w:val="24"/>
        </w:rPr>
        <w:t>近日，公司收到</w:t>
      </w:r>
      <w:r w:rsidR="00A56A5F" w:rsidRPr="00A56A5F">
        <w:rPr>
          <w:rFonts w:hint="eastAsia"/>
          <w:color w:val="000000"/>
          <w:kern w:val="0"/>
          <w:sz w:val="24"/>
          <w:szCs w:val="24"/>
        </w:rPr>
        <w:t>上海国际经济贸易仲裁委员会</w:t>
      </w:r>
      <w:r w:rsidR="00A56A5F">
        <w:rPr>
          <w:rFonts w:hint="eastAsia"/>
          <w:color w:val="000000"/>
          <w:kern w:val="0"/>
          <w:sz w:val="24"/>
          <w:szCs w:val="24"/>
        </w:rPr>
        <w:t>（上海国际仲裁中心）</w:t>
      </w:r>
      <w:r w:rsidR="00FC46F8">
        <w:rPr>
          <w:rFonts w:hint="eastAsia"/>
          <w:color w:val="000000"/>
          <w:kern w:val="0"/>
          <w:sz w:val="24"/>
          <w:szCs w:val="24"/>
        </w:rPr>
        <w:t>作出</w:t>
      </w:r>
      <w:r w:rsidR="00A56A5F">
        <w:rPr>
          <w:rFonts w:hint="eastAsia"/>
          <w:color w:val="000000"/>
          <w:kern w:val="0"/>
          <w:sz w:val="24"/>
          <w:szCs w:val="24"/>
        </w:rPr>
        <w:t>的</w:t>
      </w:r>
      <w:r w:rsidR="00304A5F" w:rsidRPr="00B0557B">
        <w:rPr>
          <w:rFonts w:hint="eastAsia"/>
          <w:color w:val="000000"/>
          <w:kern w:val="0"/>
          <w:sz w:val="24"/>
          <w:szCs w:val="24"/>
        </w:rPr>
        <w:t>上国仲</w:t>
      </w:r>
      <w:r w:rsidR="00304A5F" w:rsidRPr="00B0557B">
        <w:rPr>
          <w:rFonts w:hint="eastAsia"/>
          <w:color w:val="000000"/>
          <w:kern w:val="0"/>
          <w:sz w:val="24"/>
          <w:szCs w:val="24"/>
        </w:rPr>
        <w:t>(2024)</w:t>
      </w:r>
      <w:r w:rsidR="00304A5F" w:rsidRPr="00B0557B">
        <w:rPr>
          <w:rFonts w:hint="eastAsia"/>
          <w:color w:val="000000"/>
          <w:kern w:val="0"/>
          <w:sz w:val="24"/>
          <w:szCs w:val="24"/>
        </w:rPr>
        <w:t>第</w:t>
      </w:r>
      <w:r w:rsidR="00304A5F" w:rsidRPr="00B0557B">
        <w:rPr>
          <w:rFonts w:hint="eastAsia"/>
          <w:color w:val="000000"/>
          <w:kern w:val="0"/>
          <w:sz w:val="24"/>
          <w:szCs w:val="24"/>
        </w:rPr>
        <w:t>743</w:t>
      </w:r>
      <w:r w:rsidR="00304A5F" w:rsidRPr="00B0557B">
        <w:rPr>
          <w:rFonts w:hint="eastAsia"/>
          <w:color w:val="000000"/>
          <w:kern w:val="0"/>
          <w:sz w:val="24"/>
          <w:szCs w:val="24"/>
        </w:rPr>
        <w:t>号</w:t>
      </w:r>
      <w:r w:rsidR="00304A5F">
        <w:rPr>
          <w:rFonts w:hint="eastAsia"/>
          <w:color w:val="000000"/>
          <w:kern w:val="0"/>
          <w:sz w:val="24"/>
          <w:szCs w:val="24"/>
        </w:rPr>
        <w:t>案和</w:t>
      </w:r>
      <w:r w:rsidRPr="00B0557B">
        <w:rPr>
          <w:rFonts w:hint="eastAsia"/>
          <w:color w:val="000000"/>
          <w:kern w:val="0"/>
          <w:sz w:val="24"/>
          <w:szCs w:val="24"/>
        </w:rPr>
        <w:t>上国仲</w:t>
      </w:r>
      <w:r w:rsidRPr="00B0557B">
        <w:rPr>
          <w:rFonts w:hint="eastAsia"/>
          <w:color w:val="000000"/>
          <w:kern w:val="0"/>
          <w:sz w:val="24"/>
          <w:szCs w:val="24"/>
        </w:rPr>
        <w:t>(2024)</w:t>
      </w:r>
      <w:r w:rsidRPr="00B0557B">
        <w:rPr>
          <w:rFonts w:hint="eastAsia"/>
          <w:color w:val="000000"/>
          <w:kern w:val="0"/>
          <w:sz w:val="24"/>
          <w:szCs w:val="24"/>
        </w:rPr>
        <w:t>第</w:t>
      </w:r>
      <w:r w:rsidRPr="00B0557B">
        <w:rPr>
          <w:rFonts w:hint="eastAsia"/>
          <w:color w:val="000000"/>
          <w:kern w:val="0"/>
          <w:sz w:val="24"/>
          <w:szCs w:val="24"/>
        </w:rPr>
        <w:t>791</w:t>
      </w:r>
      <w:r w:rsidRPr="00B0557B">
        <w:rPr>
          <w:rFonts w:hint="eastAsia"/>
          <w:color w:val="000000"/>
          <w:kern w:val="0"/>
          <w:sz w:val="24"/>
          <w:szCs w:val="24"/>
        </w:rPr>
        <w:t>号</w:t>
      </w:r>
      <w:r>
        <w:rPr>
          <w:rFonts w:hint="eastAsia"/>
          <w:color w:val="000000"/>
          <w:kern w:val="0"/>
          <w:sz w:val="24"/>
          <w:szCs w:val="24"/>
        </w:rPr>
        <w:t>案合并审理《裁决书》</w:t>
      </w:r>
      <w:r w:rsidR="00FC46F8">
        <w:rPr>
          <w:rFonts w:hint="eastAsia"/>
          <w:color w:val="000000"/>
          <w:kern w:val="0"/>
          <w:sz w:val="24"/>
          <w:szCs w:val="24"/>
        </w:rPr>
        <w:t>。</w:t>
      </w:r>
      <w:r>
        <w:rPr>
          <w:rFonts w:hint="eastAsia"/>
          <w:color w:val="000000"/>
          <w:kern w:val="0"/>
          <w:sz w:val="24"/>
          <w:szCs w:val="24"/>
        </w:rPr>
        <w:t>本次裁决</w:t>
      </w:r>
      <w:r w:rsidRPr="00B0557B">
        <w:rPr>
          <w:rFonts w:hint="eastAsia"/>
          <w:color w:val="000000"/>
          <w:kern w:val="0"/>
          <w:sz w:val="24"/>
          <w:szCs w:val="24"/>
        </w:rPr>
        <w:t>为终局裁决，自作出之日起生效</w:t>
      </w:r>
      <w:r>
        <w:rPr>
          <w:rFonts w:hint="eastAsia"/>
          <w:color w:val="000000"/>
          <w:kern w:val="0"/>
          <w:sz w:val="24"/>
          <w:szCs w:val="24"/>
        </w:rPr>
        <w:t>，</w:t>
      </w:r>
      <w:r w:rsidR="00F533EA">
        <w:rPr>
          <w:rFonts w:hint="eastAsia"/>
          <w:color w:val="000000"/>
          <w:kern w:val="0"/>
          <w:sz w:val="24"/>
          <w:szCs w:val="24"/>
        </w:rPr>
        <w:t>主要</w:t>
      </w:r>
      <w:r>
        <w:rPr>
          <w:rFonts w:hint="eastAsia"/>
          <w:color w:val="000000"/>
          <w:kern w:val="0"/>
          <w:sz w:val="24"/>
          <w:szCs w:val="24"/>
        </w:rPr>
        <w:t>裁决</w:t>
      </w:r>
      <w:r w:rsidR="00F533EA">
        <w:rPr>
          <w:rFonts w:hint="eastAsia"/>
          <w:color w:val="000000"/>
          <w:kern w:val="0"/>
          <w:sz w:val="24"/>
          <w:szCs w:val="24"/>
        </w:rPr>
        <w:t>结果</w:t>
      </w:r>
      <w:r w:rsidR="000A2738">
        <w:rPr>
          <w:rFonts w:hint="eastAsia"/>
          <w:color w:val="000000"/>
          <w:kern w:val="0"/>
          <w:sz w:val="24"/>
          <w:szCs w:val="24"/>
        </w:rPr>
        <w:t>如下</w:t>
      </w:r>
      <w:r>
        <w:rPr>
          <w:rFonts w:hint="eastAsia"/>
          <w:color w:val="000000"/>
          <w:kern w:val="0"/>
          <w:sz w:val="24"/>
          <w:szCs w:val="24"/>
        </w:rPr>
        <w:t>：</w:t>
      </w:r>
      <w:r w:rsidRPr="00B0557B">
        <w:rPr>
          <w:rFonts w:hint="eastAsia"/>
          <w:color w:val="000000"/>
          <w:kern w:val="0"/>
          <w:sz w:val="24"/>
          <w:szCs w:val="24"/>
        </w:rPr>
        <w:t>（</w:t>
      </w:r>
      <w:r w:rsidRPr="00B0557B">
        <w:rPr>
          <w:rFonts w:hint="eastAsia"/>
          <w:color w:val="000000"/>
          <w:kern w:val="0"/>
          <w:sz w:val="24"/>
          <w:szCs w:val="24"/>
        </w:rPr>
        <w:t>1</w:t>
      </w:r>
      <w:r w:rsidRPr="00B0557B">
        <w:rPr>
          <w:rFonts w:hint="eastAsia"/>
          <w:color w:val="000000"/>
          <w:kern w:val="0"/>
          <w:sz w:val="24"/>
          <w:szCs w:val="24"/>
        </w:rPr>
        <w:t>）解除各方签订的相关协议；（</w:t>
      </w:r>
      <w:r w:rsidRPr="00B0557B">
        <w:rPr>
          <w:rFonts w:hint="eastAsia"/>
          <w:color w:val="000000"/>
          <w:kern w:val="0"/>
          <w:sz w:val="24"/>
          <w:szCs w:val="24"/>
        </w:rPr>
        <w:t>2</w:t>
      </w:r>
      <w:r w:rsidRPr="00B0557B">
        <w:rPr>
          <w:rFonts w:hint="eastAsia"/>
          <w:color w:val="000000"/>
          <w:kern w:val="0"/>
          <w:sz w:val="24"/>
          <w:szCs w:val="24"/>
        </w:rPr>
        <w:t>）裁决歌礼药业赔偿</w:t>
      </w:r>
      <w:r w:rsidR="00FC46F8">
        <w:rPr>
          <w:rFonts w:hint="eastAsia"/>
          <w:color w:val="000000"/>
          <w:kern w:val="0"/>
          <w:sz w:val="24"/>
          <w:szCs w:val="24"/>
        </w:rPr>
        <w:t>货款损失</w:t>
      </w:r>
      <w:r w:rsidRPr="00B0557B">
        <w:rPr>
          <w:rFonts w:hint="eastAsia"/>
          <w:color w:val="000000"/>
          <w:kern w:val="0"/>
          <w:sz w:val="24"/>
          <w:szCs w:val="24"/>
        </w:rPr>
        <w:t>10,700,970.80</w:t>
      </w:r>
      <w:r w:rsidRPr="00B0557B">
        <w:rPr>
          <w:rFonts w:hint="eastAsia"/>
          <w:color w:val="000000"/>
          <w:kern w:val="0"/>
          <w:sz w:val="24"/>
          <w:szCs w:val="24"/>
        </w:rPr>
        <w:t>元及相应资金占用损失；（</w:t>
      </w:r>
      <w:r w:rsidRPr="00B0557B">
        <w:rPr>
          <w:rFonts w:hint="eastAsia"/>
          <w:color w:val="000000"/>
          <w:kern w:val="0"/>
          <w:sz w:val="24"/>
          <w:szCs w:val="24"/>
        </w:rPr>
        <w:t>3</w:t>
      </w:r>
      <w:r w:rsidRPr="00B0557B">
        <w:rPr>
          <w:rFonts w:hint="eastAsia"/>
          <w:color w:val="000000"/>
          <w:kern w:val="0"/>
          <w:sz w:val="24"/>
          <w:szCs w:val="24"/>
        </w:rPr>
        <w:t>）裁决广生堂方返还且不得再以任何形式或为任何目的的保留或使用歌礼药业向其提供的相关资料、知识产权和保密信息；（</w:t>
      </w:r>
      <w:r w:rsidRPr="00B0557B">
        <w:rPr>
          <w:rFonts w:hint="eastAsia"/>
          <w:color w:val="000000"/>
          <w:kern w:val="0"/>
          <w:sz w:val="24"/>
          <w:szCs w:val="24"/>
        </w:rPr>
        <w:t>4</w:t>
      </w:r>
      <w:r w:rsidRPr="00B0557B">
        <w:rPr>
          <w:rFonts w:hint="eastAsia"/>
          <w:color w:val="000000"/>
          <w:kern w:val="0"/>
          <w:sz w:val="24"/>
          <w:szCs w:val="24"/>
        </w:rPr>
        <w:t>）驳回</w:t>
      </w:r>
      <w:r>
        <w:rPr>
          <w:rFonts w:hint="eastAsia"/>
          <w:color w:val="000000"/>
          <w:kern w:val="0"/>
          <w:sz w:val="24"/>
          <w:szCs w:val="24"/>
        </w:rPr>
        <w:t>双方在</w:t>
      </w:r>
      <w:r w:rsidRPr="00B0557B">
        <w:rPr>
          <w:rFonts w:hint="eastAsia"/>
          <w:color w:val="000000"/>
          <w:kern w:val="0"/>
          <w:sz w:val="24"/>
          <w:szCs w:val="24"/>
        </w:rPr>
        <w:t>743</w:t>
      </w:r>
      <w:r w:rsidRPr="00B0557B">
        <w:rPr>
          <w:rFonts w:hint="eastAsia"/>
          <w:color w:val="000000"/>
          <w:kern w:val="0"/>
          <w:sz w:val="24"/>
          <w:szCs w:val="24"/>
        </w:rPr>
        <w:t>号案和</w:t>
      </w:r>
      <w:r w:rsidRPr="00B0557B">
        <w:rPr>
          <w:rFonts w:hint="eastAsia"/>
          <w:color w:val="000000"/>
          <w:kern w:val="0"/>
          <w:sz w:val="24"/>
          <w:szCs w:val="24"/>
        </w:rPr>
        <w:t>791</w:t>
      </w:r>
      <w:r w:rsidRPr="00B0557B">
        <w:rPr>
          <w:rFonts w:hint="eastAsia"/>
          <w:color w:val="000000"/>
          <w:kern w:val="0"/>
          <w:sz w:val="24"/>
          <w:szCs w:val="24"/>
        </w:rPr>
        <w:t>号案提出的其他仲裁请求。</w:t>
      </w:r>
    </w:p>
    <w:p w14:paraId="0999C639" w14:textId="28AE85D2" w:rsidR="005207C2" w:rsidRDefault="005207C2" w:rsidP="005207C2">
      <w:pPr>
        <w:numPr>
          <w:ilvl w:val="255"/>
          <w:numId w:val="0"/>
        </w:numPr>
        <w:adjustRightInd w:val="0"/>
        <w:spacing w:line="360" w:lineRule="auto"/>
        <w:ind w:firstLineChars="200" w:firstLine="480"/>
        <w:rPr>
          <w:color w:val="000000"/>
          <w:kern w:val="0"/>
          <w:sz w:val="24"/>
          <w:szCs w:val="24"/>
        </w:rPr>
      </w:pPr>
      <w:r>
        <w:rPr>
          <w:rFonts w:hint="eastAsia"/>
          <w:color w:val="000000"/>
          <w:kern w:val="0"/>
          <w:sz w:val="24"/>
          <w:szCs w:val="24"/>
        </w:rPr>
        <w:t>截止</w:t>
      </w:r>
      <w:r>
        <w:rPr>
          <w:rFonts w:hint="eastAsia"/>
          <w:color w:val="000000"/>
          <w:kern w:val="0"/>
          <w:sz w:val="24"/>
          <w:szCs w:val="24"/>
        </w:rPr>
        <w:t>2025</w:t>
      </w:r>
      <w:r>
        <w:rPr>
          <w:rFonts w:hint="eastAsia"/>
          <w:color w:val="000000"/>
          <w:kern w:val="0"/>
          <w:sz w:val="24"/>
          <w:szCs w:val="24"/>
        </w:rPr>
        <w:t>年</w:t>
      </w:r>
      <w:r>
        <w:rPr>
          <w:rFonts w:hint="eastAsia"/>
          <w:color w:val="000000"/>
          <w:kern w:val="0"/>
          <w:sz w:val="24"/>
          <w:szCs w:val="24"/>
        </w:rPr>
        <w:t>3</w:t>
      </w:r>
      <w:r>
        <w:rPr>
          <w:rFonts w:hint="eastAsia"/>
          <w:color w:val="000000"/>
          <w:kern w:val="0"/>
          <w:sz w:val="24"/>
          <w:szCs w:val="24"/>
        </w:rPr>
        <w:t>月</w:t>
      </w:r>
      <w:r>
        <w:rPr>
          <w:rFonts w:hint="eastAsia"/>
          <w:color w:val="000000"/>
          <w:kern w:val="0"/>
          <w:sz w:val="24"/>
          <w:szCs w:val="24"/>
        </w:rPr>
        <w:t>18</w:t>
      </w:r>
      <w:r>
        <w:rPr>
          <w:rFonts w:hint="eastAsia"/>
          <w:color w:val="000000"/>
          <w:kern w:val="0"/>
          <w:sz w:val="24"/>
          <w:szCs w:val="24"/>
        </w:rPr>
        <w:t>日，</w:t>
      </w:r>
      <w:r w:rsidRPr="005207C2">
        <w:rPr>
          <w:rFonts w:hint="eastAsia"/>
          <w:color w:val="000000"/>
          <w:kern w:val="0"/>
          <w:sz w:val="24"/>
          <w:szCs w:val="24"/>
        </w:rPr>
        <w:t>公司前期已披露的诉讼、仲裁进展情况如下（前次披露已结案</w:t>
      </w:r>
      <w:r>
        <w:rPr>
          <w:rFonts w:hint="eastAsia"/>
          <w:color w:val="000000"/>
          <w:kern w:val="0"/>
          <w:sz w:val="24"/>
          <w:szCs w:val="24"/>
        </w:rPr>
        <w:t>、已和解的</w:t>
      </w:r>
      <w:r w:rsidRPr="005207C2">
        <w:rPr>
          <w:rFonts w:hint="eastAsia"/>
          <w:color w:val="000000"/>
          <w:kern w:val="0"/>
          <w:sz w:val="24"/>
          <w:szCs w:val="24"/>
        </w:rPr>
        <w:t>案件，不再列出）：</w:t>
      </w:r>
    </w:p>
    <w:tbl>
      <w:tblPr>
        <w:tblStyle w:val="aa"/>
        <w:tblW w:w="4922" w:type="pct"/>
        <w:jc w:val="center"/>
        <w:tblLook w:val="04A0" w:firstRow="1" w:lastRow="0" w:firstColumn="1" w:lastColumn="0" w:noHBand="0" w:noVBand="1"/>
      </w:tblPr>
      <w:tblGrid>
        <w:gridCol w:w="587"/>
        <w:gridCol w:w="1314"/>
        <w:gridCol w:w="1020"/>
        <w:gridCol w:w="1089"/>
        <w:gridCol w:w="1277"/>
        <w:gridCol w:w="795"/>
        <w:gridCol w:w="1164"/>
        <w:gridCol w:w="1143"/>
      </w:tblGrid>
      <w:tr w:rsidR="00AD5D30" w:rsidRPr="003E630A" w14:paraId="1AA63513" w14:textId="77777777" w:rsidTr="003269CB">
        <w:trPr>
          <w:jc w:val="center"/>
        </w:trPr>
        <w:tc>
          <w:tcPr>
            <w:tcW w:w="350" w:type="pct"/>
            <w:vAlign w:val="center"/>
          </w:tcPr>
          <w:p w14:paraId="1FF9A7F7" w14:textId="77777777" w:rsidR="00AD5D30" w:rsidRPr="00E0313C" w:rsidRDefault="00AD5D30" w:rsidP="00B80623">
            <w:pPr>
              <w:adjustRightInd w:val="0"/>
              <w:jc w:val="center"/>
              <w:rPr>
                <w:color w:val="000000"/>
                <w:kern w:val="0"/>
                <w:szCs w:val="21"/>
              </w:rPr>
            </w:pPr>
            <w:r w:rsidRPr="00E0313C">
              <w:rPr>
                <w:rFonts w:hint="eastAsia"/>
                <w:color w:val="000000"/>
                <w:kern w:val="0"/>
                <w:szCs w:val="21"/>
              </w:rPr>
              <w:t>编号</w:t>
            </w:r>
          </w:p>
        </w:tc>
        <w:tc>
          <w:tcPr>
            <w:tcW w:w="783" w:type="pct"/>
            <w:vAlign w:val="center"/>
          </w:tcPr>
          <w:p w14:paraId="47AD75C3" w14:textId="77777777" w:rsidR="00AD5D30" w:rsidRPr="00E0313C" w:rsidRDefault="00AD5D30" w:rsidP="00B80623">
            <w:pPr>
              <w:adjustRightInd w:val="0"/>
              <w:jc w:val="center"/>
              <w:rPr>
                <w:color w:val="000000"/>
                <w:kern w:val="0"/>
                <w:szCs w:val="21"/>
              </w:rPr>
            </w:pPr>
            <w:r w:rsidRPr="00E0313C">
              <w:rPr>
                <w:rFonts w:hint="eastAsia"/>
                <w:color w:val="000000"/>
                <w:kern w:val="0"/>
                <w:szCs w:val="21"/>
              </w:rPr>
              <w:t>案件编号</w:t>
            </w:r>
          </w:p>
        </w:tc>
        <w:tc>
          <w:tcPr>
            <w:tcW w:w="608" w:type="pct"/>
            <w:vAlign w:val="center"/>
          </w:tcPr>
          <w:p w14:paraId="648B9B2B" w14:textId="77777777" w:rsidR="00AD5D30" w:rsidRPr="00E0313C" w:rsidRDefault="00AD5D30" w:rsidP="00B80623">
            <w:pPr>
              <w:adjustRightInd w:val="0"/>
              <w:jc w:val="center"/>
              <w:rPr>
                <w:color w:val="000000"/>
                <w:kern w:val="0"/>
                <w:szCs w:val="21"/>
              </w:rPr>
            </w:pPr>
            <w:r w:rsidRPr="00E0313C">
              <w:rPr>
                <w:rFonts w:hint="eastAsia"/>
                <w:color w:val="000000"/>
                <w:kern w:val="0"/>
                <w:szCs w:val="21"/>
              </w:rPr>
              <w:t>原告</w:t>
            </w:r>
          </w:p>
        </w:tc>
        <w:tc>
          <w:tcPr>
            <w:tcW w:w="649" w:type="pct"/>
            <w:vAlign w:val="center"/>
          </w:tcPr>
          <w:p w14:paraId="5ACCBEF3" w14:textId="77777777" w:rsidR="00AD5D30" w:rsidRPr="00E0313C" w:rsidRDefault="00AD5D30" w:rsidP="00B80623">
            <w:pPr>
              <w:adjustRightInd w:val="0"/>
              <w:jc w:val="center"/>
              <w:rPr>
                <w:color w:val="000000"/>
                <w:kern w:val="0"/>
                <w:szCs w:val="21"/>
              </w:rPr>
            </w:pPr>
            <w:r w:rsidRPr="00E0313C">
              <w:rPr>
                <w:rFonts w:hint="eastAsia"/>
                <w:color w:val="000000"/>
                <w:kern w:val="0"/>
                <w:szCs w:val="21"/>
              </w:rPr>
              <w:t>被告</w:t>
            </w:r>
          </w:p>
        </w:tc>
        <w:tc>
          <w:tcPr>
            <w:tcW w:w="761" w:type="pct"/>
            <w:vAlign w:val="center"/>
          </w:tcPr>
          <w:p w14:paraId="7BC6538E" w14:textId="77777777" w:rsidR="00AD5D30" w:rsidRPr="00E0313C" w:rsidRDefault="00AD5D30" w:rsidP="00B80623">
            <w:pPr>
              <w:adjustRightInd w:val="0"/>
              <w:jc w:val="center"/>
              <w:rPr>
                <w:color w:val="000000"/>
                <w:kern w:val="0"/>
                <w:szCs w:val="21"/>
              </w:rPr>
            </w:pPr>
            <w:r w:rsidRPr="00E0313C">
              <w:rPr>
                <w:rFonts w:hint="eastAsia"/>
                <w:color w:val="000000"/>
                <w:kern w:val="0"/>
                <w:szCs w:val="21"/>
              </w:rPr>
              <w:t>诉讼</w:t>
            </w:r>
            <w:r w:rsidRPr="00E0313C">
              <w:rPr>
                <w:color w:val="000000"/>
                <w:kern w:val="0"/>
                <w:szCs w:val="21"/>
              </w:rPr>
              <w:t>/</w:t>
            </w:r>
            <w:r w:rsidRPr="00E0313C">
              <w:rPr>
                <w:rFonts w:hint="eastAsia"/>
                <w:color w:val="000000"/>
                <w:kern w:val="0"/>
                <w:szCs w:val="21"/>
              </w:rPr>
              <w:t>仲裁机构</w:t>
            </w:r>
          </w:p>
        </w:tc>
        <w:tc>
          <w:tcPr>
            <w:tcW w:w="474" w:type="pct"/>
            <w:vAlign w:val="center"/>
          </w:tcPr>
          <w:p w14:paraId="02806247" w14:textId="77777777" w:rsidR="00AD5D30" w:rsidRPr="00E0313C" w:rsidRDefault="00AD5D30" w:rsidP="00B80623">
            <w:pPr>
              <w:adjustRightInd w:val="0"/>
              <w:jc w:val="center"/>
              <w:rPr>
                <w:color w:val="000000"/>
                <w:kern w:val="0"/>
                <w:szCs w:val="21"/>
              </w:rPr>
            </w:pPr>
            <w:r w:rsidRPr="00E0313C">
              <w:rPr>
                <w:rFonts w:hint="eastAsia"/>
                <w:color w:val="000000"/>
                <w:kern w:val="0"/>
                <w:szCs w:val="21"/>
              </w:rPr>
              <w:t>案由</w:t>
            </w:r>
          </w:p>
        </w:tc>
        <w:tc>
          <w:tcPr>
            <w:tcW w:w="694" w:type="pct"/>
            <w:vAlign w:val="center"/>
          </w:tcPr>
          <w:p w14:paraId="124702A8" w14:textId="77777777" w:rsidR="00AD5D30" w:rsidRPr="00E0313C" w:rsidRDefault="00AD5D30" w:rsidP="00B80623">
            <w:pPr>
              <w:adjustRightInd w:val="0"/>
              <w:jc w:val="center"/>
              <w:rPr>
                <w:color w:val="000000"/>
                <w:kern w:val="0"/>
                <w:szCs w:val="21"/>
              </w:rPr>
            </w:pPr>
            <w:r w:rsidRPr="00E0313C">
              <w:rPr>
                <w:rFonts w:hint="eastAsia"/>
                <w:color w:val="000000"/>
                <w:kern w:val="0"/>
                <w:szCs w:val="21"/>
              </w:rPr>
              <w:t>案件进展</w:t>
            </w:r>
          </w:p>
        </w:tc>
        <w:tc>
          <w:tcPr>
            <w:tcW w:w="681" w:type="pct"/>
            <w:vAlign w:val="center"/>
          </w:tcPr>
          <w:p w14:paraId="5AF2FAAF" w14:textId="77777777" w:rsidR="00AD5D30" w:rsidRDefault="00AD5D30" w:rsidP="00B80623">
            <w:pPr>
              <w:adjustRightInd w:val="0"/>
              <w:jc w:val="center"/>
              <w:rPr>
                <w:color w:val="000000"/>
                <w:kern w:val="0"/>
                <w:szCs w:val="21"/>
              </w:rPr>
            </w:pPr>
            <w:r w:rsidRPr="00E0313C">
              <w:rPr>
                <w:rFonts w:hint="eastAsia"/>
                <w:color w:val="000000"/>
                <w:kern w:val="0"/>
                <w:szCs w:val="21"/>
              </w:rPr>
              <w:t>金额</w:t>
            </w:r>
          </w:p>
          <w:p w14:paraId="3688014A" w14:textId="77777777" w:rsidR="00AD5D30" w:rsidRPr="00E0313C" w:rsidRDefault="00AD5D30" w:rsidP="00B80623">
            <w:pPr>
              <w:adjustRightInd w:val="0"/>
              <w:jc w:val="center"/>
              <w:rPr>
                <w:color w:val="000000"/>
                <w:kern w:val="0"/>
                <w:szCs w:val="21"/>
              </w:rPr>
            </w:pPr>
            <w:r w:rsidRPr="00E0313C">
              <w:rPr>
                <w:rFonts w:hint="eastAsia"/>
                <w:color w:val="000000"/>
                <w:kern w:val="0"/>
                <w:szCs w:val="21"/>
              </w:rPr>
              <w:t>（</w:t>
            </w:r>
            <w:r>
              <w:rPr>
                <w:rFonts w:hint="eastAsia"/>
                <w:color w:val="000000"/>
                <w:kern w:val="0"/>
                <w:szCs w:val="21"/>
              </w:rPr>
              <w:t>万</w:t>
            </w:r>
            <w:r w:rsidRPr="00E0313C">
              <w:rPr>
                <w:rFonts w:hint="eastAsia"/>
                <w:color w:val="000000"/>
                <w:kern w:val="0"/>
                <w:szCs w:val="21"/>
              </w:rPr>
              <w:t>元）</w:t>
            </w:r>
          </w:p>
        </w:tc>
      </w:tr>
      <w:tr w:rsidR="00AD5D30" w:rsidRPr="003E630A" w14:paraId="4D63FC2D" w14:textId="77777777" w:rsidTr="003269CB">
        <w:trPr>
          <w:jc w:val="center"/>
        </w:trPr>
        <w:tc>
          <w:tcPr>
            <w:tcW w:w="350" w:type="pct"/>
            <w:vAlign w:val="center"/>
          </w:tcPr>
          <w:p w14:paraId="30D07955" w14:textId="3EA9FFE9" w:rsidR="00AD5D30" w:rsidRPr="00E0313C" w:rsidRDefault="0035363C" w:rsidP="00B80623">
            <w:pPr>
              <w:adjustRightInd w:val="0"/>
              <w:jc w:val="center"/>
              <w:rPr>
                <w:color w:val="000000"/>
                <w:kern w:val="0"/>
                <w:szCs w:val="21"/>
              </w:rPr>
            </w:pPr>
            <w:r>
              <w:rPr>
                <w:rFonts w:hint="eastAsia"/>
                <w:color w:val="000000"/>
                <w:kern w:val="0"/>
                <w:szCs w:val="21"/>
              </w:rPr>
              <w:t>1</w:t>
            </w:r>
          </w:p>
        </w:tc>
        <w:tc>
          <w:tcPr>
            <w:tcW w:w="783" w:type="pct"/>
            <w:vAlign w:val="center"/>
          </w:tcPr>
          <w:p w14:paraId="48CB8CC4" w14:textId="77777777" w:rsidR="00AD5D30" w:rsidRPr="00E0313C" w:rsidRDefault="00AD5D30" w:rsidP="00B80623">
            <w:pPr>
              <w:adjustRightInd w:val="0"/>
              <w:jc w:val="center"/>
              <w:rPr>
                <w:color w:val="000000"/>
                <w:kern w:val="0"/>
                <w:szCs w:val="21"/>
              </w:rPr>
            </w:pPr>
            <w:r w:rsidRPr="007C7822">
              <w:rPr>
                <w:rFonts w:hint="eastAsia"/>
                <w:color w:val="000000"/>
                <w:kern w:val="0"/>
                <w:szCs w:val="21"/>
              </w:rPr>
              <w:t>上国仲</w:t>
            </w:r>
            <w:r w:rsidRPr="007C7822">
              <w:rPr>
                <w:rFonts w:hint="eastAsia"/>
                <w:color w:val="000000"/>
                <w:kern w:val="0"/>
                <w:szCs w:val="21"/>
              </w:rPr>
              <w:t>(2024)</w:t>
            </w:r>
            <w:r w:rsidRPr="007C7822">
              <w:rPr>
                <w:rFonts w:hint="eastAsia"/>
                <w:color w:val="000000"/>
                <w:kern w:val="0"/>
                <w:szCs w:val="21"/>
              </w:rPr>
              <w:t>第</w:t>
            </w:r>
            <w:r w:rsidRPr="007C7822">
              <w:rPr>
                <w:rFonts w:hint="eastAsia"/>
                <w:color w:val="000000"/>
                <w:kern w:val="0"/>
                <w:szCs w:val="21"/>
              </w:rPr>
              <w:t>7</w:t>
            </w:r>
            <w:r>
              <w:rPr>
                <w:rFonts w:hint="eastAsia"/>
                <w:color w:val="000000"/>
                <w:kern w:val="0"/>
                <w:szCs w:val="21"/>
              </w:rPr>
              <w:t>43</w:t>
            </w:r>
            <w:r w:rsidRPr="007C7822">
              <w:rPr>
                <w:rFonts w:hint="eastAsia"/>
                <w:color w:val="000000"/>
                <w:kern w:val="0"/>
                <w:szCs w:val="21"/>
              </w:rPr>
              <w:t>号</w:t>
            </w:r>
          </w:p>
        </w:tc>
        <w:tc>
          <w:tcPr>
            <w:tcW w:w="608" w:type="pct"/>
            <w:vAlign w:val="center"/>
          </w:tcPr>
          <w:p w14:paraId="43E421B5" w14:textId="021C7513" w:rsidR="00AD5D30" w:rsidRPr="00E0313C" w:rsidRDefault="001C44C5" w:rsidP="00B80623">
            <w:pPr>
              <w:adjustRightInd w:val="0"/>
              <w:jc w:val="center"/>
              <w:rPr>
                <w:color w:val="000000"/>
                <w:kern w:val="0"/>
                <w:szCs w:val="21"/>
              </w:rPr>
            </w:pPr>
            <w:r>
              <w:rPr>
                <w:rFonts w:hint="eastAsia"/>
                <w:color w:val="000000"/>
                <w:kern w:val="0"/>
                <w:szCs w:val="21"/>
              </w:rPr>
              <w:t>广生堂</w:t>
            </w:r>
            <w:r w:rsidR="00AD5D30">
              <w:rPr>
                <w:rFonts w:hint="eastAsia"/>
                <w:color w:val="000000"/>
                <w:kern w:val="0"/>
                <w:szCs w:val="21"/>
              </w:rPr>
              <w:t>、</w:t>
            </w:r>
            <w:r w:rsidR="00AD5D30" w:rsidRPr="007C7822">
              <w:rPr>
                <w:rFonts w:hint="eastAsia"/>
                <w:color w:val="000000"/>
                <w:kern w:val="0"/>
                <w:szCs w:val="21"/>
              </w:rPr>
              <w:t>福建广生中霖生物科技有限公司</w:t>
            </w:r>
          </w:p>
        </w:tc>
        <w:tc>
          <w:tcPr>
            <w:tcW w:w="649" w:type="pct"/>
            <w:vAlign w:val="center"/>
          </w:tcPr>
          <w:p w14:paraId="21EDE2D0" w14:textId="77777777" w:rsidR="00AD5D30" w:rsidRPr="00E0313C" w:rsidRDefault="00AD5D30" w:rsidP="00B80623">
            <w:pPr>
              <w:adjustRightInd w:val="0"/>
              <w:jc w:val="center"/>
              <w:rPr>
                <w:color w:val="000000"/>
                <w:kern w:val="0"/>
                <w:szCs w:val="21"/>
              </w:rPr>
            </w:pPr>
            <w:r w:rsidRPr="007C7822">
              <w:rPr>
                <w:rFonts w:hint="eastAsia"/>
                <w:color w:val="000000"/>
                <w:kern w:val="0"/>
                <w:szCs w:val="21"/>
              </w:rPr>
              <w:t>歌礼药业（浙江）有限公司</w:t>
            </w:r>
          </w:p>
        </w:tc>
        <w:tc>
          <w:tcPr>
            <w:tcW w:w="761" w:type="pct"/>
            <w:vAlign w:val="center"/>
          </w:tcPr>
          <w:p w14:paraId="3E231908" w14:textId="77777777" w:rsidR="00AD5D30" w:rsidRPr="00E0313C" w:rsidRDefault="00AD5D30" w:rsidP="00B80623">
            <w:pPr>
              <w:adjustRightInd w:val="0"/>
              <w:jc w:val="center"/>
              <w:rPr>
                <w:color w:val="000000"/>
                <w:kern w:val="0"/>
                <w:szCs w:val="21"/>
              </w:rPr>
            </w:pPr>
            <w:r w:rsidRPr="007C7822">
              <w:rPr>
                <w:rFonts w:hint="eastAsia"/>
                <w:color w:val="000000"/>
                <w:kern w:val="0"/>
                <w:szCs w:val="21"/>
              </w:rPr>
              <w:t>上海国际经济贸易仲裁委员会</w:t>
            </w:r>
          </w:p>
        </w:tc>
        <w:tc>
          <w:tcPr>
            <w:tcW w:w="474" w:type="pct"/>
            <w:vAlign w:val="center"/>
          </w:tcPr>
          <w:p w14:paraId="63842F15" w14:textId="77777777" w:rsidR="00AD5D30" w:rsidRPr="00E0313C" w:rsidRDefault="00AD5D30" w:rsidP="00B80623">
            <w:pPr>
              <w:adjustRightInd w:val="0"/>
              <w:jc w:val="center"/>
              <w:rPr>
                <w:color w:val="000000"/>
                <w:kern w:val="0"/>
                <w:szCs w:val="21"/>
              </w:rPr>
            </w:pPr>
            <w:r>
              <w:rPr>
                <w:rFonts w:hint="eastAsia"/>
                <w:color w:val="000000"/>
                <w:kern w:val="0"/>
                <w:szCs w:val="21"/>
              </w:rPr>
              <w:t>合同纠纷</w:t>
            </w:r>
          </w:p>
        </w:tc>
        <w:tc>
          <w:tcPr>
            <w:tcW w:w="694" w:type="pct"/>
            <w:vMerge w:val="restart"/>
            <w:vAlign w:val="center"/>
          </w:tcPr>
          <w:p w14:paraId="1F74230E" w14:textId="77777777" w:rsidR="001A464E" w:rsidRDefault="006777F3" w:rsidP="00B80623">
            <w:pPr>
              <w:adjustRightInd w:val="0"/>
              <w:jc w:val="center"/>
              <w:rPr>
                <w:color w:val="000000"/>
                <w:kern w:val="0"/>
                <w:szCs w:val="21"/>
              </w:rPr>
            </w:pPr>
            <w:r>
              <w:rPr>
                <w:rFonts w:hint="eastAsia"/>
                <w:color w:val="000000"/>
                <w:kern w:val="0"/>
                <w:szCs w:val="21"/>
              </w:rPr>
              <w:t>已</w:t>
            </w:r>
            <w:r w:rsidR="00AD5D30">
              <w:rPr>
                <w:rFonts w:hint="eastAsia"/>
                <w:color w:val="000000"/>
                <w:kern w:val="0"/>
                <w:szCs w:val="21"/>
              </w:rPr>
              <w:t>终局</w:t>
            </w:r>
          </w:p>
          <w:p w14:paraId="1AF3AF61" w14:textId="4D505FB3" w:rsidR="00AD5D30" w:rsidRPr="00E0313C" w:rsidRDefault="00AD5D30" w:rsidP="00B80623">
            <w:pPr>
              <w:adjustRightInd w:val="0"/>
              <w:jc w:val="center"/>
              <w:rPr>
                <w:color w:val="000000"/>
                <w:kern w:val="0"/>
                <w:szCs w:val="21"/>
              </w:rPr>
            </w:pPr>
            <w:r>
              <w:rPr>
                <w:rFonts w:hint="eastAsia"/>
                <w:color w:val="000000"/>
                <w:kern w:val="0"/>
                <w:szCs w:val="21"/>
              </w:rPr>
              <w:t>裁决</w:t>
            </w:r>
          </w:p>
        </w:tc>
        <w:tc>
          <w:tcPr>
            <w:tcW w:w="681" w:type="pct"/>
            <w:vAlign w:val="center"/>
          </w:tcPr>
          <w:p w14:paraId="23FD7451" w14:textId="2B779230" w:rsidR="00AD5D30" w:rsidRPr="00E0313C" w:rsidRDefault="00AD5D30" w:rsidP="00AE22C4">
            <w:pPr>
              <w:adjustRightInd w:val="0"/>
              <w:jc w:val="center"/>
              <w:rPr>
                <w:color w:val="000000"/>
                <w:kern w:val="0"/>
                <w:szCs w:val="21"/>
              </w:rPr>
            </w:pPr>
            <w:r>
              <w:rPr>
                <w:rFonts w:hint="eastAsia"/>
                <w:color w:val="000000"/>
              </w:rPr>
              <w:t>3,768.88</w:t>
            </w:r>
          </w:p>
        </w:tc>
      </w:tr>
      <w:tr w:rsidR="00AD5D30" w:rsidRPr="003E630A" w14:paraId="4776B084" w14:textId="77777777" w:rsidTr="003269CB">
        <w:trPr>
          <w:jc w:val="center"/>
        </w:trPr>
        <w:tc>
          <w:tcPr>
            <w:tcW w:w="350" w:type="pct"/>
            <w:vAlign w:val="center"/>
          </w:tcPr>
          <w:p w14:paraId="0FCE1F65" w14:textId="067666EF" w:rsidR="00AD5D30" w:rsidRPr="00E0313C" w:rsidRDefault="0035363C" w:rsidP="00B80623">
            <w:pPr>
              <w:adjustRightInd w:val="0"/>
              <w:jc w:val="center"/>
              <w:rPr>
                <w:color w:val="000000"/>
                <w:kern w:val="0"/>
                <w:szCs w:val="21"/>
              </w:rPr>
            </w:pPr>
            <w:r>
              <w:rPr>
                <w:rFonts w:hint="eastAsia"/>
                <w:color w:val="000000"/>
                <w:kern w:val="0"/>
                <w:szCs w:val="21"/>
              </w:rPr>
              <w:t>2</w:t>
            </w:r>
          </w:p>
        </w:tc>
        <w:tc>
          <w:tcPr>
            <w:tcW w:w="783" w:type="pct"/>
            <w:vAlign w:val="center"/>
          </w:tcPr>
          <w:p w14:paraId="71971F62" w14:textId="77777777" w:rsidR="00AD5D30" w:rsidRPr="00E0313C" w:rsidRDefault="00AD5D30" w:rsidP="00B80623">
            <w:pPr>
              <w:adjustRightInd w:val="0"/>
              <w:jc w:val="center"/>
              <w:rPr>
                <w:color w:val="000000"/>
                <w:kern w:val="0"/>
                <w:szCs w:val="21"/>
              </w:rPr>
            </w:pPr>
            <w:r w:rsidRPr="007C7822">
              <w:rPr>
                <w:rFonts w:hint="eastAsia"/>
                <w:color w:val="000000"/>
                <w:kern w:val="0"/>
                <w:szCs w:val="21"/>
              </w:rPr>
              <w:t>上国仲</w:t>
            </w:r>
            <w:r w:rsidRPr="007C7822">
              <w:rPr>
                <w:rFonts w:hint="eastAsia"/>
                <w:color w:val="000000"/>
                <w:kern w:val="0"/>
                <w:szCs w:val="21"/>
              </w:rPr>
              <w:t>(2024)</w:t>
            </w:r>
            <w:r w:rsidRPr="007C7822">
              <w:rPr>
                <w:rFonts w:hint="eastAsia"/>
                <w:color w:val="000000"/>
                <w:kern w:val="0"/>
                <w:szCs w:val="21"/>
              </w:rPr>
              <w:t>第</w:t>
            </w:r>
            <w:r w:rsidRPr="007C7822">
              <w:rPr>
                <w:rFonts w:hint="eastAsia"/>
                <w:color w:val="000000"/>
                <w:kern w:val="0"/>
                <w:szCs w:val="21"/>
              </w:rPr>
              <w:t>791</w:t>
            </w:r>
            <w:r w:rsidRPr="007C7822">
              <w:rPr>
                <w:rFonts w:hint="eastAsia"/>
                <w:color w:val="000000"/>
                <w:kern w:val="0"/>
                <w:szCs w:val="21"/>
              </w:rPr>
              <w:t>号</w:t>
            </w:r>
          </w:p>
        </w:tc>
        <w:tc>
          <w:tcPr>
            <w:tcW w:w="608" w:type="pct"/>
            <w:vAlign w:val="center"/>
          </w:tcPr>
          <w:p w14:paraId="4D9BED8F" w14:textId="77777777" w:rsidR="00AD5D30" w:rsidRPr="00E0313C" w:rsidRDefault="00AD5D30" w:rsidP="00B80623">
            <w:pPr>
              <w:adjustRightInd w:val="0"/>
              <w:jc w:val="center"/>
              <w:rPr>
                <w:color w:val="000000"/>
                <w:kern w:val="0"/>
                <w:szCs w:val="21"/>
              </w:rPr>
            </w:pPr>
            <w:r w:rsidRPr="007C7822">
              <w:rPr>
                <w:rFonts w:hint="eastAsia"/>
                <w:color w:val="000000"/>
                <w:kern w:val="0"/>
                <w:szCs w:val="21"/>
              </w:rPr>
              <w:t>歌礼药业（浙江）有限公司</w:t>
            </w:r>
          </w:p>
        </w:tc>
        <w:tc>
          <w:tcPr>
            <w:tcW w:w="649" w:type="pct"/>
            <w:vAlign w:val="center"/>
          </w:tcPr>
          <w:p w14:paraId="71F563A2" w14:textId="65A835ED" w:rsidR="00AD5D30" w:rsidRPr="00E0313C" w:rsidRDefault="00871F11" w:rsidP="00B80623">
            <w:pPr>
              <w:adjustRightInd w:val="0"/>
              <w:jc w:val="center"/>
              <w:rPr>
                <w:color w:val="000000"/>
                <w:kern w:val="0"/>
                <w:szCs w:val="21"/>
              </w:rPr>
            </w:pPr>
            <w:r>
              <w:rPr>
                <w:rFonts w:hint="eastAsia"/>
                <w:color w:val="000000"/>
                <w:kern w:val="0"/>
                <w:szCs w:val="21"/>
              </w:rPr>
              <w:t>广生堂</w:t>
            </w:r>
            <w:r w:rsidR="00AD5D30">
              <w:rPr>
                <w:rFonts w:hint="eastAsia"/>
                <w:color w:val="000000"/>
                <w:kern w:val="0"/>
                <w:szCs w:val="21"/>
              </w:rPr>
              <w:t>、</w:t>
            </w:r>
            <w:r w:rsidR="00AD5D30" w:rsidRPr="007C7822">
              <w:rPr>
                <w:rFonts w:hint="eastAsia"/>
                <w:color w:val="000000"/>
                <w:kern w:val="0"/>
                <w:szCs w:val="21"/>
              </w:rPr>
              <w:t>福建广生中霖生物科技有限公司</w:t>
            </w:r>
          </w:p>
        </w:tc>
        <w:tc>
          <w:tcPr>
            <w:tcW w:w="761" w:type="pct"/>
            <w:vAlign w:val="center"/>
          </w:tcPr>
          <w:p w14:paraId="6DFC3223" w14:textId="77777777" w:rsidR="00AD5D30" w:rsidRPr="00E0313C" w:rsidRDefault="00AD5D30" w:rsidP="00B80623">
            <w:pPr>
              <w:adjustRightInd w:val="0"/>
              <w:jc w:val="center"/>
              <w:rPr>
                <w:color w:val="000000"/>
                <w:kern w:val="0"/>
                <w:szCs w:val="21"/>
              </w:rPr>
            </w:pPr>
            <w:r w:rsidRPr="007C7822">
              <w:rPr>
                <w:rFonts w:hint="eastAsia"/>
                <w:color w:val="000000"/>
                <w:kern w:val="0"/>
                <w:szCs w:val="21"/>
              </w:rPr>
              <w:t>上海国际经济贸易仲裁委员会</w:t>
            </w:r>
          </w:p>
        </w:tc>
        <w:tc>
          <w:tcPr>
            <w:tcW w:w="474" w:type="pct"/>
            <w:vAlign w:val="center"/>
          </w:tcPr>
          <w:p w14:paraId="7F1C6551" w14:textId="77777777" w:rsidR="00AD5D30" w:rsidRPr="00E0313C" w:rsidRDefault="00AD5D30" w:rsidP="00B80623">
            <w:pPr>
              <w:adjustRightInd w:val="0"/>
              <w:jc w:val="center"/>
              <w:rPr>
                <w:color w:val="000000"/>
                <w:kern w:val="0"/>
                <w:szCs w:val="21"/>
              </w:rPr>
            </w:pPr>
            <w:r>
              <w:rPr>
                <w:rFonts w:hint="eastAsia"/>
                <w:color w:val="000000"/>
                <w:kern w:val="0"/>
                <w:szCs w:val="21"/>
              </w:rPr>
              <w:t>合同纠纷</w:t>
            </w:r>
          </w:p>
        </w:tc>
        <w:tc>
          <w:tcPr>
            <w:tcW w:w="694" w:type="pct"/>
            <w:vMerge/>
            <w:vAlign w:val="center"/>
          </w:tcPr>
          <w:p w14:paraId="4DBC7194" w14:textId="3F3F84B0" w:rsidR="00AD5D30" w:rsidRPr="00E0313C" w:rsidRDefault="00AD5D30" w:rsidP="00B80623">
            <w:pPr>
              <w:adjustRightInd w:val="0"/>
              <w:jc w:val="center"/>
              <w:rPr>
                <w:color w:val="000000"/>
                <w:kern w:val="0"/>
                <w:szCs w:val="21"/>
              </w:rPr>
            </w:pPr>
          </w:p>
        </w:tc>
        <w:tc>
          <w:tcPr>
            <w:tcW w:w="681" w:type="pct"/>
            <w:vAlign w:val="center"/>
          </w:tcPr>
          <w:p w14:paraId="2309BBCF" w14:textId="3CCD6315" w:rsidR="00AD5D30" w:rsidRPr="00E0313C" w:rsidRDefault="00AD5D30" w:rsidP="00AE22C4">
            <w:pPr>
              <w:adjustRightInd w:val="0"/>
              <w:jc w:val="center"/>
              <w:rPr>
                <w:color w:val="000000"/>
                <w:kern w:val="0"/>
                <w:szCs w:val="21"/>
              </w:rPr>
            </w:pPr>
            <w:r>
              <w:rPr>
                <w:rFonts w:hint="eastAsia"/>
                <w:color w:val="000000"/>
              </w:rPr>
              <w:t>3,000.00</w:t>
            </w:r>
          </w:p>
        </w:tc>
      </w:tr>
      <w:tr w:rsidR="0035363C" w:rsidRPr="003E630A" w14:paraId="21189ED2" w14:textId="77777777" w:rsidTr="003269CB">
        <w:trPr>
          <w:jc w:val="center"/>
        </w:trPr>
        <w:tc>
          <w:tcPr>
            <w:tcW w:w="350" w:type="pct"/>
            <w:vAlign w:val="center"/>
          </w:tcPr>
          <w:p w14:paraId="28A55E42" w14:textId="0757832B" w:rsidR="0035363C" w:rsidRDefault="0035363C" w:rsidP="0035363C">
            <w:pPr>
              <w:adjustRightInd w:val="0"/>
              <w:jc w:val="center"/>
              <w:rPr>
                <w:color w:val="000000"/>
                <w:kern w:val="0"/>
                <w:szCs w:val="21"/>
              </w:rPr>
            </w:pPr>
            <w:r>
              <w:rPr>
                <w:rFonts w:hint="eastAsia"/>
                <w:color w:val="000000"/>
                <w:kern w:val="0"/>
                <w:szCs w:val="21"/>
              </w:rPr>
              <w:lastRenderedPageBreak/>
              <w:t>3</w:t>
            </w:r>
          </w:p>
        </w:tc>
        <w:tc>
          <w:tcPr>
            <w:tcW w:w="783" w:type="pct"/>
            <w:vAlign w:val="center"/>
          </w:tcPr>
          <w:p w14:paraId="6B1DD14E" w14:textId="36AB300F" w:rsidR="0035363C" w:rsidRPr="007C7822" w:rsidRDefault="0035363C" w:rsidP="0035363C">
            <w:pPr>
              <w:adjustRightInd w:val="0"/>
              <w:jc w:val="center"/>
              <w:rPr>
                <w:color w:val="000000"/>
                <w:kern w:val="0"/>
                <w:szCs w:val="21"/>
              </w:rPr>
            </w:pPr>
            <w:r w:rsidRPr="00C93939">
              <w:rPr>
                <w:rFonts w:hint="eastAsia"/>
                <w:kern w:val="0"/>
                <w:szCs w:val="21"/>
              </w:rPr>
              <w:t>镇徒劳人仲</w:t>
            </w:r>
            <w:r w:rsidRPr="00C93939">
              <w:rPr>
                <w:rFonts w:hint="eastAsia"/>
                <w:kern w:val="0"/>
                <w:szCs w:val="21"/>
              </w:rPr>
              <w:t xml:space="preserve"> </w:t>
            </w:r>
            <w:r w:rsidRPr="00C93939">
              <w:rPr>
                <w:rFonts w:hint="eastAsia"/>
                <w:kern w:val="0"/>
                <w:szCs w:val="21"/>
              </w:rPr>
              <w:t>案字〔</w:t>
            </w:r>
            <w:r w:rsidRPr="00C93939">
              <w:rPr>
                <w:rFonts w:hint="eastAsia"/>
                <w:kern w:val="0"/>
                <w:szCs w:val="21"/>
              </w:rPr>
              <w:t>2024</w:t>
            </w:r>
            <w:r w:rsidRPr="00C93939">
              <w:rPr>
                <w:rFonts w:hint="eastAsia"/>
                <w:kern w:val="0"/>
                <w:szCs w:val="21"/>
              </w:rPr>
              <w:t>〕</w:t>
            </w:r>
            <w:r w:rsidRPr="00C93939">
              <w:rPr>
                <w:rFonts w:hint="eastAsia"/>
                <w:kern w:val="0"/>
                <w:szCs w:val="21"/>
              </w:rPr>
              <w:t xml:space="preserve"> </w:t>
            </w:r>
            <w:r w:rsidRPr="00C93939">
              <w:rPr>
                <w:rFonts w:hint="eastAsia"/>
                <w:kern w:val="0"/>
                <w:szCs w:val="21"/>
              </w:rPr>
              <w:t>第</w:t>
            </w:r>
            <w:r w:rsidRPr="00C93939">
              <w:rPr>
                <w:rFonts w:hint="eastAsia"/>
                <w:kern w:val="0"/>
                <w:szCs w:val="21"/>
              </w:rPr>
              <w:t xml:space="preserve"> 40 </w:t>
            </w:r>
            <w:r w:rsidRPr="00C93939">
              <w:rPr>
                <w:rFonts w:hint="eastAsia"/>
                <w:kern w:val="0"/>
                <w:szCs w:val="21"/>
              </w:rPr>
              <w:t>号</w:t>
            </w:r>
          </w:p>
        </w:tc>
        <w:tc>
          <w:tcPr>
            <w:tcW w:w="608" w:type="pct"/>
            <w:vAlign w:val="center"/>
          </w:tcPr>
          <w:p w14:paraId="71F39A8A" w14:textId="605F871D" w:rsidR="0035363C" w:rsidRPr="007C7822" w:rsidRDefault="0035363C" w:rsidP="0035363C">
            <w:pPr>
              <w:adjustRightInd w:val="0"/>
              <w:jc w:val="center"/>
              <w:rPr>
                <w:color w:val="000000"/>
                <w:kern w:val="0"/>
                <w:szCs w:val="21"/>
              </w:rPr>
            </w:pPr>
            <w:r w:rsidRPr="00C93939">
              <w:rPr>
                <w:rFonts w:hint="eastAsia"/>
                <w:kern w:val="0"/>
                <w:szCs w:val="21"/>
              </w:rPr>
              <w:t>金</w:t>
            </w:r>
            <w:r>
              <w:rPr>
                <w:rFonts w:hint="eastAsia"/>
                <w:kern w:val="0"/>
                <w:szCs w:val="21"/>
              </w:rPr>
              <w:t>夏秋</w:t>
            </w:r>
          </w:p>
        </w:tc>
        <w:tc>
          <w:tcPr>
            <w:tcW w:w="649" w:type="pct"/>
            <w:vAlign w:val="center"/>
          </w:tcPr>
          <w:p w14:paraId="297C8E0E" w14:textId="4BCF514E" w:rsidR="0035363C" w:rsidRPr="007C7822" w:rsidRDefault="0035363C" w:rsidP="0035363C">
            <w:pPr>
              <w:adjustRightInd w:val="0"/>
              <w:jc w:val="center"/>
              <w:rPr>
                <w:color w:val="000000"/>
                <w:kern w:val="0"/>
                <w:szCs w:val="21"/>
              </w:rPr>
            </w:pPr>
            <w:r w:rsidRPr="00C93939">
              <w:rPr>
                <w:rFonts w:hint="eastAsia"/>
                <w:kern w:val="0"/>
                <w:szCs w:val="21"/>
              </w:rPr>
              <w:t>江苏中兴药业有限公司</w:t>
            </w:r>
          </w:p>
        </w:tc>
        <w:tc>
          <w:tcPr>
            <w:tcW w:w="761" w:type="pct"/>
            <w:vAlign w:val="center"/>
          </w:tcPr>
          <w:p w14:paraId="2A62748C" w14:textId="6B6EFB25" w:rsidR="0035363C" w:rsidRPr="007C7822" w:rsidRDefault="0035363C" w:rsidP="0035363C">
            <w:pPr>
              <w:adjustRightInd w:val="0"/>
              <w:jc w:val="center"/>
              <w:rPr>
                <w:color w:val="000000"/>
                <w:kern w:val="0"/>
                <w:szCs w:val="21"/>
              </w:rPr>
            </w:pPr>
            <w:r w:rsidRPr="00C93939">
              <w:rPr>
                <w:rFonts w:hint="eastAsia"/>
                <w:kern w:val="0"/>
                <w:szCs w:val="21"/>
              </w:rPr>
              <w:t>镇江市丹徒区劳动人事争议仲裁委员会</w:t>
            </w:r>
          </w:p>
        </w:tc>
        <w:tc>
          <w:tcPr>
            <w:tcW w:w="474" w:type="pct"/>
            <w:vAlign w:val="center"/>
          </w:tcPr>
          <w:p w14:paraId="1E1DE0F3" w14:textId="1BA5A42B" w:rsidR="0035363C" w:rsidRDefault="0035363C" w:rsidP="0035363C">
            <w:pPr>
              <w:adjustRightInd w:val="0"/>
              <w:jc w:val="center"/>
              <w:rPr>
                <w:color w:val="000000"/>
                <w:kern w:val="0"/>
                <w:szCs w:val="21"/>
              </w:rPr>
            </w:pPr>
            <w:r w:rsidRPr="00C93939">
              <w:rPr>
                <w:rFonts w:hint="eastAsia"/>
                <w:kern w:val="0"/>
                <w:szCs w:val="21"/>
              </w:rPr>
              <w:t>劳动争议</w:t>
            </w:r>
          </w:p>
        </w:tc>
        <w:tc>
          <w:tcPr>
            <w:tcW w:w="694" w:type="pct"/>
            <w:vAlign w:val="center"/>
          </w:tcPr>
          <w:p w14:paraId="7B4B85B1" w14:textId="0B715FC9" w:rsidR="0035363C" w:rsidRPr="00E0313C" w:rsidRDefault="0035363C" w:rsidP="0035363C">
            <w:pPr>
              <w:adjustRightInd w:val="0"/>
              <w:jc w:val="center"/>
              <w:rPr>
                <w:color w:val="000000"/>
                <w:kern w:val="0"/>
                <w:szCs w:val="21"/>
              </w:rPr>
            </w:pPr>
            <w:r>
              <w:rPr>
                <w:rFonts w:hint="eastAsia"/>
                <w:kern w:val="0"/>
                <w:szCs w:val="21"/>
              </w:rPr>
              <w:t>二审审理中</w:t>
            </w:r>
          </w:p>
        </w:tc>
        <w:tc>
          <w:tcPr>
            <w:tcW w:w="681" w:type="pct"/>
            <w:vAlign w:val="center"/>
          </w:tcPr>
          <w:p w14:paraId="1B54D914" w14:textId="0C6A0809" w:rsidR="0035363C" w:rsidRDefault="0035363C" w:rsidP="00AE22C4">
            <w:pPr>
              <w:adjustRightInd w:val="0"/>
              <w:jc w:val="center"/>
              <w:rPr>
                <w:color w:val="000000"/>
              </w:rPr>
            </w:pPr>
            <w:r>
              <w:rPr>
                <w:rFonts w:hint="eastAsia"/>
                <w:color w:val="000000"/>
              </w:rPr>
              <w:t>6.56</w:t>
            </w:r>
          </w:p>
        </w:tc>
      </w:tr>
      <w:tr w:rsidR="0035363C" w:rsidRPr="003E630A" w14:paraId="1C2C5E8A" w14:textId="77777777" w:rsidTr="003269CB">
        <w:trPr>
          <w:jc w:val="center"/>
        </w:trPr>
        <w:tc>
          <w:tcPr>
            <w:tcW w:w="350" w:type="pct"/>
            <w:vAlign w:val="center"/>
          </w:tcPr>
          <w:p w14:paraId="2F5E9A43" w14:textId="0A622023" w:rsidR="0035363C" w:rsidRDefault="0035363C" w:rsidP="0035363C">
            <w:pPr>
              <w:adjustRightInd w:val="0"/>
              <w:jc w:val="center"/>
              <w:rPr>
                <w:color w:val="000000"/>
                <w:kern w:val="0"/>
                <w:szCs w:val="21"/>
              </w:rPr>
            </w:pPr>
            <w:r>
              <w:rPr>
                <w:rFonts w:hint="eastAsia"/>
                <w:kern w:val="0"/>
                <w:szCs w:val="21"/>
              </w:rPr>
              <w:t>4</w:t>
            </w:r>
          </w:p>
        </w:tc>
        <w:tc>
          <w:tcPr>
            <w:tcW w:w="783" w:type="pct"/>
            <w:vAlign w:val="center"/>
          </w:tcPr>
          <w:p w14:paraId="5B50BBCE" w14:textId="77777777" w:rsidR="0035363C" w:rsidRPr="007C7822" w:rsidRDefault="0035363C" w:rsidP="0035363C">
            <w:pPr>
              <w:adjustRightInd w:val="0"/>
              <w:jc w:val="center"/>
              <w:rPr>
                <w:color w:val="000000"/>
                <w:kern w:val="0"/>
                <w:szCs w:val="21"/>
              </w:rPr>
            </w:pPr>
            <w:r w:rsidRPr="006760E6">
              <w:rPr>
                <w:rFonts w:hint="eastAsia"/>
                <w:kern w:val="0"/>
                <w:szCs w:val="21"/>
              </w:rPr>
              <w:t>（</w:t>
            </w:r>
            <w:r w:rsidRPr="006760E6">
              <w:rPr>
                <w:rFonts w:hint="eastAsia"/>
                <w:kern w:val="0"/>
                <w:szCs w:val="21"/>
              </w:rPr>
              <w:t xml:space="preserve"> 2024 </w:t>
            </w:r>
            <w:r w:rsidRPr="006760E6">
              <w:rPr>
                <w:rFonts w:hint="eastAsia"/>
                <w:kern w:val="0"/>
                <w:szCs w:val="21"/>
              </w:rPr>
              <w:t>）</w:t>
            </w:r>
            <w:r w:rsidRPr="006760E6">
              <w:rPr>
                <w:rFonts w:hint="eastAsia"/>
                <w:kern w:val="0"/>
                <w:szCs w:val="21"/>
              </w:rPr>
              <w:t xml:space="preserve"> </w:t>
            </w:r>
            <w:r w:rsidRPr="006760E6">
              <w:rPr>
                <w:rFonts w:hint="eastAsia"/>
                <w:kern w:val="0"/>
                <w:szCs w:val="21"/>
              </w:rPr>
              <w:t>苏</w:t>
            </w:r>
            <w:r w:rsidRPr="006760E6">
              <w:rPr>
                <w:rFonts w:hint="eastAsia"/>
                <w:kern w:val="0"/>
                <w:szCs w:val="21"/>
              </w:rPr>
              <w:t xml:space="preserve"> 1112 </w:t>
            </w:r>
            <w:r w:rsidRPr="006760E6">
              <w:rPr>
                <w:rFonts w:hint="eastAsia"/>
                <w:kern w:val="0"/>
                <w:szCs w:val="21"/>
              </w:rPr>
              <w:t>民</w:t>
            </w:r>
            <w:r w:rsidRPr="006760E6">
              <w:rPr>
                <w:rFonts w:hint="eastAsia"/>
                <w:kern w:val="0"/>
                <w:szCs w:val="21"/>
              </w:rPr>
              <w:t xml:space="preserve"> </w:t>
            </w:r>
            <w:r w:rsidRPr="006760E6">
              <w:rPr>
                <w:rFonts w:hint="eastAsia"/>
                <w:kern w:val="0"/>
                <w:szCs w:val="21"/>
              </w:rPr>
              <w:t>初</w:t>
            </w:r>
            <w:r w:rsidRPr="006760E6">
              <w:rPr>
                <w:rFonts w:hint="eastAsia"/>
                <w:kern w:val="0"/>
                <w:szCs w:val="21"/>
              </w:rPr>
              <w:t xml:space="preserve"> 813 </w:t>
            </w:r>
            <w:r w:rsidRPr="006760E6">
              <w:rPr>
                <w:rFonts w:hint="eastAsia"/>
                <w:kern w:val="0"/>
                <w:szCs w:val="21"/>
              </w:rPr>
              <w:t>号</w:t>
            </w:r>
          </w:p>
        </w:tc>
        <w:tc>
          <w:tcPr>
            <w:tcW w:w="608" w:type="pct"/>
            <w:vAlign w:val="center"/>
          </w:tcPr>
          <w:p w14:paraId="4341A1E8" w14:textId="77777777" w:rsidR="0035363C" w:rsidRPr="007C7822" w:rsidRDefault="0035363C" w:rsidP="0035363C">
            <w:pPr>
              <w:adjustRightInd w:val="0"/>
              <w:jc w:val="center"/>
              <w:rPr>
                <w:color w:val="000000"/>
                <w:kern w:val="0"/>
                <w:szCs w:val="21"/>
              </w:rPr>
            </w:pPr>
            <w:r w:rsidRPr="006760E6">
              <w:rPr>
                <w:rFonts w:hint="eastAsia"/>
                <w:kern w:val="0"/>
                <w:szCs w:val="21"/>
              </w:rPr>
              <w:t>江苏中和信工程咨询有限公司</w:t>
            </w:r>
          </w:p>
        </w:tc>
        <w:tc>
          <w:tcPr>
            <w:tcW w:w="649" w:type="pct"/>
            <w:vAlign w:val="center"/>
          </w:tcPr>
          <w:p w14:paraId="47ED137A" w14:textId="77777777" w:rsidR="0035363C" w:rsidRPr="007C7822" w:rsidRDefault="0035363C" w:rsidP="0035363C">
            <w:pPr>
              <w:adjustRightInd w:val="0"/>
              <w:jc w:val="center"/>
              <w:rPr>
                <w:color w:val="000000"/>
                <w:kern w:val="0"/>
                <w:szCs w:val="21"/>
              </w:rPr>
            </w:pPr>
            <w:r w:rsidRPr="006760E6">
              <w:rPr>
                <w:rFonts w:hint="eastAsia"/>
                <w:kern w:val="0"/>
                <w:szCs w:val="21"/>
              </w:rPr>
              <w:t>江苏中兴药业有限公司</w:t>
            </w:r>
          </w:p>
        </w:tc>
        <w:tc>
          <w:tcPr>
            <w:tcW w:w="761" w:type="pct"/>
            <w:vAlign w:val="center"/>
          </w:tcPr>
          <w:p w14:paraId="6D11131F" w14:textId="77777777" w:rsidR="0035363C" w:rsidRPr="007C7822" w:rsidRDefault="0035363C" w:rsidP="0035363C">
            <w:pPr>
              <w:adjustRightInd w:val="0"/>
              <w:jc w:val="center"/>
              <w:rPr>
                <w:color w:val="000000"/>
                <w:kern w:val="0"/>
                <w:szCs w:val="21"/>
              </w:rPr>
            </w:pPr>
            <w:r w:rsidRPr="006760E6">
              <w:rPr>
                <w:rFonts w:hint="eastAsia"/>
                <w:kern w:val="0"/>
                <w:szCs w:val="21"/>
              </w:rPr>
              <w:t>镇江市丹徒区人民法院</w:t>
            </w:r>
          </w:p>
        </w:tc>
        <w:tc>
          <w:tcPr>
            <w:tcW w:w="474" w:type="pct"/>
            <w:vAlign w:val="center"/>
          </w:tcPr>
          <w:p w14:paraId="43178A5E" w14:textId="77777777" w:rsidR="0035363C" w:rsidRDefault="0035363C" w:rsidP="0035363C">
            <w:pPr>
              <w:adjustRightInd w:val="0"/>
              <w:jc w:val="center"/>
              <w:rPr>
                <w:color w:val="000000"/>
                <w:kern w:val="0"/>
                <w:szCs w:val="21"/>
              </w:rPr>
            </w:pPr>
            <w:r w:rsidRPr="006760E6">
              <w:rPr>
                <w:rFonts w:hint="eastAsia"/>
                <w:kern w:val="0"/>
                <w:szCs w:val="21"/>
              </w:rPr>
              <w:t>合同纠纷</w:t>
            </w:r>
          </w:p>
        </w:tc>
        <w:tc>
          <w:tcPr>
            <w:tcW w:w="694" w:type="pct"/>
            <w:vAlign w:val="center"/>
          </w:tcPr>
          <w:p w14:paraId="79240698" w14:textId="5C37DA15" w:rsidR="0035363C" w:rsidRDefault="0035363C" w:rsidP="0035363C">
            <w:pPr>
              <w:adjustRightInd w:val="0"/>
              <w:jc w:val="center"/>
              <w:rPr>
                <w:color w:val="000000"/>
                <w:kern w:val="0"/>
                <w:szCs w:val="21"/>
              </w:rPr>
            </w:pPr>
            <w:r w:rsidRPr="006274DB">
              <w:rPr>
                <w:rFonts w:hint="eastAsia"/>
                <w:color w:val="000000"/>
                <w:kern w:val="0"/>
                <w:szCs w:val="21"/>
              </w:rPr>
              <w:t>调解结案</w:t>
            </w:r>
          </w:p>
        </w:tc>
        <w:tc>
          <w:tcPr>
            <w:tcW w:w="681" w:type="pct"/>
            <w:vAlign w:val="center"/>
          </w:tcPr>
          <w:p w14:paraId="77629649" w14:textId="77777777" w:rsidR="0035363C" w:rsidRDefault="0035363C" w:rsidP="00AE22C4">
            <w:pPr>
              <w:adjustRightInd w:val="0"/>
              <w:jc w:val="center"/>
              <w:rPr>
                <w:color w:val="000000"/>
              </w:rPr>
            </w:pPr>
            <w:r w:rsidRPr="006760E6">
              <w:rPr>
                <w:rFonts w:hint="eastAsia"/>
                <w:kern w:val="0"/>
                <w:szCs w:val="21"/>
              </w:rPr>
              <w:t>6.75</w:t>
            </w:r>
          </w:p>
        </w:tc>
      </w:tr>
    </w:tbl>
    <w:bookmarkEnd w:id="0"/>
    <w:p w14:paraId="6BCCB030" w14:textId="3DEF74F6" w:rsidR="00593208" w:rsidRDefault="009C0FA3" w:rsidP="00D6572F">
      <w:pPr>
        <w:numPr>
          <w:ilvl w:val="255"/>
          <w:numId w:val="0"/>
        </w:numPr>
        <w:adjustRightInd w:val="0"/>
        <w:spacing w:beforeLines="50" w:before="156" w:afterLines="50" w:after="156" w:line="360" w:lineRule="auto"/>
        <w:ind w:firstLineChars="200" w:firstLine="482"/>
        <w:rPr>
          <w:b/>
          <w:bCs/>
          <w:color w:val="000000"/>
          <w:kern w:val="0"/>
          <w:sz w:val="24"/>
          <w:szCs w:val="24"/>
        </w:rPr>
      </w:pPr>
      <w:r>
        <w:rPr>
          <w:rFonts w:hint="eastAsia"/>
          <w:b/>
          <w:bCs/>
          <w:color w:val="000000"/>
          <w:kern w:val="0"/>
          <w:sz w:val="24"/>
          <w:szCs w:val="24"/>
        </w:rPr>
        <w:t>二、</w:t>
      </w:r>
      <w:r w:rsidR="005373B6" w:rsidRPr="005373B6">
        <w:rPr>
          <w:rFonts w:hint="eastAsia"/>
          <w:b/>
          <w:bCs/>
          <w:color w:val="000000"/>
          <w:kern w:val="0"/>
          <w:sz w:val="24"/>
          <w:szCs w:val="24"/>
        </w:rPr>
        <w:t>本次进展情况对公司本期利润或期后利润的可能影响</w:t>
      </w:r>
    </w:p>
    <w:p w14:paraId="192C773E" w14:textId="0E2E567E" w:rsidR="00071B7E" w:rsidRDefault="00EE1638" w:rsidP="00E0313C">
      <w:pPr>
        <w:numPr>
          <w:ilvl w:val="255"/>
          <w:numId w:val="0"/>
        </w:numPr>
        <w:adjustRightInd w:val="0"/>
        <w:spacing w:beforeLines="50" w:before="156" w:afterLines="50" w:after="156" w:line="360" w:lineRule="auto"/>
        <w:ind w:firstLineChars="200" w:firstLine="480"/>
        <w:rPr>
          <w:color w:val="000000"/>
          <w:kern w:val="0"/>
          <w:sz w:val="24"/>
          <w:szCs w:val="24"/>
        </w:rPr>
      </w:pPr>
      <w:r w:rsidRPr="00EE1638">
        <w:rPr>
          <w:rFonts w:hint="eastAsia"/>
          <w:color w:val="000000"/>
          <w:kern w:val="0"/>
          <w:sz w:val="24"/>
          <w:szCs w:val="24"/>
        </w:rPr>
        <w:t>公司通过采取诉讼等法律手段</w:t>
      </w:r>
      <w:r w:rsidR="000D6B69" w:rsidRPr="00EE1638">
        <w:rPr>
          <w:rFonts w:hint="eastAsia"/>
          <w:color w:val="000000"/>
          <w:kern w:val="0"/>
          <w:sz w:val="24"/>
          <w:szCs w:val="24"/>
        </w:rPr>
        <w:t>积极</w:t>
      </w:r>
      <w:r w:rsidRPr="00EE1638">
        <w:rPr>
          <w:rFonts w:hint="eastAsia"/>
          <w:color w:val="000000"/>
          <w:kern w:val="0"/>
          <w:sz w:val="24"/>
          <w:szCs w:val="24"/>
        </w:rPr>
        <w:t>维护</w:t>
      </w:r>
      <w:r w:rsidR="000D6B69">
        <w:rPr>
          <w:rFonts w:hint="eastAsia"/>
          <w:color w:val="000000"/>
          <w:kern w:val="0"/>
          <w:sz w:val="24"/>
          <w:szCs w:val="24"/>
        </w:rPr>
        <w:t>了</w:t>
      </w:r>
      <w:r w:rsidRPr="00EE1638">
        <w:rPr>
          <w:rFonts w:hint="eastAsia"/>
          <w:color w:val="000000"/>
          <w:kern w:val="0"/>
          <w:sz w:val="24"/>
          <w:szCs w:val="24"/>
        </w:rPr>
        <w:t>公司的合法权益，</w:t>
      </w:r>
      <w:r w:rsidR="00045061">
        <w:rPr>
          <w:rFonts w:hint="eastAsia"/>
          <w:color w:val="000000"/>
          <w:kern w:val="0"/>
          <w:sz w:val="24"/>
          <w:szCs w:val="24"/>
        </w:rPr>
        <w:t>并</w:t>
      </w:r>
      <w:r w:rsidRPr="00EE1638">
        <w:rPr>
          <w:rFonts w:hint="eastAsia"/>
          <w:color w:val="000000"/>
          <w:kern w:val="0"/>
          <w:sz w:val="24"/>
          <w:szCs w:val="24"/>
        </w:rPr>
        <w:t>将依据企业会计准则的要求和</w:t>
      </w:r>
      <w:r w:rsidR="00045061">
        <w:rPr>
          <w:rFonts w:hint="eastAsia"/>
          <w:color w:val="000000"/>
          <w:kern w:val="0"/>
          <w:sz w:val="24"/>
          <w:szCs w:val="24"/>
        </w:rPr>
        <w:t>诉讼、仲裁</w:t>
      </w:r>
      <w:r w:rsidR="00071B7E">
        <w:rPr>
          <w:rFonts w:hint="eastAsia"/>
          <w:color w:val="000000"/>
          <w:kern w:val="0"/>
          <w:sz w:val="24"/>
          <w:szCs w:val="24"/>
        </w:rPr>
        <w:t>实际情况</w:t>
      </w:r>
      <w:r w:rsidRPr="00EE1638">
        <w:rPr>
          <w:rFonts w:hint="eastAsia"/>
          <w:color w:val="000000"/>
          <w:kern w:val="0"/>
          <w:sz w:val="24"/>
          <w:szCs w:val="24"/>
        </w:rPr>
        <w:t>进行相应的会计处理，</w:t>
      </w:r>
      <w:r w:rsidR="00071B7E">
        <w:rPr>
          <w:rFonts w:hint="eastAsia"/>
          <w:color w:val="000000"/>
          <w:kern w:val="0"/>
          <w:sz w:val="24"/>
          <w:szCs w:val="24"/>
        </w:rPr>
        <w:t>具体</w:t>
      </w:r>
      <w:r w:rsidR="00071B7E" w:rsidRPr="00071B7E">
        <w:rPr>
          <w:rFonts w:hint="eastAsia"/>
          <w:color w:val="000000"/>
          <w:kern w:val="0"/>
          <w:sz w:val="24"/>
          <w:szCs w:val="24"/>
        </w:rPr>
        <w:t>对公司</w:t>
      </w:r>
      <w:r w:rsidR="00C56B82">
        <w:rPr>
          <w:rFonts w:hint="eastAsia"/>
          <w:color w:val="000000"/>
          <w:kern w:val="0"/>
          <w:sz w:val="24"/>
          <w:szCs w:val="24"/>
        </w:rPr>
        <w:t>2024</w:t>
      </w:r>
      <w:r w:rsidR="00C56B82">
        <w:rPr>
          <w:rFonts w:hint="eastAsia"/>
          <w:color w:val="000000"/>
          <w:kern w:val="0"/>
          <w:sz w:val="24"/>
          <w:szCs w:val="24"/>
        </w:rPr>
        <w:t>年度</w:t>
      </w:r>
      <w:r w:rsidR="00071B7E" w:rsidRPr="00071B7E">
        <w:rPr>
          <w:rFonts w:hint="eastAsia"/>
          <w:color w:val="000000"/>
          <w:kern w:val="0"/>
          <w:sz w:val="24"/>
          <w:szCs w:val="24"/>
        </w:rPr>
        <w:t>利润或期后利润等的实际影响将以年度审计结果为准。敬请广大投资者谨慎决策，注意投资风险。</w:t>
      </w:r>
    </w:p>
    <w:p w14:paraId="524AB98E" w14:textId="10A571E9" w:rsidR="005373B6" w:rsidRDefault="005373B6" w:rsidP="005373B6">
      <w:pPr>
        <w:numPr>
          <w:ilvl w:val="255"/>
          <w:numId w:val="0"/>
        </w:numPr>
        <w:adjustRightInd w:val="0"/>
        <w:spacing w:beforeLines="50" w:before="156" w:afterLines="50" w:after="156" w:line="360" w:lineRule="auto"/>
        <w:ind w:firstLineChars="200" w:firstLine="482"/>
        <w:rPr>
          <w:b/>
          <w:bCs/>
          <w:color w:val="000000"/>
          <w:kern w:val="0"/>
          <w:sz w:val="24"/>
          <w:szCs w:val="24"/>
        </w:rPr>
      </w:pPr>
      <w:r>
        <w:rPr>
          <w:rFonts w:hint="eastAsia"/>
          <w:b/>
          <w:bCs/>
          <w:color w:val="000000"/>
          <w:kern w:val="0"/>
          <w:sz w:val="24"/>
          <w:szCs w:val="24"/>
        </w:rPr>
        <w:t>三</w:t>
      </w:r>
      <w:r w:rsidRPr="005373B6">
        <w:rPr>
          <w:rFonts w:hint="eastAsia"/>
          <w:b/>
          <w:bCs/>
          <w:color w:val="000000"/>
          <w:kern w:val="0"/>
          <w:sz w:val="24"/>
          <w:szCs w:val="24"/>
        </w:rPr>
        <w:t>、其他尚未披露的诉讼、仲裁事项</w:t>
      </w:r>
    </w:p>
    <w:p w14:paraId="159CCDFA" w14:textId="2D29D4E6" w:rsidR="005373B6" w:rsidRPr="005373B6" w:rsidRDefault="005373B6" w:rsidP="005373B6">
      <w:pPr>
        <w:numPr>
          <w:ilvl w:val="255"/>
          <w:numId w:val="0"/>
        </w:numPr>
        <w:adjustRightInd w:val="0"/>
        <w:spacing w:line="360" w:lineRule="auto"/>
        <w:ind w:firstLineChars="200" w:firstLine="480"/>
        <w:rPr>
          <w:color w:val="000000"/>
          <w:kern w:val="0"/>
          <w:sz w:val="24"/>
          <w:szCs w:val="24"/>
        </w:rPr>
      </w:pPr>
      <w:r w:rsidRPr="005373B6">
        <w:rPr>
          <w:rFonts w:hint="eastAsia"/>
          <w:color w:val="000000"/>
          <w:kern w:val="0"/>
          <w:sz w:val="24"/>
          <w:szCs w:val="24"/>
        </w:rPr>
        <w:t>截至</w:t>
      </w:r>
      <w:r w:rsidRPr="005373B6">
        <w:rPr>
          <w:rFonts w:hint="eastAsia"/>
          <w:color w:val="000000"/>
          <w:kern w:val="0"/>
          <w:sz w:val="24"/>
          <w:szCs w:val="24"/>
        </w:rPr>
        <w:t>202</w:t>
      </w:r>
      <w:r>
        <w:rPr>
          <w:rFonts w:hint="eastAsia"/>
          <w:color w:val="000000"/>
          <w:kern w:val="0"/>
          <w:sz w:val="24"/>
          <w:szCs w:val="24"/>
        </w:rPr>
        <w:t>5</w:t>
      </w:r>
      <w:r w:rsidRPr="005373B6">
        <w:rPr>
          <w:rFonts w:hint="eastAsia"/>
          <w:color w:val="000000"/>
          <w:kern w:val="0"/>
          <w:sz w:val="24"/>
          <w:szCs w:val="24"/>
        </w:rPr>
        <w:t>年</w:t>
      </w:r>
      <w:r>
        <w:rPr>
          <w:rFonts w:hint="eastAsia"/>
          <w:color w:val="000000"/>
          <w:kern w:val="0"/>
          <w:sz w:val="24"/>
          <w:szCs w:val="24"/>
        </w:rPr>
        <w:t>3</w:t>
      </w:r>
      <w:r w:rsidRPr="005373B6">
        <w:rPr>
          <w:rFonts w:hint="eastAsia"/>
          <w:color w:val="000000"/>
          <w:kern w:val="0"/>
          <w:sz w:val="24"/>
          <w:szCs w:val="24"/>
        </w:rPr>
        <w:t>月</w:t>
      </w:r>
      <w:r>
        <w:rPr>
          <w:rFonts w:hint="eastAsia"/>
          <w:color w:val="000000"/>
          <w:kern w:val="0"/>
          <w:sz w:val="24"/>
          <w:szCs w:val="24"/>
        </w:rPr>
        <w:t>18</w:t>
      </w:r>
      <w:r w:rsidRPr="005373B6">
        <w:rPr>
          <w:rFonts w:hint="eastAsia"/>
          <w:color w:val="000000"/>
          <w:kern w:val="0"/>
          <w:sz w:val="24"/>
          <w:szCs w:val="24"/>
        </w:rPr>
        <w:t>日，公司及子公司不存在其他应披露而未披露的重大诉讼及仲裁事项</w:t>
      </w:r>
      <w:r w:rsidR="00035504">
        <w:rPr>
          <w:rFonts w:hint="eastAsia"/>
          <w:color w:val="000000"/>
          <w:kern w:val="0"/>
          <w:sz w:val="24"/>
          <w:szCs w:val="24"/>
        </w:rPr>
        <w:t>，</w:t>
      </w:r>
      <w:r w:rsidRPr="005373B6">
        <w:rPr>
          <w:rFonts w:hint="eastAsia"/>
          <w:color w:val="000000"/>
          <w:kern w:val="0"/>
          <w:sz w:val="24"/>
          <w:szCs w:val="24"/>
        </w:rPr>
        <w:t>其他诉讼、仲裁情况及进展详见公司的相关公告或定期报告。</w:t>
      </w:r>
    </w:p>
    <w:p w14:paraId="7A895463" w14:textId="3136D430" w:rsidR="00593208" w:rsidRPr="00E0313C" w:rsidRDefault="009C0FA3" w:rsidP="009C0FA3">
      <w:pPr>
        <w:numPr>
          <w:ilvl w:val="255"/>
          <w:numId w:val="0"/>
        </w:numPr>
        <w:adjustRightInd w:val="0"/>
        <w:spacing w:beforeLines="50" w:before="156" w:afterLines="50" w:after="156" w:line="360" w:lineRule="auto"/>
        <w:ind w:firstLineChars="200" w:firstLine="482"/>
        <w:rPr>
          <w:b/>
          <w:bCs/>
          <w:color w:val="000000"/>
          <w:kern w:val="0"/>
          <w:sz w:val="24"/>
          <w:szCs w:val="24"/>
        </w:rPr>
      </w:pPr>
      <w:r>
        <w:rPr>
          <w:rFonts w:hint="eastAsia"/>
          <w:b/>
          <w:bCs/>
          <w:color w:val="000000"/>
          <w:kern w:val="0"/>
          <w:sz w:val="24"/>
          <w:szCs w:val="24"/>
        </w:rPr>
        <w:t>四、</w:t>
      </w:r>
      <w:r w:rsidR="00593208" w:rsidRPr="00E0313C">
        <w:rPr>
          <w:rFonts w:hint="eastAsia"/>
          <w:b/>
          <w:bCs/>
          <w:color w:val="000000"/>
          <w:kern w:val="0"/>
          <w:sz w:val="24"/>
          <w:szCs w:val="24"/>
        </w:rPr>
        <w:t>备查文件</w:t>
      </w:r>
    </w:p>
    <w:p w14:paraId="2CF645FF" w14:textId="65A34169" w:rsidR="00593208" w:rsidRPr="00593208" w:rsidRDefault="00A85809" w:rsidP="00E0313C">
      <w:pPr>
        <w:numPr>
          <w:ilvl w:val="255"/>
          <w:numId w:val="0"/>
        </w:numPr>
        <w:adjustRightInd w:val="0"/>
        <w:spacing w:beforeLines="50" w:before="156" w:afterLines="50" w:after="156" w:line="360" w:lineRule="auto"/>
        <w:ind w:firstLineChars="200" w:firstLine="480"/>
        <w:rPr>
          <w:color w:val="000000"/>
          <w:kern w:val="0"/>
          <w:sz w:val="24"/>
          <w:szCs w:val="24"/>
        </w:rPr>
      </w:pPr>
      <w:r>
        <w:rPr>
          <w:rFonts w:hint="eastAsia"/>
          <w:color w:val="000000"/>
          <w:kern w:val="0"/>
          <w:sz w:val="24"/>
          <w:szCs w:val="24"/>
        </w:rPr>
        <w:t>1</w:t>
      </w:r>
      <w:r>
        <w:rPr>
          <w:rFonts w:hint="eastAsia"/>
          <w:color w:val="000000"/>
          <w:kern w:val="0"/>
          <w:sz w:val="24"/>
          <w:szCs w:val="24"/>
        </w:rPr>
        <w:t>、</w:t>
      </w:r>
      <w:r w:rsidR="00EE1638">
        <w:rPr>
          <w:rFonts w:hint="eastAsia"/>
          <w:color w:val="000000"/>
          <w:kern w:val="0"/>
          <w:sz w:val="24"/>
          <w:szCs w:val="24"/>
        </w:rPr>
        <w:t>裁决</w:t>
      </w:r>
      <w:r w:rsidR="005373B6">
        <w:rPr>
          <w:rFonts w:hint="eastAsia"/>
          <w:color w:val="000000"/>
          <w:kern w:val="0"/>
          <w:sz w:val="24"/>
          <w:szCs w:val="24"/>
        </w:rPr>
        <w:t>书</w:t>
      </w:r>
      <w:r w:rsidR="00593208" w:rsidRPr="00593208">
        <w:rPr>
          <w:rFonts w:hint="eastAsia"/>
          <w:color w:val="000000"/>
          <w:kern w:val="0"/>
          <w:sz w:val="24"/>
          <w:szCs w:val="24"/>
        </w:rPr>
        <w:t>等</w:t>
      </w:r>
      <w:r w:rsidR="003C00FA">
        <w:rPr>
          <w:rFonts w:hint="eastAsia"/>
          <w:color w:val="000000"/>
          <w:kern w:val="0"/>
          <w:sz w:val="24"/>
          <w:szCs w:val="24"/>
        </w:rPr>
        <w:t>法律文件。</w:t>
      </w:r>
    </w:p>
    <w:p w14:paraId="07E28A5A" w14:textId="77777777" w:rsidR="00A85809" w:rsidRDefault="00A85809" w:rsidP="00593208">
      <w:pPr>
        <w:numPr>
          <w:ilvl w:val="255"/>
          <w:numId w:val="0"/>
        </w:numPr>
        <w:adjustRightInd w:val="0"/>
        <w:spacing w:beforeLines="50" w:before="156" w:afterLines="50" w:after="156" w:line="360" w:lineRule="auto"/>
        <w:ind w:firstLineChars="200" w:firstLine="480"/>
        <w:rPr>
          <w:color w:val="000000"/>
          <w:kern w:val="0"/>
          <w:sz w:val="24"/>
          <w:szCs w:val="24"/>
        </w:rPr>
      </w:pPr>
    </w:p>
    <w:p w14:paraId="67EA7E29" w14:textId="1041C9DF" w:rsidR="00593208" w:rsidRDefault="00593208" w:rsidP="00593208">
      <w:pPr>
        <w:numPr>
          <w:ilvl w:val="255"/>
          <w:numId w:val="0"/>
        </w:numPr>
        <w:adjustRightInd w:val="0"/>
        <w:spacing w:beforeLines="50" w:before="156" w:afterLines="50" w:after="156" w:line="360" w:lineRule="auto"/>
        <w:ind w:firstLineChars="200" w:firstLine="480"/>
        <w:rPr>
          <w:color w:val="000000"/>
          <w:kern w:val="0"/>
          <w:sz w:val="24"/>
          <w:szCs w:val="24"/>
        </w:rPr>
      </w:pPr>
      <w:r w:rsidRPr="00593208">
        <w:rPr>
          <w:rFonts w:hint="eastAsia"/>
          <w:color w:val="000000"/>
          <w:kern w:val="0"/>
          <w:sz w:val="24"/>
          <w:szCs w:val="24"/>
        </w:rPr>
        <w:t>特此公告。</w:t>
      </w:r>
    </w:p>
    <w:p w14:paraId="7F1B8AB9" w14:textId="77777777" w:rsidR="009C0FA3" w:rsidRDefault="009C0FA3" w:rsidP="00593208">
      <w:pPr>
        <w:numPr>
          <w:ilvl w:val="255"/>
          <w:numId w:val="0"/>
        </w:numPr>
        <w:adjustRightInd w:val="0"/>
        <w:spacing w:beforeLines="50" w:before="156" w:afterLines="50" w:after="156" w:line="360" w:lineRule="auto"/>
        <w:ind w:firstLineChars="200" w:firstLine="480"/>
        <w:rPr>
          <w:color w:val="000000"/>
          <w:kern w:val="0"/>
          <w:sz w:val="24"/>
          <w:szCs w:val="24"/>
        </w:rPr>
      </w:pPr>
    </w:p>
    <w:p w14:paraId="476BE262" w14:textId="77777777" w:rsidR="009C0FA3" w:rsidRDefault="009C0FA3" w:rsidP="009C0FA3">
      <w:pPr>
        <w:adjustRightInd w:val="0"/>
        <w:spacing w:line="360" w:lineRule="auto"/>
        <w:ind w:firstLineChars="200" w:firstLine="480"/>
        <w:jc w:val="right"/>
        <w:rPr>
          <w:color w:val="000000"/>
          <w:kern w:val="0"/>
          <w:sz w:val="24"/>
          <w:szCs w:val="24"/>
        </w:rPr>
      </w:pPr>
      <w:r>
        <w:rPr>
          <w:rFonts w:hint="eastAsia"/>
          <w:color w:val="000000"/>
          <w:kern w:val="0"/>
          <w:sz w:val="24"/>
          <w:szCs w:val="24"/>
        </w:rPr>
        <w:t>福建广生堂药业股份有限公司董事会</w:t>
      </w:r>
      <w:r>
        <w:rPr>
          <w:rFonts w:hint="eastAsia"/>
          <w:color w:val="000000"/>
          <w:kern w:val="0"/>
          <w:sz w:val="24"/>
          <w:szCs w:val="24"/>
        </w:rPr>
        <w:t xml:space="preserve"> </w:t>
      </w:r>
    </w:p>
    <w:p w14:paraId="11013AD1" w14:textId="46EA2EBA" w:rsidR="0025117A" w:rsidRDefault="009C0FA3" w:rsidP="00B0557B">
      <w:pPr>
        <w:adjustRightInd w:val="0"/>
        <w:spacing w:line="360" w:lineRule="auto"/>
        <w:ind w:firstLineChars="200" w:firstLine="480"/>
        <w:jc w:val="center"/>
        <w:rPr>
          <w:sz w:val="24"/>
          <w:szCs w:val="24"/>
        </w:rPr>
      </w:pPr>
      <w:r>
        <w:rPr>
          <w:color w:val="000000"/>
          <w:kern w:val="0"/>
          <w:sz w:val="24"/>
          <w:szCs w:val="24"/>
        </w:rPr>
        <w:t xml:space="preserve">                                   </w:t>
      </w:r>
      <w:r>
        <w:rPr>
          <w:rFonts w:hint="eastAsia"/>
          <w:color w:val="000000"/>
          <w:kern w:val="0"/>
          <w:sz w:val="24"/>
          <w:szCs w:val="24"/>
        </w:rPr>
        <w:t>202</w:t>
      </w:r>
      <w:r w:rsidR="000053E9">
        <w:rPr>
          <w:rFonts w:hint="eastAsia"/>
          <w:color w:val="000000"/>
          <w:kern w:val="0"/>
          <w:sz w:val="24"/>
          <w:szCs w:val="24"/>
        </w:rPr>
        <w:t>5</w:t>
      </w:r>
      <w:r>
        <w:rPr>
          <w:rFonts w:hint="eastAsia"/>
          <w:color w:val="000000"/>
          <w:kern w:val="0"/>
          <w:sz w:val="24"/>
          <w:szCs w:val="24"/>
        </w:rPr>
        <w:t>年</w:t>
      </w:r>
      <w:r w:rsidR="000053E9">
        <w:rPr>
          <w:rFonts w:hint="eastAsia"/>
          <w:color w:val="000000"/>
          <w:kern w:val="0"/>
          <w:sz w:val="24"/>
          <w:szCs w:val="24"/>
        </w:rPr>
        <w:t>3</w:t>
      </w:r>
      <w:r>
        <w:rPr>
          <w:rFonts w:hint="eastAsia"/>
          <w:color w:val="000000"/>
          <w:kern w:val="0"/>
          <w:sz w:val="24"/>
          <w:szCs w:val="24"/>
        </w:rPr>
        <w:t>月</w:t>
      </w:r>
      <w:r w:rsidR="000053E9">
        <w:rPr>
          <w:rFonts w:hint="eastAsia"/>
          <w:color w:val="000000"/>
          <w:kern w:val="0"/>
          <w:sz w:val="24"/>
          <w:szCs w:val="24"/>
        </w:rPr>
        <w:t>18</w:t>
      </w:r>
      <w:r>
        <w:rPr>
          <w:rFonts w:hint="eastAsia"/>
          <w:color w:val="000000"/>
          <w:kern w:val="0"/>
          <w:sz w:val="24"/>
          <w:szCs w:val="24"/>
        </w:rPr>
        <w:t>日</w:t>
      </w:r>
    </w:p>
    <w:sectPr w:rsidR="0025117A">
      <w:headerReference w:type="even" r:id="rId7"/>
      <w:headerReference w:type="default" r:id="rId8"/>
      <w:footerReference w:type="default" r:id="rId9"/>
      <w:headerReference w:type="firs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44CD9" w14:textId="77777777" w:rsidR="002707EF" w:rsidRDefault="002707EF">
      <w:r>
        <w:separator/>
      </w:r>
    </w:p>
  </w:endnote>
  <w:endnote w:type="continuationSeparator" w:id="0">
    <w:p w14:paraId="11A9CDB5" w14:textId="77777777" w:rsidR="002707EF" w:rsidRDefault="0027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altName w:val="HarmonyOS Sans SC"/>
    <w:panose1 w:val="020B0604020202020204"/>
    <w:charset w:val="86"/>
    <w:family w:val="auto"/>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61D5D" w14:textId="77777777" w:rsidR="0025117A" w:rsidRDefault="00E45893">
    <w:pPr>
      <w:pStyle w:val="a6"/>
      <w:jc w:val="center"/>
    </w:pPr>
    <w:r>
      <w:fldChar w:fldCharType="begin"/>
    </w:r>
    <w:r>
      <w:instrText>PAGE   \* MERGEFORMAT</w:instrText>
    </w:r>
    <w:r>
      <w:fldChar w:fldCharType="separate"/>
    </w:r>
    <w:r>
      <w:t>2</w:t>
    </w:r>
    <w:r>
      <w:fldChar w:fldCharType="end"/>
    </w:r>
  </w:p>
  <w:p w14:paraId="65E15698" w14:textId="77777777" w:rsidR="0025117A" w:rsidRDefault="002511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8CB00" w14:textId="77777777" w:rsidR="002707EF" w:rsidRDefault="002707EF">
      <w:r>
        <w:separator/>
      </w:r>
    </w:p>
  </w:footnote>
  <w:footnote w:type="continuationSeparator" w:id="0">
    <w:p w14:paraId="48C980E3" w14:textId="77777777" w:rsidR="002707EF" w:rsidRDefault="0027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F258" w14:textId="77777777" w:rsidR="0025117A" w:rsidRDefault="00E45893">
    <w:pPr>
      <w:pStyle w:val="a8"/>
    </w:pPr>
    <w:r>
      <w:rPr>
        <w:noProof/>
      </w:rPr>
      <w:drawing>
        <wp:anchor distT="0" distB="0" distL="114300" distR="114300" simplePos="0" relativeHeight="251660288" behindDoc="1" locked="0" layoutInCell="0" allowOverlap="1" wp14:anchorId="6D8ECD2B" wp14:editId="1A61E222">
          <wp:simplePos x="0" y="0"/>
          <wp:positionH relativeFrom="margin">
            <wp:align>center</wp:align>
          </wp:positionH>
          <wp:positionV relativeFrom="margin">
            <wp:align>center</wp:align>
          </wp:positionV>
          <wp:extent cx="7559040" cy="10692130"/>
          <wp:effectExtent l="0" t="0" r="3810" b="13970"/>
          <wp:wrapNone/>
          <wp:docPr id="1354477027" name="WordPictureWatermark3069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57726" w14:textId="77777777" w:rsidR="0025117A" w:rsidRDefault="00E45893">
    <w:pPr>
      <w:pStyle w:val="a8"/>
      <w:tabs>
        <w:tab w:val="clear" w:pos="8306"/>
        <w:tab w:val="right" w:pos="9214"/>
      </w:tabs>
      <w:ind w:leftChars="-608" w:left="-1277" w:rightChars="-634" w:right="-1331" w:firstLine="1"/>
    </w:pPr>
    <w:r>
      <w:rPr>
        <w:noProof/>
      </w:rPr>
      <w:drawing>
        <wp:anchor distT="0" distB="0" distL="114300" distR="114300" simplePos="0" relativeHeight="251661312" behindDoc="1" locked="0" layoutInCell="0" allowOverlap="1" wp14:anchorId="382D0167" wp14:editId="319B9819">
          <wp:simplePos x="0" y="0"/>
          <wp:positionH relativeFrom="margin">
            <wp:align>center</wp:align>
          </wp:positionH>
          <wp:positionV relativeFrom="margin">
            <wp:align>center</wp:align>
          </wp:positionV>
          <wp:extent cx="7559040" cy="10692130"/>
          <wp:effectExtent l="0" t="0" r="3810" b="13970"/>
          <wp:wrapNone/>
          <wp:docPr id="670253867" name="WordPictureWatermark3069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78B4" w14:textId="77777777" w:rsidR="0025117A" w:rsidRDefault="00E45893">
    <w:pPr>
      <w:pStyle w:val="a8"/>
    </w:pPr>
    <w:r>
      <w:rPr>
        <w:noProof/>
      </w:rPr>
      <w:drawing>
        <wp:anchor distT="0" distB="0" distL="114300" distR="114300" simplePos="0" relativeHeight="251659264" behindDoc="1" locked="0" layoutInCell="0" allowOverlap="1" wp14:anchorId="3926BC17" wp14:editId="1E0AA35C">
          <wp:simplePos x="0" y="0"/>
          <wp:positionH relativeFrom="margin">
            <wp:align>center</wp:align>
          </wp:positionH>
          <wp:positionV relativeFrom="margin">
            <wp:align>center</wp:align>
          </wp:positionV>
          <wp:extent cx="7559040" cy="10692130"/>
          <wp:effectExtent l="0" t="0" r="3810" b="13970"/>
          <wp:wrapNone/>
          <wp:docPr id="1979988837" name="WordPictureWatermark306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1FFB50"/>
    <w:multiLevelType w:val="singleLevel"/>
    <w:tmpl w:val="AC1FFB50"/>
    <w:lvl w:ilvl="0">
      <w:start w:val="1"/>
      <w:numFmt w:val="decimal"/>
      <w:suff w:val="nothing"/>
      <w:lvlText w:val="%1、"/>
      <w:lvlJc w:val="left"/>
    </w:lvl>
  </w:abstractNum>
  <w:abstractNum w:abstractNumId="1" w15:restartNumberingAfterBreak="0">
    <w:nsid w:val="B1F00BFE"/>
    <w:multiLevelType w:val="singleLevel"/>
    <w:tmpl w:val="B1F00BFE"/>
    <w:lvl w:ilvl="0">
      <w:start w:val="1"/>
      <w:numFmt w:val="decimal"/>
      <w:suff w:val="nothing"/>
      <w:lvlText w:val="%1、"/>
      <w:lvlJc w:val="left"/>
    </w:lvl>
  </w:abstractNum>
  <w:abstractNum w:abstractNumId="2" w15:restartNumberingAfterBreak="0">
    <w:nsid w:val="D4B9F161"/>
    <w:multiLevelType w:val="singleLevel"/>
    <w:tmpl w:val="D4B9F161"/>
    <w:lvl w:ilvl="0">
      <w:start w:val="5"/>
      <w:numFmt w:val="chineseCounting"/>
      <w:suff w:val="space"/>
      <w:lvlText w:val="%1、"/>
      <w:lvlJc w:val="left"/>
      <w:rPr>
        <w:rFonts w:hint="eastAsia"/>
      </w:rPr>
    </w:lvl>
  </w:abstractNum>
  <w:abstractNum w:abstractNumId="3" w15:restartNumberingAfterBreak="0">
    <w:nsid w:val="14E96F92"/>
    <w:multiLevelType w:val="hybridMultilevel"/>
    <w:tmpl w:val="567AE5F4"/>
    <w:lvl w:ilvl="0" w:tplc="051EAE9E">
      <w:start w:val="1"/>
      <w:numFmt w:val="japaneseCounting"/>
      <w:lvlText w:val="%1、"/>
      <w:lvlJc w:val="left"/>
      <w:pPr>
        <w:ind w:left="960" w:hanging="4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1C094367"/>
    <w:multiLevelType w:val="hybridMultilevel"/>
    <w:tmpl w:val="EDA43BEC"/>
    <w:lvl w:ilvl="0" w:tplc="09A67A80">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42F42FAD"/>
    <w:multiLevelType w:val="singleLevel"/>
    <w:tmpl w:val="42F42FAD"/>
    <w:lvl w:ilvl="0">
      <w:start w:val="1"/>
      <w:numFmt w:val="chineseCounting"/>
      <w:suff w:val="nothing"/>
      <w:lvlText w:val="（%1）"/>
      <w:lvlJc w:val="left"/>
      <w:rPr>
        <w:rFonts w:hint="eastAsia"/>
      </w:rPr>
    </w:lvl>
  </w:abstractNum>
  <w:abstractNum w:abstractNumId="6" w15:restartNumberingAfterBreak="0">
    <w:nsid w:val="458E1D81"/>
    <w:multiLevelType w:val="hybridMultilevel"/>
    <w:tmpl w:val="3E9656B0"/>
    <w:lvl w:ilvl="0" w:tplc="04090019">
      <w:start w:val="1"/>
      <w:numFmt w:val="low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4975479E"/>
    <w:multiLevelType w:val="hybridMultilevel"/>
    <w:tmpl w:val="FF700D30"/>
    <w:lvl w:ilvl="0" w:tplc="1B4A3740">
      <w:start w:val="1"/>
      <w:numFmt w:val="decimal"/>
      <w:lvlText w:val="%1、"/>
      <w:lvlJc w:val="left"/>
      <w:pPr>
        <w:ind w:left="962" w:hanging="48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8" w15:restartNumberingAfterBreak="0">
    <w:nsid w:val="5CE8B05E"/>
    <w:multiLevelType w:val="singleLevel"/>
    <w:tmpl w:val="5CE8B05E"/>
    <w:lvl w:ilvl="0">
      <w:start w:val="1"/>
      <w:numFmt w:val="chineseCounting"/>
      <w:suff w:val="nothing"/>
      <w:lvlText w:val="%1、"/>
      <w:lvlJc w:val="left"/>
      <w:rPr>
        <w:rFonts w:hint="eastAsia"/>
      </w:rPr>
    </w:lvl>
  </w:abstractNum>
  <w:num w:numId="1" w16cid:durableId="1528249242">
    <w:abstractNumId w:val="0"/>
  </w:num>
  <w:num w:numId="2" w16cid:durableId="950477768">
    <w:abstractNumId w:val="8"/>
  </w:num>
  <w:num w:numId="3" w16cid:durableId="1940789451">
    <w:abstractNumId w:val="5"/>
  </w:num>
  <w:num w:numId="4" w16cid:durableId="1009871863">
    <w:abstractNumId w:val="2"/>
  </w:num>
  <w:num w:numId="5" w16cid:durableId="1097142614">
    <w:abstractNumId w:val="1"/>
  </w:num>
  <w:num w:numId="6" w16cid:durableId="533887631">
    <w:abstractNumId w:val="3"/>
  </w:num>
  <w:num w:numId="7" w16cid:durableId="1520388369">
    <w:abstractNumId w:val="6"/>
  </w:num>
  <w:num w:numId="8" w16cid:durableId="1502621088">
    <w:abstractNumId w:val="4"/>
  </w:num>
  <w:num w:numId="9" w16cid:durableId="619267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Q4MDAzNjNiM2EwYjNjY2VkN2I2ZWY4OTg5YTA1ZWYifQ=="/>
  </w:docVars>
  <w:rsids>
    <w:rsidRoot w:val="00082C74"/>
    <w:rsid w:val="E6FD42F4"/>
    <w:rsid w:val="E9DFC778"/>
    <w:rsid w:val="EB97A8B3"/>
    <w:rsid w:val="F77EDDE2"/>
    <w:rsid w:val="000053E9"/>
    <w:rsid w:val="000216F9"/>
    <w:rsid w:val="00025414"/>
    <w:rsid w:val="00035504"/>
    <w:rsid w:val="00045061"/>
    <w:rsid w:val="000457B3"/>
    <w:rsid w:val="00051EFA"/>
    <w:rsid w:val="00052C8E"/>
    <w:rsid w:val="00071B7E"/>
    <w:rsid w:val="00082C74"/>
    <w:rsid w:val="00082D5C"/>
    <w:rsid w:val="000A0403"/>
    <w:rsid w:val="000A2738"/>
    <w:rsid w:val="000A30FD"/>
    <w:rsid w:val="000B017B"/>
    <w:rsid w:val="000B259C"/>
    <w:rsid w:val="000C2C6E"/>
    <w:rsid w:val="000C57A5"/>
    <w:rsid w:val="000D207F"/>
    <w:rsid w:val="000D628C"/>
    <w:rsid w:val="000D6B69"/>
    <w:rsid w:val="000D772C"/>
    <w:rsid w:val="000E160E"/>
    <w:rsid w:val="000F1AA8"/>
    <w:rsid w:val="000F46E4"/>
    <w:rsid w:val="000F51AB"/>
    <w:rsid w:val="001018BA"/>
    <w:rsid w:val="00104638"/>
    <w:rsid w:val="00114BAF"/>
    <w:rsid w:val="0012218E"/>
    <w:rsid w:val="00135B12"/>
    <w:rsid w:val="001368B9"/>
    <w:rsid w:val="00144753"/>
    <w:rsid w:val="00154D55"/>
    <w:rsid w:val="00155AAF"/>
    <w:rsid w:val="001571D6"/>
    <w:rsid w:val="001660B8"/>
    <w:rsid w:val="00174E03"/>
    <w:rsid w:val="0018098B"/>
    <w:rsid w:val="0018792D"/>
    <w:rsid w:val="001944F3"/>
    <w:rsid w:val="001A0313"/>
    <w:rsid w:val="001A464E"/>
    <w:rsid w:val="001C44C5"/>
    <w:rsid w:val="001C4E29"/>
    <w:rsid w:val="001C5611"/>
    <w:rsid w:val="001D6CAB"/>
    <w:rsid w:val="001E451C"/>
    <w:rsid w:val="001E796C"/>
    <w:rsid w:val="001F4D34"/>
    <w:rsid w:val="001F6F1A"/>
    <w:rsid w:val="00202AC1"/>
    <w:rsid w:val="0020760D"/>
    <w:rsid w:val="0021331C"/>
    <w:rsid w:val="002301F2"/>
    <w:rsid w:val="00230ABF"/>
    <w:rsid w:val="0023370F"/>
    <w:rsid w:val="00246531"/>
    <w:rsid w:val="0025117A"/>
    <w:rsid w:val="00251570"/>
    <w:rsid w:val="00254410"/>
    <w:rsid w:val="00262C1A"/>
    <w:rsid w:val="002652B3"/>
    <w:rsid w:val="00266533"/>
    <w:rsid w:val="002707EF"/>
    <w:rsid w:val="00271AA3"/>
    <w:rsid w:val="00275710"/>
    <w:rsid w:val="002800DA"/>
    <w:rsid w:val="002969C6"/>
    <w:rsid w:val="002A0F1B"/>
    <w:rsid w:val="002A452E"/>
    <w:rsid w:val="002A6767"/>
    <w:rsid w:val="002B37D9"/>
    <w:rsid w:val="002C05F4"/>
    <w:rsid w:val="002D512D"/>
    <w:rsid w:val="002F6938"/>
    <w:rsid w:val="0030109C"/>
    <w:rsid w:val="00304A5F"/>
    <w:rsid w:val="003138FE"/>
    <w:rsid w:val="003225AE"/>
    <w:rsid w:val="00322A41"/>
    <w:rsid w:val="003269CB"/>
    <w:rsid w:val="00327CC5"/>
    <w:rsid w:val="00331307"/>
    <w:rsid w:val="0033216F"/>
    <w:rsid w:val="003326DE"/>
    <w:rsid w:val="003337DE"/>
    <w:rsid w:val="003368E1"/>
    <w:rsid w:val="0035363C"/>
    <w:rsid w:val="0036016F"/>
    <w:rsid w:val="00360BE3"/>
    <w:rsid w:val="00370BFB"/>
    <w:rsid w:val="00371FB1"/>
    <w:rsid w:val="00376191"/>
    <w:rsid w:val="00380B6E"/>
    <w:rsid w:val="003829B2"/>
    <w:rsid w:val="003960BC"/>
    <w:rsid w:val="003A1EAB"/>
    <w:rsid w:val="003A30AE"/>
    <w:rsid w:val="003B1385"/>
    <w:rsid w:val="003B5539"/>
    <w:rsid w:val="003C00A3"/>
    <w:rsid w:val="003C00FA"/>
    <w:rsid w:val="003C5EF2"/>
    <w:rsid w:val="003C796A"/>
    <w:rsid w:val="003E51AF"/>
    <w:rsid w:val="003E630A"/>
    <w:rsid w:val="004035A6"/>
    <w:rsid w:val="004131F0"/>
    <w:rsid w:val="00414F53"/>
    <w:rsid w:val="0046166C"/>
    <w:rsid w:val="00471384"/>
    <w:rsid w:val="00474968"/>
    <w:rsid w:val="00484546"/>
    <w:rsid w:val="004A00C5"/>
    <w:rsid w:val="004B43EA"/>
    <w:rsid w:val="004C264F"/>
    <w:rsid w:val="004C59FC"/>
    <w:rsid w:val="004C64E3"/>
    <w:rsid w:val="004C65EB"/>
    <w:rsid w:val="004C7FBE"/>
    <w:rsid w:val="004D6979"/>
    <w:rsid w:val="004D6C43"/>
    <w:rsid w:val="004F077E"/>
    <w:rsid w:val="004F6C43"/>
    <w:rsid w:val="0051264A"/>
    <w:rsid w:val="00514F3F"/>
    <w:rsid w:val="00517F81"/>
    <w:rsid w:val="005207C2"/>
    <w:rsid w:val="00531645"/>
    <w:rsid w:val="00532AA5"/>
    <w:rsid w:val="005373B6"/>
    <w:rsid w:val="00537F40"/>
    <w:rsid w:val="005405AB"/>
    <w:rsid w:val="00547EA4"/>
    <w:rsid w:val="005547C9"/>
    <w:rsid w:val="00561B73"/>
    <w:rsid w:val="0057385D"/>
    <w:rsid w:val="0057432C"/>
    <w:rsid w:val="005816A6"/>
    <w:rsid w:val="005833D2"/>
    <w:rsid w:val="00593208"/>
    <w:rsid w:val="005A1A81"/>
    <w:rsid w:val="005B0244"/>
    <w:rsid w:val="005D348A"/>
    <w:rsid w:val="005D4E28"/>
    <w:rsid w:val="005E6AA0"/>
    <w:rsid w:val="0061354A"/>
    <w:rsid w:val="00613F5E"/>
    <w:rsid w:val="0062344A"/>
    <w:rsid w:val="006274DB"/>
    <w:rsid w:val="0064506D"/>
    <w:rsid w:val="00662525"/>
    <w:rsid w:val="00666EB8"/>
    <w:rsid w:val="006760E6"/>
    <w:rsid w:val="006777F3"/>
    <w:rsid w:val="006931CC"/>
    <w:rsid w:val="00694A5C"/>
    <w:rsid w:val="006A166F"/>
    <w:rsid w:val="006A604F"/>
    <w:rsid w:val="006B2202"/>
    <w:rsid w:val="006C1330"/>
    <w:rsid w:val="006C435C"/>
    <w:rsid w:val="006D130E"/>
    <w:rsid w:val="006E30F8"/>
    <w:rsid w:val="006E3FE5"/>
    <w:rsid w:val="006E500A"/>
    <w:rsid w:val="006E6E4A"/>
    <w:rsid w:val="006F2980"/>
    <w:rsid w:val="006F45B5"/>
    <w:rsid w:val="00703E3E"/>
    <w:rsid w:val="00711501"/>
    <w:rsid w:val="00725DCA"/>
    <w:rsid w:val="00727E33"/>
    <w:rsid w:val="007460C7"/>
    <w:rsid w:val="007849C2"/>
    <w:rsid w:val="007A0250"/>
    <w:rsid w:val="007B5DC4"/>
    <w:rsid w:val="007C13B7"/>
    <w:rsid w:val="007C6B1A"/>
    <w:rsid w:val="007C7822"/>
    <w:rsid w:val="007D07FC"/>
    <w:rsid w:val="007D0F78"/>
    <w:rsid w:val="007E604E"/>
    <w:rsid w:val="007F41A7"/>
    <w:rsid w:val="00803590"/>
    <w:rsid w:val="008036F0"/>
    <w:rsid w:val="00812D6C"/>
    <w:rsid w:val="00816A1B"/>
    <w:rsid w:val="008219BC"/>
    <w:rsid w:val="008321F0"/>
    <w:rsid w:val="008518E9"/>
    <w:rsid w:val="0085490A"/>
    <w:rsid w:val="0085495B"/>
    <w:rsid w:val="008563A7"/>
    <w:rsid w:val="008575BC"/>
    <w:rsid w:val="00871F11"/>
    <w:rsid w:val="008807F7"/>
    <w:rsid w:val="00883650"/>
    <w:rsid w:val="0088573D"/>
    <w:rsid w:val="0089351D"/>
    <w:rsid w:val="008A06A1"/>
    <w:rsid w:val="008A68CC"/>
    <w:rsid w:val="008A7399"/>
    <w:rsid w:val="008B4BD3"/>
    <w:rsid w:val="008B61E6"/>
    <w:rsid w:val="008B6610"/>
    <w:rsid w:val="008C0506"/>
    <w:rsid w:val="008C27D2"/>
    <w:rsid w:val="008C426B"/>
    <w:rsid w:val="008C6458"/>
    <w:rsid w:val="008C71E7"/>
    <w:rsid w:val="008D0465"/>
    <w:rsid w:val="008D4935"/>
    <w:rsid w:val="008D666C"/>
    <w:rsid w:val="008D7BD8"/>
    <w:rsid w:val="008D7F1A"/>
    <w:rsid w:val="008D7FFA"/>
    <w:rsid w:val="009016CE"/>
    <w:rsid w:val="00913E18"/>
    <w:rsid w:val="0091731E"/>
    <w:rsid w:val="00917566"/>
    <w:rsid w:val="00924C7F"/>
    <w:rsid w:val="009327CB"/>
    <w:rsid w:val="00932BC4"/>
    <w:rsid w:val="00933CE2"/>
    <w:rsid w:val="00936DAC"/>
    <w:rsid w:val="009378BB"/>
    <w:rsid w:val="0094267F"/>
    <w:rsid w:val="00942E2F"/>
    <w:rsid w:val="00960FEB"/>
    <w:rsid w:val="00977C2B"/>
    <w:rsid w:val="00987010"/>
    <w:rsid w:val="0098726C"/>
    <w:rsid w:val="009B5C81"/>
    <w:rsid w:val="009C0FA3"/>
    <w:rsid w:val="009C14B3"/>
    <w:rsid w:val="009C3D0D"/>
    <w:rsid w:val="009D63BC"/>
    <w:rsid w:val="009E70DE"/>
    <w:rsid w:val="00A00CDF"/>
    <w:rsid w:val="00A03A4B"/>
    <w:rsid w:val="00A05270"/>
    <w:rsid w:val="00A13724"/>
    <w:rsid w:val="00A16E7A"/>
    <w:rsid w:val="00A17658"/>
    <w:rsid w:val="00A22E0D"/>
    <w:rsid w:val="00A268CD"/>
    <w:rsid w:val="00A30304"/>
    <w:rsid w:val="00A56A5F"/>
    <w:rsid w:val="00A57300"/>
    <w:rsid w:val="00A66FA3"/>
    <w:rsid w:val="00A728EE"/>
    <w:rsid w:val="00A77552"/>
    <w:rsid w:val="00A80B26"/>
    <w:rsid w:val="00A838EC"/>
    <w:rsid w:val="00A85809"/>
    <w:rsid w:val="00AA6BA7"/>
    <w:rsid w:val="00AA72EE"/>
    <w:rsid w:val="00AA7C2A"/>
    <w:rsid w:val="00AB23D2"/>
    <w:rsid w:val="00AB61B4"/>
    <w:rsid w:val="00AD5D30"/>
    <w:rsid w:val="00AE22C4"/>
    <w:rsid w:val="00AE399B"/>
    <w:rsid w:val="00AF1AA1"/>
    <w:rsid w:val="00B0557B"/>
    <w:rsid w:val="00B45789"/>
    <w:rsid w:val="00B470C3"/>
    <w:rsid w:val="00B5190B"/>
    <w:rsid w:val="00B5453E"/>
    <w:rsid w:val="00B608C5"/>
    <w:rsid w:val="00B63B4D"/>
    <w:rsid w:val="00B8228E"/>
    <w:rsid w:val="00B852D5"/>
    <w:rsid w:val="00B91C47"/>
    <w:rsid w:val="00B942FD"/>
    <w:rsid w:val="00B94593"/>
    <w:rsid w:val="00BA0C4D"/>
    <w:rsid w:val="00BA2D07"/>
    <w:rsid w:val="00BA54BF"/>
    <w:rsid w:val="00BC3541"/>
    <w:rsid w:val="00BC3A33"/>
    <w:rsid w:val="00BC3FA0"/>
    <w:rsid w:val="00BD0E6E"/>
    <w:rsid w:val="00BD7CC5"/>
    <w:rsid w:val="00BE6B2C"/>
    <w:rsid w:val="00BE6E1D"/>
    <w:rsid w:val="00C05D6F"/>
    <w:rsid w:val="00C13E75"/>
    <w:rsid w:val="00C208A8"/>
    <w:rsid w:val="00C30427"/>
    <w:rsid w:val="00C520BC"/>
    <w:rsid w:val="00C53490"/>
    <w:rsid w:val="00C56B82"/>
    <w:rsid w:val="00C6343F"/>
    <w:rsid w:val="00C667E0"/>
    <w:rsid w:val="00C72AC9"/>
    <w:rsid w:val="00C80E42"/>
    <w:rsid w:val="00C93939"/>
    <w:rsid w:val="00CA6FA1"/>
    <w:rsid w:val="00CB0471"/>
    <w:rsid w:val="00CB0B0E"/>
    <w:rsid w:val="00CC2C7C"/>
    <w:rsid w:val="00CD0EA9"/>
    <w:rsid w:val="00CD4982"/>
    <w:rsid w:val="00CD4AD5"/>
    <w:rsid w:val="00CE6D49"/>
    <w:rsid w:val="00CF085E"/>
    <w:rsid w:val="00CF1F40"/>
    <w:rsid w:val="00CF2D3D"/>
    <w:rsid w:val="00CF7D39"/>
    <w:rsid w:val="00D001AA"/>
    <w:rsid w:val="00D251ED"/>
    <w:rsid w:val="00D26E29"/>
    <w:rsid w:val="00D32EC0"/>
    <w:rsid w:val="00D3320B"/>
    <w:rsid w:val="00D346DE"/>
    <w:rsid w:val="00D47D3E"/>
    <w:rsid w:val="00D5274D"/>
    <w:rsid w:val="00D53E5E"/>
    <w:rsid w:val="00D55B8C"/>
    <w:rsid w:val="00D57B96"/>
    <w:rsid w:val="00D6572F"/>
    <w:rsid w:val="00D749CE"/>
    <w:rsid w:val="00D9225C"/>
    <w:rsid w:val="00D9291D"/>
    <w:rsid w:val="00DC105B"/>
    <w:rsid w:val="00DC474F"/>
    <w:rsid w:val="00DD36B4"/>
    <w:rsid w:val="00DD417B"/>
    <w:rsid w:val="00DE6FDD"/>
    <w:rsid w:val="00DF171A"/>
    <w:rsid w:val="00DF193C"/>
    <w:rsid w:val="00DF4D45"/>
    <w:rsid w:val="00E0184A"/>
    <w:rsid w:val="00E02832"/>
    <w:rsid w:val="00E0313C"/>
    <w:rsid w:val="00E136F4"/>
    <w:rsid w:val="00E24D07"/>
    <w:rsid w:val="00E3304D"/>
    <w:rsid w:val="00E445AE"/>
    <w:rsid w:val="00E44B0D"/>
    <w:rsid w:val="00E45893"/>
    <w:rsid w:val="00E55259"/>
    <w:rsid w:val="00E76BFB"/>
    <w:rsid w:val="00E828A7"/>
    <w:rsid w:val="00E869BA"/>
    <w:rsid w:val="00EC3BFD"/>
    <w:rsid w:val="00EC4018"/>
    <w:rsid w:val="00ED53C1"/>
    <w:rsid w:val="00EE1638"/>
    <w:rsid w:val="00EE4FB1"/>
    <w:rsid w:val="00EE6AD3"/>
    <w:rsid w:val="00EF755C"/>
    <w:rsid w:val="00EF781E"/>
    <w:rsid w:val="00F029FD"/>
    <w:rsid w:val="00F02F98"/>
    <w:rsid w:val="00F0345F"/>
    <w:rsid w:val="00F17844"/>
    <w:rsid w:val="00F221D4"/>
    <w:rsid w:val="00F22E1A"/>
    <w:rsid w:val="00F22E3D"/>
    <w:rsid w:val="00F3177D"/>
    <w:rsid w:val="00F34CA8"/>
    <w:rsid w:val="00F42002"/>
    <w:rsid w:val="00F472CB"/>
    <w:rsid w:val="00F533EA"/>
    <w:rsid w:val="00F65DE9"/>
    <w:rsid w:val="00F73490"/>
    <w:rsid w:val="00F73824"/>
    <w:rsid w:val="00F73EB2"/>
    <w:rsid w:val="00F74B90"/>
    <w:rsid w:val="00F771E2"/>
    <w:rsid w:val="00F811F1"/>
    <w:rsid w:val="00F835FE"/>
    <w:rsid w:val="00FB1326"/>
    <w:rsid w:val="00FB5504"/>
    <w:rsid w:val="00FB6044"/>
    <w:rsid w:val="00FC46F8"/>
    <w:rsid w:val="00FD579C"/>
    <w:rsid w:val="00FD7CC1"/>
    <w:rsid w:val="00FE3558"/>
    <w:rsid w:val="00FF2DA0"/>
    <w:rsid w:val="011027CE"/>
    <w:rsid w:val="01AC1EE3"/>
    <w:rsid w:val="01D91AAE"/>
    <w:rsid w:val="01E45A87"/>
    <w:rsid w:val="02143A5B"/>
    <w:rsid w:val="02395596"/>
    <w:rsid w:val="025901E7"/>
    <w:rsid w:val="02780EBE"/>
    <w:rsid w:val="03A34D06"/>
    <w:rsid w:val="040327B2"/>
    <w:rsid w:val="041476CE"/>
    <w:rsid w:val="044D191B"/>
    <w:rsid w:val="047343F5"/>
    <w:rsid w:val="05272E46"/>
    <w:rsid w:val="0556361D"/>
    <w:rsid w:val="059A5658"/>
    <w:rsid w:val="05EB44D5"/>
    <w:rsid w:val="05EB7ACA"/>
    <w:rsid w:val="05FD5DDE"/>
    <w:rsid w:val="06113EC5"/>
    <w:rsid w:val="06231E4A"/>
    <w:rsid w:val="06B31DB5"/>
    <w:rsid w:val="06BB591A"/>
    <w:rsid w:val="07212C19"/>
    <w:rsid w:val="072239C3"/>
    <w:rsid w:val="07913C76"/>
    <w:rsid w:val="079C3BAC"/>
    <w:rsid w:val="079D330C"/>
    <w:rsid w:val="07A31495"/>
    <w:rsid w:val="07ED4390"/>
    <w:rsid w:val="07F8785C"/>
    <w:rsid w:val="0839318B"/>
    <w:rsid w:val="084611B7"/>
    <w:rsid w:val="08EE2548"/>
    <w:rsid w:val="09E74655"/>
    <w:rsid w:val="0A240D12"/>
    <w:rsid w:val="0A3C6411"/>
    <w:rsid w:val="0A8729A8"/>
    <w:rsid w:val="0ADA025B"/>
    <w:rsid w:val="0AE72DF4"/>
    <w:rsid w:val="0AE77571"/>
    <w:rsid w:val="0AFB3A26"/>
    <w:rsid w:val="0B2621C1"/>
    <w:rsid w:val="0B266665"/>
    <w:rsid w:val="0B375B24"/>
    <w:rsid w:val="0B41475C"/>
    <w:rsid w:val="0BF050BC"/>
    <w:rsid w:val="0C126BE9"/>
    <w:rsid w:val="0C2D757F"/>
    <w:rsid w:val="0C927E3B"/>
    <w:rsid w:val="0C9814B6"/>
    <w:rsid w:val="0E263246"/>
    <w:rsid w:val="0F02192F"/>
    <w:rsid w:val="0F4942A2"/>
    <w:rsid w:val="102032DA"/>
    <w:rsid w:val="10483D83"/>
    <w:rsid w:val="105F5AB5"/>
    <w:rsid w:val="107B7E97"/>
    <w:rsid w:val="10AD6EE0"/>
    <w:rsid w:val="11050ACA"/>
    <w:rsid w:val="114A726B"/>
    <w:rsid w:val="115E41A6"/>
    <w:rsid w:val="11BA0C20"/>
    <w:rsid w:val="11BE502B"/>
    <w:rsid w:val="11E74B6B"/>
    <w:rsid w:val="123D448F"/>
    <w:rsid w:val="12D328F7"/>
    <w:rsid w:val="13346BCE"/>
    <w:rsid w:val="1369778C"/>
    <w:rsid w:val="13C55706"/>
    <w:rsid w:val="142B2BA6"/>
    <w:rsid w:val="143F3FFF"/>
    <w:rsid w:val="144968D3"/>
    <w:rsid w:val="157536D9"/>
    <w:rsid w:val="157A1F45"/>
    <w:rsid w:val="162410AA"/>
    <w:rsid w:val="167F131F"/>
    <w:rsid w:val="16B36D4D"/>
    <w:rsid w:val="16B71ED0"/>
    <w:rsid w:val="16CA7464"/>
    <w:rsid w:val="16E60822"/>
    <w:rsid w:val="17733908"/>
    <w:rsid w:val="179E7583"/>
    <w:rsid w:val="17E11842"/>
    <w:rsid w:val="18014470"/>
    <w:rsid w:val="189B55D8"/>
    <w:rsid w:val="192667D1"/>
    <w:rsid w:val="19687E48"/>
    <w:rsid w:val="19986773"/>
    <w:rsid w:val="199B021E"/>
    <w:rsid w:val="19AA66B3"/>
    <w:rsid w:val="19C51D2B"/>
    <w:rsid w:val="1A0C6016"/>
    <w:rsid w:val="1A0D104E"/>
    <w:rsid w:val="1AC81CFA"/>
    <w:rsid w:val="1AE709B1"/>
    <w:rsid w:val="1AF866CC"/>
    <w:rsid w:val="1B9E09DE"/>
    <w:rsid w:val="1BA16EE5"/>
    <w:rsid w:val="1BA36B65"/>
    <w:rsid w:val="1BCD0437"/>
    <w:rsid w:val="1BF765EF"/>
    <w:rsid w:val="1C2A7637"/>
    <w:rsid w:val="1C9345DE"/>
    <w:rsid w:val="1CA86413"/>
    <w:rsid w:val="1CE115A3"/>
    <w:rsid w:val="1CF13A6A"/>
    <w:rsid w:val="1DE877AA"/>
    <w:rsid w:val="1DE928A7"/>
    <w:rsid w:val="1E027949"/>
    <w:rsid w:val="1E5D1F93"/>
    <w:rsid w:val="1F00098B"/>
    <w:rsid w:val="1F5259A2"/>
    <w:rsid w:val="1F5570C1"/>
    <w:rsid w:val="1FA712FF"/>
    <w:rsid w:val="1FF5E3CD"/>
    <w:rsid w:val="205C0F61"/>
    <w:rsid w:val="20F35A9E"/>
    <w:rsid w:val="20F36B91"/>
    <w:rsid w:val="214F3922"/>
    <w:rsid w:val="21583244"/>
    <w:rsid w:val="21AD2AE4"/>
    <w:rsid w:val="21C27070"/>
    <w:rsid w:val="21F22F60"/>
    <w:rsid w:val="2217060F"/>
    <w:rsid w:val="223C6D39"/>
    <w:rsid w:val="22890504"/>
    <w:rsid w:val="23103DA6"/>
    <w:rsid w:val="23867849"/>
    <w:rsid w:val="23AC26B0"/>
    <w:rsid w:val="24EA3E07"/>
    <w:rsid w:val="25611454"/>
    <w:rsid w:val="258874B3"/>
    <w:rsid w:val="25D26BF2"/>
    <w:rsid w:val="25DA2675"/>
    <w:rsid w:val="26797E08"/>
    <w:rsid w:val="268A4DCA"/>
    <w:rsid w:val="26952271"/>
    <w:rsid w:val="271D1DBA"/>
    <w:rsid w:val="274A50E1"/>
    <w:rsid w:val="27A40D9A"/>
    <w:rsid w:val="287E4F92"/>
    <w:rsid w:val="28AB5803"/>
    <w:rsid w:val="28E31CE4"/>
    <w:rsid w:val="28F60E22"/>
    <w:rsid w:val="29064F88"/>
    <w:rsid w:val="29151500"/>
    <w:rsid w:val="2A1E2591"/>
    <w:rsid w:val="2A932085"/>
    <w:rsid w:val="2AA44A58"/>
    <w:rsid w:val="2B0F45C8"/>
    <w:rsid w:val="2B3D52CD"/>
    <w:rsid w:val="2B4E2A99"/>
    <w:rsid w:val="2B6B18CD"/>
    <w:rsid w:val="2B9012BF"/>
    <w:rsid w:val="2B980E4E"/>
    <w:rsid w:val="2BA45289"/>
    <w:rsid w:val="2C1C3440"/>
    <w:rsid w:val="2CAF4ABC"/>
    <w:rsid w:val="2CBA67B5"/>
    <w:rsid w:val="2CF91854"/>
    <w:rsid w:val="2CF9552F"/>
    <w:rsid w:val="2D306F82"/>
    <w:rsid w:val="2D780E25"/>
    <w:rsid w:val="2E001109"/>
    <w:rsid w:val="2E013307"/>
    <w:rsid w:val="2E1D2C38"/>
    <w:rsid w:val="2E3502DE"/>
    <w:rsid w:val="2E84005D"/>
    <w:rsid w:val="2F4D0EBD"/>
    <w:rsid w:val="2FBB2AA3"/>
    <w:rsid w:val="2FC64924"/>
    <w:rsid w:val="304D4830"/>
    <w:rsid w:val="31833619"/>
    <w:rsid w:val="319D3AF3"/>
    <w:rsid w:val="31E354EF"/>
    <w:rsid w:val="31EC4131"/>
    <w:rsid w:val="322222E5"/>
    <w:rsid w:val="32296F5A"/>
    <w:rsid w:val="3250281F"/>
    <w:rsid w:val="325C2C2C"/>
    <w:rsid w:val="32AD3237"/>
    <w:rsid w:val="32CD4740"/>
    <w:rsid w:val="32DD447F"/>
    <w:rsid w:val="32FF7EB7"/>
    <w:rsid w:val="3459310A"/>
    <w:rsid w:val="34802092"/>
    <w:rsid w:val="34AF6494"/>
    <w:rsid w:val="3502519D"/>
    <w:rsid w:val="355E4668"/>
    <w:rsid w:val="35627E7B"/>
    <w:rsid w:val="35FD303D"/>
    <w:rsid w:val="35FE1A5E"/>
    <w:rsid w:val="362A0508"/>
    <w:rsid w:val="36314876"/>
    <w:rsid w:val="36540BFF"/>
    <w:rsid w:val="36664FD3"/>
    <w:rsid w:val="369167D9"/>
    <w:rsid w:val="36D16BD5"/>
    <w:rsid w:val="379571C6"/>
    <w:rsid w:val="37965442"/>
    <w:rsid w:val="37CF3D85"/>
    <w:rsid w:val="383A0DD3"/>
    <w:rsid w:val="3849527D"/>
    <w:rsid w:val="38C944AB"/>
    <w:rsid w:val="39976941"/>
    <w:rsid w:val="39C54DE2"/>
    <w:rsid w:val="3A865F28"/>
    <w:rsid w:val="3AF44AC4"/>
    <w:rsid w:val="3B22484E"/>
    <w:rsid w:val="3B27002E"/>
    <w:rsid w:val="3B751B9A"/>
    <w:rsid w:val="3C4C18D2"/>
    <w:rsid w:val="3C7026E0"/>
    <w:rsid w:val="3C7C607D"/>
    <w:rsid w:val="3C8D4BE6"/>
    <w:rsid w:val="3C9506A5"/>
    <w:rsid w:val="3CD13DD3"/>
    <w:rsid w:val="3D18555E"/>
    <w:rsid w:val="3D20135F"/>
    <w:rsid w:val="3D532B05"/>
    <w:rsid w:val="3D8418FA"/>
    <w:rsid w:val="3DE25EB3"/>
    <w:rsid w:val="3E045AE2"/>
    <w:rsid w:val="3E166C6B"/>
    <w:rsid w:val="3E346123"/>
    <w:rsid w:val="3E572F58"/>
    <w:rsid w:val="3E8F2A6A"/>
    <w:rsid w:val="3EAE6A2B"/>
    <w:rsid w:val="3ED42521"/>
    <w:rsid w:val="3EE37DED"/>
    <w:rsid w:val="3F63308A"/>
    <w:rsid w:val="3F6955A9"/>
    <w:rsid w:val="3FAD6756"/>
    <w:rsid w:val="3FD87226"/>
    <w:rsid w:val="3FF638FD"/>
    <w:rsid w:val="3FFC1167"/>
    <w:rsid w:val="4015092F"/>
    <w:rsid w:val="40193B13"/>
    <w:rsid w:val="4026664B"/>
    <w:rsid w:val="408C33B3"/>
    <w:rsid w:val="41335944"/>
    <w:rsid w:val="413614ED"/>
    <w:rsid w:val="415C59B8"/>
    <w:rsid w:val="41765FC6"/>
    <w:rsid w:val="41BE76A8"/>
    <w:rsid w:val="421A3B26"/>
    <w:rsid w:val="424F2096"/>
    <w:rsid w:val="42A36480"/>
    <w:rsid w:val="433E7EE2"/>
    <w:rsid w:val="43564377"/>
    <w:rsid w:val="439E377F"/>
    <w:rsid w:val="43E752BB"/>
    <w:rsid w:val="447830E2"/>
    <w:rsid w:val="450042C0"/>
    <w:rsid w:val="45045DE0"/>
    <w:rsid w:val="45235861"/>
    <w:rsid w:val="456B71F2"/>
    <w:rsid w:val="456D38C5"/>
    <w:rsid w:val="459270B2"/>
    <w:rsid w:val="45B85B30"/>
    <w:rsid w:val="464F3363"/>
    <w:rsid w:val="46843C64"/>
    <w:rsid w:val="47257848"/>
    <w:rsid w:val="473A2575"/>
    <w:rsid w:val="47531291"/>
    <w:rsid w:val="476C23A7"/>
    <w:rsid w:val="47C61008"/>
    <w:rsid w:val="487877F8"/>
    <w:rsid w:val="48A06010"/>
    <w:rsid w:val="48A37CB9"/>
    <w:rsid w:val="49222CC5"/>
    <w:rsid w:val="49690EEF"/>
    <w:rsid w:val="49C67BDE"/>
    <w:rsid w:val="49E360C7"/>
    <w:rsid w:val="4A031344"/>
    <w:rsid w:val="4A5478DF"/>
    <w:rsid w:val="4A686BC3"/>
    <w:rsid w:val="4A944BE6"/>
    <w:rsid w:val="4ACE3700"/>
    <w:rsid w:val="4AEA6060"/>
    <w:rsid w:val="4B296B88"/>
    <w:rsid w:val="4B5A4F44"/>
    <w:rsid w:val="4B7F2C4C"/>
    <w:rsid w:val="4C274FFC"/>
    <w:rsid w:val="4CC84E8C"/>
    <w:rsid w:val="4CCA6149"/>
    <w:rsid w:val="4CEC1159"/>
    <w:rsid w:val="4D2E2B7B"/>
    <w:rsid w:val="4DD92BB8"/>
    <w:rsid w:val="4E740A62"/>
    <w:rsid w:val="4E943B74"/>
    <w:rsid w:val="4F0F2376"/>
    <w:rsid w:val="4F2711ED"/>
    <w:rsid w:val="4F583EE0"/>
    <w:rsid w:val="4F707062"/>
    <w:rsid w:val="501C4E85"/>
    <w:rsid w:val="501F267E"/>
    <w:rsid w:val="506C72F2"/>
    <w:rsid w:val="50775673"/>
    <w:rsid w:val="509C0707"/>
    <w:rsid w:val="50E12080"/>
    <w:rsid w:val="513B13C3"/>
    <w:rsid w:val="51FF6894"/>
    <w:rsid w:val="53676AE3"/>
    <w:rsid w:val="53A616BE"/>
    <w:rsid w:val="53AE65CA"/>
    <w:rsid w:val="53B87967"/>
    <w:rsid w:val="53C90F08"/>
    <w:rsid w:val="53DD6B9E"/>
    <w:rsid w:val="53DD7F26"/>
    <w:rsid w:val="544C3E4B"/>
    <w:rsid w:val="548D0C44"/>
    <w:rsid w:val="554271C4"/>
    <w:rsid w:val="559417F6"/>
    <w:rsid w:val="55C44544"/>
    <w:rsid w:val="56161548"/>
    <w:rsid w:val="56496330"/>
    <w:rsid w:val="56F049FE"/>
    <w:rsid w:val="57C93BCD"/>
    <w:rsid w:val="57E37B41"/>
    <w:rsid w:val="58C75E36"/>
    <w:rsid w:val="58D97E3F"/>
    <w:rsid w:val="58E2665F"/>
    <w:rsid w:val="58F66C32"/>
    <w:rsid w:val="59F83E12"/>
    <w:rsid w:val="5A43133D"/>
    <w:rsid w:val="5A4A559B"/>
    <w:rsid w:val="5A5E4DB8"/>
    <w:rsid w:val="5A6516AD"/>
    <w:rsid w:val="5AFA4AD0"/>
    <w:rsid w:val="5B243716"/>
    <w:rsid w:val="5B6E700E"/>
    <w:rsid w:val="5B890579"/>
    <w:rsid w:val="5BFDE161"/>
    <w:rsid w:val="5C3E3E63"/>
    <w:rsid w:val="5C407366"/>
    <w:rsid w:val="5C621EFA"/>
    <w:rsid w:val="5C6E6C54"/>
    <w:rsid w:val="5C893F80"/>
    <w:rsid w:val="5CAE321D"/>
    <w:rsid w:val="5CE94535"/>
    <w:rsid w:val="5D0B4F26"/>
    <w:rsid w:val="5D3715D8"/>
    <w:rsid w:val="5D4C4020"/>
    <w:rsid w:val="5D6542B1"/>
    <w:rsid w:val="5D872AF1"/>
    <w:rsid w:val="5DD94F09"/>
    <w:rsid w:val="5E07154B"/>
    <w:rsid w:val="5EBC54FC"/>
    <w:rsid w:val="5F06794C"/>
    <w:rsid w:val="5F697FE2"/>
    <w:rsid w:val="5FAF7F87"/>
    <w:rsid w:val="5FC37DE4"/>
    <w:rsid w:val="5FEF342B"/>
    <w:rsid w:val="5FF32FFA"/>
    <w:rsid w:val="60BE791B"/>
    <w:rsid w:val="60DD623B"/>
    <w:rsid w:val="61032E37"/>
    <w:rsid w:val="61041CC2"/>
    <w:rsid w:val="61060A78"/>
    <w:rsid w:val="61B96A60"/>
    <w:rsid w:val="61D25911"/>
    <w:rsid w:val="62090166"/>
    <w:rsid w:val="62394BBB"/>
    <w:rsid w:val="627556BB"/>
    <w:rsid w:val="627A171F"/>
    <w:rsid w:val="628F3F2C"/>
    <w:rsid w:val="632878B5"/>
    <w:rsid w:val="639725D2"/>
    <w:rsid w:val="63996396"/>
    <w:rsid w:val="63D3286B"/>
    <w:rsid w:val="64510A1B"/>
    <w:rsid w:val="64590086"/>
    <w:rsid w:val="646B1ECF"/>
    <w:rsid w:val="647228CF"/>
    <w:rsid w:val="64BE0654"/>
    <w:rsid w:val="656655EA"/>
    <w:rsid w:val="65B110CD"/>
    <w:rsid w:val="65E43CBA"/>
    <w:rsid w:val="66027101"/>
    <w:rsid w:val="661A1A97"/>
    <w:rsid w:val="66605802"/>
    <w:rsid w:val="666F5E1C"/>
    <w:rsid w:val="667E4DB2"/>
    <w:rsid w:val="66A76486"/>
    <w:rsid w:val="66BA587D"/>
    <w:rsid w:val="66DF3B52"/>
    <w:rsid w:val="670A5668"/>
    <w:rsid w:val="6750514B"/>
    <w:rsid w:val="67654F94"/>
    <w:rsid w:val="679118E5"/>
    <w:rsid w:val="67BD6B7E"/>
    <w:rsid w:val="67CB4CF0"/>
    <w:rsid w:val="67F97B21"/>
    <w:rsid w:val="68375408"/>
    <w:rsid w:val="686B7E7B"/>
    <w:rsid w:val="68AD08CA"/>
    <w:rsid w:val="68BB7BDF"/>
    <w:rsid w:val="68BE1518"/>
    <w:rsid w:val="68C55F71"/>
    <w:rsid w:val="68CF2103"/>
    <w:rsid w:val="692F13B6"/>
    <w:rsid w:val="6942733B"/>
    <w:rsid w:val="699D5FD4"/>
    <w:rsid w:val="69C06C16"/>
    <w:rsid w:val="69DF7D42"/>
    <w:rsid w:val="6A115F93"/>
    <w:rsid w:val="6B0A1759"/>
    <w:rsid w:val="6B1000B4"/>
    <w:rsid w:val="6B2807B2"/>
    <w:rsid w:val="6BEF52D7"/>
    <w:rsid w:val="6C0079BC"/>
    <w:rsid w:val="6C37119B"/>
    <w:rsid w:val="6C3D64DF"/>
    <w:rsid w:val="6C3F2161"/>
    <w:rsid w:val="6C4F5883"/>
    <w:rsid w:val="6C54397F"/>
    <w:rsid w:val="6C5E66E4"/>
    <w:rsid w:val="6CA677C1"/>
    <w:rsid w:val="6CE13B64"/>
    <w:rsid w:val="6D5358B5"/>
    <w:rsid w:val="6D6E4FE8"/>
    <w:rsid w:val="6DB44E8F"/>
    <w:rsid w:val="6DCC37B0"/>
    <w:rsid w:val="6DD2422A"/>
    <w:rsid w:val="6E092EAB"/>
    <w:rsid w:val="6E136122"/>
    <w:rsid w:val="6E2F5A53"/>
    <w:rsid w:val="6E393D5D"/>
    <w:rsid w:val="6E53278F"/>
    <w:rsid w:val="6EAB0940"/>
    <w:rsid w:val="6EBB77B6"/>
    <w:rsid w:val="6EDB0540"/>
    <w:rsid w:val="6F394D3C"/>
    <w:rsid w:val="6F7118E2"/>
    <w:rsid w:val="6FBF5F0A"/>
    <w:rsid w:val="700852D9"/>
    <w:rsid w:val="70455963"/>
    <w:rsid w:val="706109EE"/>
    <w:rsid w:val="71072C7D"/>
    <w:rsid w:val="715C5796"/>
    <w:rsid w:val="71905160"/>
    <w:rsid w:val="71C730BB"/>
    <w:rsid w:val="71D7083C"/>
    <w:rsid w:val="72361A07"/>
    <w:rsid w:val="723658ED"/>
    <w:rsid w:val="72442685"/>
    <w:rsid w:val="7288628B"/>
    <w:rsid w:val="72E93FAE"/>
    <w:rsid w:val="731A4C66"/>
    <w:rsid w:val="736507F6"/>
    <w:rsid w:val="73B415E2"/>
    <w:rsid w:val="73BE3A62"/>
    <w:rsid w:val="73D8631E"/>
    <w:rsid w:val="741661E7"/>
    <w:rsid w:val="742A3281"/>
    <w:rsid w:val="742E1104"/>
    <w:rsid w:val="7432183C"/>
    <w:rsid w:val="7463267F"/>
    <w:rsid w:val="747247FB"/>
    <w:rsid w:val="74CC6652"/>
    <w:rsid w:val="74D636CD"/>
    <w:rsid w:val="75124DA1"/>
    <w:rsid w:val="7519692A"/>
    <w:rsid w:val="75400D68"/>
    <w:rsid w:val="75822AD7"/>
    <w:rsid w:val="76355A1B"/>
    <w:rsid w:val="769C314D"/>
    <w:rsid w:val="773F548C"/>
    <w:rsid w:val="77664B3C"/>
    <w:rsid w:val="78073379"/>
    <w:rsid w:val="78892558"/>
    <w:rsid w:val="78A87E00"/>
    <w:rsid w:val="78AD4288"/>
    <w:rsid w:val="78EA7FA9"/>
    <w:rsid w:val="799B610F"/>
    <w:rsid w:val="79A1389B"/>
    <w:rsid w:val="79C1634F"/>
    <w:rsid w:val="79D95D4E"/>
    <w:rsid w:val="79F301DD"/>
    <w:rsid w:val="7A382A7C"/>
    <w:rsid w:val="7A480094"/>
    <w:rsid w:val="7AAC16F7"/>
    <w:rsid w:val="7ADB6844"/>
    <w:rsid w:val="7AFA6219"/>
    <w:rsid w:val="7B0F54EB"/>
    <w:rsid w:val="7B191EC6"/>
    <w:rsid w:val="7B1E0809"/>
    <w:rsid w:val="7B242B7D"/>
    <w:rsid w:val="7BBA5457"/>
    <w:rsid w:val="7BC736D0"/>
    <w:rsid w:val="7BCE0AD2"/>
    <w:rsid w:val="7BD37033"/>
    <w:rsid w:val="7BF604ED"/>
    <w:rsid w:val="7C223070"/>
    <w:rsid w:val="7C757377"/>
    <w:rsid w:val="7C8F4BFB"/>
    <w:rsid w:val="7CCF0A8E"/>
    <w:rsid w:val="7CF9745D"/>
    <w:rsid w:val="7D0739D3"/>
    <w:rsid w:val="7D741FE3"/>
    <w:rsid w:val="7D8A5F9B"/>
    <w:rsid w:val="7D9341B1"/>
    <w:rsid w:val="7DBD7E58"/>
    <w:rsid w:val="7DCA32B1"/>
    <w:rsid w:val="7EB34784"/>
    <w:rsid w:val="7EB672AA"/>
    <w:rsid w:val="7EBF0D00"/>
    <w:rsid w:val="7F361C43"/>
    <w:rsid w:val="7F5646F6"/>
    <w:rsid w:val="7F867444"/>
    <w:rsid w:val="7F960A42"/>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C97D6"/>
  <w15:docId w15:val="{1ACD9D61-AAF5-4DF3-8C9B-90683B09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D30"/>
    <w:pPr>
      <w:widowControl w:val="0"/>
      <w:jc w:val="both"/>
    </w:pPr>
    <w:rPr>
      <w:kern w:val="2"/>
      <w:sz w:val="21"/>
      <w:szCs w:val="22"/>
    </w:rPr>
  </w:style>
  <w:style w:type="paragraph" w:styleId="3">
    <w:name w:val="heading 3"/>
    <w:basedOn w:val="a"/>
    <w:next w:val="a"/>
    <w:link w:val="30"/>
    <w:uiPriority w:val="9"/>
    <w:qFormat/>
    <w:pPr>
      <w:keepNext/>
      <w:keepLines/>
      <w:spacing w:before="200" w:after="200" w:line="360" w:lineRule="auto"/>
      <w:ind w:firstLineChars="200" w:firstLine="480"/>
      <w:outlineLvl w:val="2"/>
    </w:pPr>
    <w:rPr>
      <w:rFonts w:ascii="Calibri" w:hAnsi="Calibr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unhideWhenUsed/>
    <w:qFormat/>
    <w:rPr>
      <w:rFonts w:cs="Times New Roman"/>
    </w:rPr>
  </w:style>
  <w:style w:type="paragraph" w:customStyle="1" w:styleId="A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7">
    <w:name w:val="页脚 字符"/>
    <w:link w:val="a6"/>
    <w:uiPriority w:val="99"/>
    <w:qFormat/>
    <w:rPr>
      <w:sz w:val="18"/>
      <w:szCs w:val="18"/>
    </w:rPr>
  </w:style>
  <w:style w:type="character" w:customStyle="1" w:styleId="a5">
    <w:name w:val="批注框文本 字符"/>
    <w:link w:val="a4"/>
    <w:uiPriority w:val="99"/>
    <w:semiHidden/>
    <w:qFormat/>
    <w:rPr>
      <w:kern w:val="2"/>
      <w:sz w:val="18"/>
      <w:szCs w:val="18"/>
    </w:rPr>
  </w:style>
  <w:style w:type="character" w:customStyle="1" w:styleId="30">
    <w:name w:val="标题 3 字符"/>
    <w:link w:val="3"/>
    <w:uiPriority w:val="9"/>
    <w:qFormat/>
    <w:rPr>
      <w:rFonts w:ascii="Calibri" w:eastAsia="宋体" w:hAnsi="Calibri"/>
      <w:b/>
      <w:sz w:val="24"/>
    </w:rPr>
  </w:style>
  <w:style w:type="character" w:customStyle="1" w:styleId="a9">
    <w:name w:val="页眉 字符"/>
    <w:link w:val="a8"/>
    <w:uiPriority w:val="99"/>
    <w:semiHidden/>
    <w:qFormat/>
    <w:rPr>
      <w:sz w:val="18"/>
      <w:szCs w:val="18"/>
    </w:rPr>
  </w:style>
  <w:style w:type="character" w:customStyle="1" w:styleId="HTML0">
    <w:name w:val="HTML 预设格式 字符"/>
    <w:link w:val="HTML"/>
    <w:uiPriority w:val="99"/>
    <w:qFormat/>
    <w:rPr>
      <w:rFonts w:ascii="宋体" w:hAnsi="宋体" w:cs="宋体"/>
      <w:sz w:val="24"/>
      <w:szCs w:val="24"/>
    </w:rPr>
  </w:style>
  <w:style w:type="table" w:customStyle="1" w:styleId="1">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1">
    <w:name w:val="修订3"/>
    <w:hidden/>
    <w:uiPriority w:val="99"/>
    <w:semiHidden/>
    <w:qFormat/>
    <w:rPr>
      <w:kern w:val="2"/>
      <w:sz w:val="21"/>
      <w:szCs w:val="22"/>
    </w:rPr>
  </w:style>
  <w:style w:type="paragraph" w:styleId="ad">
    <w:name w:val="Revision"/>
    <w:hidden/>
    <w:uiPriority w:val="99"/>
    <w:semiHidden/>
    <w:rsid w:val="003C00A3"/>
    <w:rPr>
      <w:kern w:val="2"/>
      <w:sz w:val="21"/>
      <w:szCs w:val="22"/>
    </w:rPr>
  </w:style>
  <w:style w:type="paragraph" w:styleId="ae">
    <w:name w:val="List Paragraph"/>
    <w:basedOn w:val="a"/>
    <w:uiPriority w:val="99"/>
    <w:rsid w:val="002800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2</Pages>
  <Words>180</Words>
  <Characters>1032</Characters>
  <Application>Microsoft Office Word</Application>
  <DocSecurity>0</DocSecurity>
  <Lines>8</Lines>
  <Paragraphs>2</Paragraphs>
  <ScaleCrop>false</ScaleCrop>
  <Company>company</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证券代码：300436           证券简称：广生堂           公告编号：2021035</dc:title>
  <dc:creator>王琴</dc:creator>
  <cp:lastModifiedBy>QH</cp:lastModifiedBy>
  <cp:revision>110</cp:revision>
  <cp:lastPrinted>2023-05-30T01:36:00Z</cp:lastPrinted>
  <dcterms:created xsi:type="dcterms:W3CDTF">2020-05-21T07:36:00Z</dcterms:created>
  <dcterms:modified xsi:type="dcterms:W3CDTF">2025-03-18T10:59:00Z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2CBFC82545164B54A3033356DCC9F01A</vt:lpwstr>
  </property>
</Properties>
</file>