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1A161">
      <w:pPr>
        <w:spacing w:line="360" w:lineRule="auto"/>
        <w:rPr>
          <w:rFonts w:hint="eastAsia" w:ascii="宋体" w:hAnsi="宋体" w:cs="宋体"/>
          <w:kern w:val="0"/>
          <w:sz w:val="24"/>
          <w:szCs w:val="24"/>
        </w:rPr>
      </w:pPr>
      <w:r>
        <w:rPr>
          <w:rFonts w:hint="eastAsia" w:ascii="宋体" w:hAnsi="宋体" w:cs="宋体"/>
          <w:kern w:val="0"/>
          <w:sz w:val="24"/>
          <w:szCs w:val="24"/>
        </w:rPr>
        <w:t>证券代码：300436        证券简称：广生堂      公告编号：2025049</w:t>
      </w:r>
    </w:p>
    <w:p w14:paraId="1688BFA3">
      <w:pPr>
        <w:spacing w:before="156" w:beforeLines="50"/>
        <w:jc w:val="center"/>
        <w:rPr>
          <w:rFonts w:hint="eastAsia" w:ascii="宋体" w:hAnsi="宋体" w:cs="宋体"/>
          <w:b/>
          <w:kern w:val="0"/>
          <w:sz w:val="32"/>
          <w:szCs w:val="32"/>
        </w:rPr>
      </w:pPr>
      <w:r>
        <w:rPr>
          <w:rFonts w:hint="eastAsia" w:ascii="宋体" w:hAnsi="宋体" w:cs="宋体"/>
          <w:b/>
          <w:kern w:val="0"/>
          <w:sz w:val="32"/>
          <w:szCs w:val="32"/>
        </w:rPr>
        <w:t>福建广生堂药业股份有限公司</w:t>
      </w:r>
    </w:p>
    <w:p w14:paraId="172C88F1">
      <w:pPr>
        <w:jc w:val="center"/>
        <w:rPr>
          <w:rFonts w:hint="eastAsia" w:ascii="宋体" w:hAnsi="宋体" w:cs="宋体"/>
          <w:b/>
          <w:sz w:val="32"/>
          <w:szCs w:val="32"/>
        </w:rPr>
      </w:pPr>
      <w:r>
        <w:rPr>
          <w:rFonts w:hint="eastAsia" w:ascii="宋体" w:hAnsi="宋体" w:cs="宋体"/>
          <w:b/>
          <w:sz w:val="32"/>
          <w:szCs w:val="32"/>
        </w:rPr>
        <w:t>关于股票交易异常波动的公告</w:t>
      </w:r>
    </w:p>
    <w:p w14:paraId="228E3CED">
      <w:pPr>
        <w:jc w:val="center"/>
        <w:rPr>
          <w:rFonts w:hint="eastAsia" w:ascii="宋体" w:hAnsi="宋体" w:cs="宋体"/>
          <w:b/>
          <w:sz w:val="24"/>
          <w:szCs w:val="24"/>
        </w:rPr>
      </w:pPr>
    </w:p>
    <w:tbl>
      <w:tblPr>
        <w:tblStyle w:val="10"/>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522"/>
      </w:tblGrid>
      <w:tr w14:paraId="0D2000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457" w:hRule="atLeast"/>
        </w:trPr>
        <w:tc>
          <w:tcPr>
            <w:tcW w:w="8522" w:type="dxa"/>
            <w:vAlign w:val="center"/>
          </w:tcPr>
          <w:p w14:paraId="45C40C7D">
            <w:pPr>
              <w:widowControl/>
              <w:ind w:firstLine="600" w:firstLineChars="200"/>
              <w:rPr>
                <w:rFonts w:hint="eastAsia" w:ascii="宋体" w:hAnsi="宋体" w:cs="宋体"/>
                <w:b/>
                <w:sz w:val="30"/>
                <w:szCs w:val="30"/>
              </w:rPr>
            </w:pPr>
            <w:r>
              <w:rPr>
                <w:rFonts w:hint="eastAsia" w:ascii="宋体" w:hAnsi="宋体" w:cs="宋体"/>
                <w:kern w:val="0"/>
                <w:sz w:val="30"/>
                <w:szCs w:val="30"/>
              </w:rPr>
              <w:t>本公司及董事会全体成员保证信息披露的内容真实、准确、完整，没有虚假记载、误导性陈述或重大遗漏。</w:t>
            </w:r>
          </w:p>
        </w:tc>
      </w:tr>
    </w:tbl>
    <w:p w14:paraId="1FC71B48">
      <w:pPr>
        <w:adjustRightInd w:val="0"/>
        <w:snapToGrid w:val="0"/>
        <w:spacing w:line="360" w:lineRule="auto"/>
        <w:ind w:firstLine="482"/>
        <w:rPr>
          <w:rFonts w:hint="eastAsia" w:ascii="宋体" w:hAnsi="宋体" w:cs="宋体"/>
          <w:sz w:val="24"/>
          <w:szCs w:val="24"/>
        </w:rPr>
      </w:pPr>
    </w:p>
    <w:p w14:paraId="346E6D9A">
      <w:pPr>
        <w:pStyle w:val="2"/>
        <w:spacing w:before="156" w:after="156"/>
        <w:rPr>
          <w:rFonts w:hint="eastAsia" w:ascii="宋体" w:hAnsi="宋体" w:cs="宋体"/>
        </w:rPr>
      </w:pPr>
      <w:r>
        <w:rPr>
          <w:rFonts w:hint="eastAsia" w:ascii="宋体" w:hAnsi="宋体" w:cs="宋体"/>
        </w:rPr>
        <w:t>一、股票交易异常波动的具体情况</w:t>
      </w:r>
    </w:p>
    <w:p w14:paraId="0B6F7BA0">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福建广生堂药业股份有限公司（以下简称“公司”）股票自2025年7月2日至7月4日连续三个交易日收盘价格涨幅偏离值累计超过 30%。根据《深圳证券交易所交易规则》规定，属于股票交易异常波动的情况。</w:t>
      </w:r>
    </w:p>
    <w:p w14:paraId="4EE651F6">
      <w:pPr>
        <w:pStyle w:val="2"/>
        <w:spacing w:before="156" w:after="156"/>
      </w:pPr>
      <w:r>
        <w:rPr>
          <w:rFonts w:hint="eastAsia"/>
        </w:rPr>
        <w:t>二、</w:t>
      </w:r>
      <w:bookmarkStart w:id="0" w:name="OLE_LINK5"/>
      <w:r>
        <w:rPr>
          <w:rFonts w:hint="eastAsia"/>
        </w:rPr>
        <w:t>说明关注、核实情况</w:t>
      </w:r>
      <w:bookmarkEnd w:id="0"/>
    </w:p>
    <w:p w14:paraId="74E323FB">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针对公司股票交易异常波动，公司董事会已向公司、控股股东及实际控制人等就相关问题进行了核实，现将相关情况说明如下：</w:t>
      </w:r>
    </w:p>
    <w:p w14:paraId="48E83750">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1、公司前期披露的信息不存在需要更正、补充之处。</w:t>
      </w:r>
    </w:p>
    <w:p w14:paraId="0F9EDDE5">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2、公司关注到，公司乙肝治疗创新药GST-HG131被国家药品监督管理局药品审评中心拟纳入突破性治疗品种名单并公示，公示期7日。除前述信息外，公司未发现近期公共传媒报道了可能或已经对本公司股票交易价格产生较大影响的未公开重大信息。</w:t>
      </w:r>
    </w:p>
    <w:p w14:paraId="5CB347E5">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3、近期公司经营情况及内外部经营环境未发生重大变化。</w:t>
      </w:r>
    </w:p>
    <w:p w14:paraId="64DA14C0">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4、公司及控股股东、实际控制人不存在应披露而未披露的重大事项，也不存在除已披露事项外处于筹划阶段的重大事项。</w:t>
      </w:r>
    </w:p>
    <w:p w14:paraId="1D5AED8F">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5、股票异常波动期间，公司控股股东、实际控制人及其一致行动人不存在买卖公司股票的情形。</w:t>
      </w:r>
    </w:p>
    <w:p w14:paraId="0109C20E">
      <w:pPr>
        <w:pStyle w:val="2"/>
        <w:spacing w:before="156" w:after="156"/>
      </w:pPr>
      <w:bookmarkStart w:id="1" w:name="_GoBack"/>
      <w:bookmarkEnd w:id="1"/>
      <w:r>
        <w:rPr>
          <w:rFonts w:hint="eastAsia"/>
        </w:rPr>
        <w:t>三、是否存在应披露而未披露信息的说明</w:t>
      </w:r>
    </w:p>
    <w:p w14:paraId="6E664E5A">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本公司董事会确认，除前述事项（指第二部分“说明关注、核实情况”涉及事项）外，本公司目前没有任何根据《深圳证券交易所创业板股票上市规则》等有关规定应予以披露而未披露的事项或与该事项有关的筹划、商谈、意向、协议等；董事会也未获悉本公司有根据《深圳证券交易所创业板股票上市规则》等有关规定应予以披露而未披露的、对本公司股票及衍生品种交易价格产生较大影响的信息；公司前期披露的信息不存在需要更正、补充之处。</w:t>
      </w:r>
    </w:p>
    <w:p w14:paraId="65D8C689">
      <w:pPr>
        <w:pStyle w:val="2"/>
        <w:spacing w:before="156" w:after="156"/>
        <w:rPr>
          <w:rFonts w:hint="eastAsia" w:ascii="宋体" w:hAnsi="宋体" w:cs="宋体"/>
        </w:rPr>
      </w:pPr>
      <w:r>
        <w:rPr>
          <w:rFonts w:hint="eastAsia" w:ascii="宋体" w:hAnsi="宋体" w:cs="宋体"/>
        </w:rPr>
        <w:t>四、公司认为必要的风险提示</w:t>
      </w:r>
    </w:p>
    <w:p w14:paraId="798E070B">
      <w:pPr>
        <w:adjustRightInd w:val="0"/>
        <w:snapToGrid w:val="0"/>
        <w:spacing w:line="360" w:lineRule="auto"/>
        <w:ind w:firstLine="482"/>
        <w:rPr>
          <w:rFonts w:hint="eastAsia" w:ascii="宋体" w:hAnsi="宋体" w:eastAsia="宋体" w:cs="宋体"/>
          <w:sz w:val="24"/>
          <w:szCs w:val="24"/>
          <w:lang w:val="en-US" w:eastAsia="zh-CN"/>
        </w:rPr>
      </w:pPr>
      <w:r>
        <w:rPr>
          <w:rFonts w:hint="eastAsia" w:ascii="宋体" w:hAnsi="宋体" w:cs="宋体"/>
          <w:sz w:val="24"/>
          <w:szCs w:val="24"/>
          <w:lang w:val="en-US" w:eastAsia="zh-CN"/>
        </w:rPr>
        <w:t>1、经自查，公司不存在违反信息公平披露的情形。</w:t>
      </w:r>
    </w:p>
    <w:p w14:paraId="18C48F41">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、公司最近三年及一期经营业绩连续亏损。公司2022年至2025年第一季度归属于上市公司股东的净利润分别为-12,740.39万元、-34,858.98万元、</w:t>
      </w:r>
      <w:r>
        <w:rPr>
          <w:rFonts w:ascii="宋体" w:hAnsi="宋体" w:cs="宋体"/>
          <w:sz w:val="24"/>
          <w:szCs w:val="24"/>
        </w:rPr>
        <w:t>-15</w:t>
      </w:r>
      <w:r>
        <w:rPr>
          <w:rFonts w:hint="eastAsia" w:ascii="宋体" w:hAnsi="宋体" w:cs="宋体"/>
          <w:sz w:val="24"/>
          <w:szCs w:val="24"/>
        </w:rPr>
        <w:t>,</w:t>
      </w:r>
      <w:r>
        <w:rPr>
          <w:rFonts w:ascii="宋体" w:hAnsi="宋体" w:cs="宋体"/>
          <w:sz w:val="24"/>
          <w:szCs w:val="24"/>
        </w:rPr>
        <w:t>630</w:t>
      </w:r>
      <w:r>
        <w:rPr>
          <w:rFonts w:hint="eastAsia" w:ascii="宋体" w:hAnsi="宋体" w:cs="宋体"/>
          <w:sz w:val="24"/>
          <w:szCs w:val="24"/>
        </w:rPr>
        <w:t>.44万元，-2,848.89万元。敬请广大投资者注意投资风险。</w:t>
      </w:r>
    </w:p>
    <w:p w14:paraId="1F062A54">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公司乙肝治疗创新药GST-HG131拟纳入突破性治疗品种尚处于公示期，存在突破性治疗药物程序公示期满后不通过的风险。创新药研发周期长，投入大，风险高，容易受到多方面因素的影响，临床研究存在结果不及预期甚至失败的风险，后续能否获得批准上市存在不确定性。敬请广大投资者谨慎决策，注意防范投资风险。</w:t>
      </w:r>
    </w:p>
    <w:p w14:paraId="09EB0BCD">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公司指定的信息披露媒体为《证券时报》、《证券日报》、《中国证券报》、《上海证券报》和巨潮资讯网（http://www.cninfo.com.cn），有关公司的信息均以在上述指定媒体刊登的信息为准，敬请广大投资者理性投资，注意风险。</w:t>
      </w:r>
    </w:p>
    <w:p w14:paraId="193075D1">
      <w:pPr>
        <w:pStyle w:val="9"/>
        <w:spacing w:before="156" w:beforeLines="50" w:beforeAutospacing="0" w:after="156" w:afterLines="50" w:afterAutospacing="0" w:line="360" w:lineRule="auto"/>
        <w:ind w:firstLine="480" w:firstLineChars="200"/>
        <w:rPr>
          <w:rFonts w:hint="eastAsia"/>
          <w:kern w:val="2"/>
          <w:szCs w:val="21"/>
        </w:rPr>
      </w:pPr>
      <w:r>
        <w:rPr>
          <w:rFonts w:hint="eastAsia"/>
        </w:rPr>
        <w:t>特此公告。</w:t>
      </w:r>
    </w:p>
    <w:p w14:paraId="4EB0EC9C">
      <w:pPr>
        <w:widowControl/>
        <w:adjustRightInd w:val="0"/>
        <w:snapToGrid w:val="0"/>
        <w:spacing w:line="360" w:lineRule="auto"/>
        <w:ind w:firstLine="480" w:firstLineChars="200"/>
        <w:jc w:val="right"/>
        <w:rPr>
          <w:rFonts w:hint="eastAsia" w:ascii="宋体" w:hAnsi="宋体" w:cs="宋体"/>
          <w:sz w:val="24"/>
          <w:szCs w:val="21"/>
        </w:rPr>
      </w:pPr>
    </w:p>
    <w:p w14:paraId="5391B2AD">
      <w:pPr>
        <w:widowControl/>
        <w:adjustRightInd w:val="0"/>
        <w:snapToGrid w:val="0"/>
        <w:spacing w:line="360" w:lineRule="auto"/>
        <w:ind w:firstLine="480" w:firstLineChars="200"/>
        <w:jc w:val="right"/>
        <w:rPr>
          <w:rFonts w:hint="eastAsia" w:ascii="宋体" w:hAnsi="宋体" w:cs="宋体"/>
          <w:sz w:val="24"/>
          <w:szCs w:val="21"/>
        </w:rPr>
      </w:pPr>
    </w:p>
    <w:p w14:paraId="73248B32">
      <w:pPr>
        <w:widowControl/>
        <w:adjustRightInd w:val="0"/>
        <w:snapToGrid w:val="0"/>
        <w:spacing w:line="360" w:lineRule="auto"/>
        <w:ind w:firstLine="480" w:firstLineChars="200"/>
        <w:jc w:val="right"/>
        <w:rPr>
          <w:rFonts w:hint="eastAsia" w:ascii="宋体" w:hAnsi="宋体" w:cs="宋体"/>
          <w:sz w:val="24"/>
          <w:szCs w:val="21"/>
        </w:rPr>
      </w:pPr>
      <w:r>
        <w:rPr>
          <w:rFonts w:hint="eastAsia" w:ascii="宋体" w:hAnsi="宋体" w:cs="宋体"/>
          <w:sz w:val="24"/>
          <w:szCs w:val="21"/>
        </w:rPr>
        <w:t>福建广生堂药业股份有限公司董事会</w:t>
      </w:r>
    </w:p>
    <w:p w14:paraId="5BFCE6D0">
      <w:pPr>
        <w:widowControl/>
        <w:adjustRightInd w:val="0"/>
        <w:snapToGrid w:val="0"/>
        <w:spacing w:line="360" w:lineRule="auto"/>
        <w:ind w:firstLine="5520" w:firstLineChars="2300"/>
        <w:jc w:val="left"/>
        <w:rPr>
          <w:rFonts w:hint="eastAsia" w:ascii="宋体" w:hAnsi="宋体" w:cs="宋体"/>
          <w:sz w:val="24"/>
          <w:szCs w:val="24"/>
        </w:rPr>
      </w:pPr>
      <w:r>
        <w:rPr>
          <w:rFonts w:hint="eastAsia" w:ascii="宋体" w:hAnsi="宋体" w:cs="宋体"/>
          <w:sz w:val="24"/>
          <w:szCs w:val="21"/>
        </w:rPr>
        <w:t>2025年7月4日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1ECFB">
    <w:pPr>
      <w:pStyle w:val="6"/>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868E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568F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182EF">
    <w:pPr>
      <w:pStyle w:val="7"/>
      <w:tabs>
        <w:tab w:val="right" w:pos="9214"/>
        <w:tab w:val="clear" w:pos="8306"/>
      </w:tabs>
      <w:ind w:left="-1277" w:leftChars="-608" w:right="-1331" w:rightChars="-634" w:firstLine="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559040" cy="10692130"/>
          <wp:effectExtent l="0" t="0" r="3810" b="13970"/>
          <wp:wrapNone/>
          <wp:docPr id="3" name="WordPictureWatermark3069298"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69298"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E958">
    <w:pPr>
      <w:pStyle w:val="7"/>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9040" cy="10692130"/>
          <wp:effectExtent l="0" t="0" r="3810" b="13970"/>
          <wp:wrapNone/>
          <wp:docPr id="2" name="WordPictureWatermark3069297"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69297"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B91A0">
    <w:pPr>
      <w:pStyle w:val="7"/>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9040" cy="10692130"/>
          <wp:effectExtent l="0" t="0" r="3810" b="13970"/>
          <wp:wrapNone/>
          <wp:docPr id="1" name="WordPictureWatermark3069296"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069296"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MDAzNjNiM2EwYjNjY2VkN2I2ZWY4OTg5YTA1ZWYifQ=="/>
    <w:docVar w:name="metasota_documentID" w:val="8629386074233737216"/>
  </w:docVars>
  <w:rsids>
    <w:rsidRoot w:val="00082C74"/>
    <w:rsid w:val="00043EA5"/>
    <w:rsid w:val="00062142"/>
    <w:rsid w:val="00082C74"/>
    <w:rsid w:val="000C5D8D"/>
    <w:rsid w:val="000F1437"/>
    <w:rsid w:val="000F2B72"/>
    <w:rsid w:val="000F51AB"/>
    <w:rsid w:val="00144C6A"/>
    <w:rsid w:val="00161734"/>
    <w:rsid w:val="001F5A28"/>
    <w:rsid w:val="002078A5"/>
    <w:rsid w:val="0021331C"/>
    <w:rsid w:val="002448CC"/>
    <w:rsid w:val="0024604B"/>
    <w:rsid w:val="002562CC"/>
    <w:rsid w:val="002D1F1C"/>
    <w:rsid w:val="00303F01"/>
    <w:rsid w:val="00303F1D"/>
    <w:rsid w:val="003225AE"/>
    <w:rsid w:val="00376191"/>
    <w:rsid w:val="003975DD"/>
    <w:rsid w:val="003C796A"/>
    <w:rsid w:val="003E73EA"/>
    <w:rsid w:val="003E7976"/>
    <w:rsid w:val="00432AA7"/>
    <w:rsid w:val="00472B98"/>
    <w:rsid w:val="00494C23"/>
    <w:rsid w:val="004C65EB"/>
    <w:rsid w:val="004C7FBE"/>
    <w:rsid w:val="004D3DF7"/>
    <w:rsid w:val="004F03D6"/>
    <w:rsid w:val="00532AA5"/>
    <w:rsid w:val="00547EA4"/>
    <w:rsid w:val="00571DF5"/>
    <w:rsid w:val="0066395D"/>
    <w:rsid w:val="00690D05"/>
    <w:rsid w:val="006B1FE9"/>
    <w:rsid w:val="006C71F1"/>
    <w:rsid w:val="007320D8"/>
    <w:rsid w:val="007568F4"/>
    <w:rsid w:val="00756F5D"/>
    <w:rsid w:val="00791B37"/>
    <w:rsid w:val="007D07FC"/>
    <w:rsid w:val="007F5678"/>
    <w:rsid w:val="00861A88"/>
    <w:rsid w:val="008B4798"/>
    <w:rsid w:val="008D4935"/>
    <w:rsid w:val="008D666C"/>
    <w:rsid w:val="008E44A2"/>
    <w:rsid w:val="008F7D88"/>
    <w:rsid w:val="008F7F84"/>
    <w:rsid w:val="00910D93"/>
    <w:rsid w:val="009E07F6"/>
    <w:rsid w:val="00A00FE0"/>
    <w:rsid w:val="00A32C8B"/>
    <w:rsid w:val="00A344A1"/>
    <w:rsid w:val="00A805AA"/>
    <w:rsid w:val="00AB4096"/>
    <w:rsid w:val="00AC637B"/>
    <w:rsid w:val="00AF1AA1"/>
    <w:rsid w:val="00B467C7"/>
    <w:rsid w:val="00BE7D4C"/>
    <w:rsid w:val="00C36431"/>
    <w:rsid w:val="00CB14CA"/>
    <w:rsid w:val="00CC0F8D"/>
    <w:rsid w:val="00CC3391"/>
    <w:rsid w:val="00CD4982"/>
    <w:rsid w:val="00D001AA"/>
    <w:rsid w:val="00D44ECB"/>
    <w:rsid w:val="00DA523A"/>
    <w:rsid w:val="00DB2420"/>
    <w:rsid w:val="00E10BCF"/>
    <w:rsid w:val="00E71137"/>
    <w:rsid w:val="00F40987"/>
    <w:rsid w:val="00F46DA3"/>
    <w:rsid w:val="00FB5D5B"/>
    <w:rsid w:val="00FB6B56"/>
    <w:rsid w:val="00FC5C66"/>
    <w:rsid w:val="01832591"/>
    <w:rsid w:val="0410290D"/>
    <w:rsid w:val="060A4E28"/>
    <w:rsid w:val="08B74923"/>
    <w:rsid w:val="093208FE"/>
    <w:rsid w:val="0B0225D9"/>
    <w:rsid w:val="0BC41804"/>
    <w:rsid w:val="106D4074"/>
    <w:rsid w:val="10AE6DBE"/>
    <w:rsid w:val="141B4B0A"/>
    <w:rsid w:val="14B42A93"/>
    <w:rsid w:val="15E20BAE"/>
    <w:rsid w:val="17286D0C"/>
    <w:rsid w:val="179764FD"/>
    <w:rsid w:val="17995CB5"/>
    <w:rsid w:val="17BE4DAF"/>
    <w:rsid w:val="1A4D7493"/>
    <w:rsid w:val="1AD55213"/>
    <w:rsid w:val="1BCB2D28"/>
    <w:rsid w:val="1CB735C0"/>
    <w:rsid w:val="1E731769"/>
    <w:rsid w:val="21160150"/>
    <w:rsid w:val="24A94139"/>
    <w:rsid w:val="24D35EFE"/>
    <w:rsid w:val="27800A53"/>
    <w:rsid w:val="27C56BA3"/>
    <w:rsid w:val="280D1D37"/>
    <w:rsid w:val="29961AB0"/>
    <w:rsid w:val="2A8668B4"/>
    <w:rsid w:val="2BD90527"/>
    <w:rsid w:val="2DA73BC9"/>
    <w:rsid w:val="2E954DE4"/>
    <w:rsid w:val="2F4260D0"/>
    <w:rsid w:val="30333103"/>
    <w:rsid w:val="32070D49"/>
    <w:rsid w:val="35644951"/>
    <w:rsid w:val="36C10BB7"/>
    <w:rsid w:val="3A896735"/>
    <w:rsid w:val="3BA819AA"/>
    <w:rsid w:val="3DFB283E"/>
    <w:rsid w:val="41BE5866"/>
    <w:rsid w:val="428E2D6F"/>
    <w:rsid w:val="43071F86"/>
    <w:rsid w:val="452669A6"/>
    <w:rsid w:val="46A81416"/>
    <w:rsid w:val="4CBC5798"/>
    <w:rsid w:val="4D1A7B0D"/>
    <w:rsid w:val="4D9549A9"/>
    <w:rsid w:val="4E520210"/>
    <w:rsid w:val="4E787F99"/>
    <w:rsid w:val="4EA67471"/>
    <w:rsid w:val="4ED072DF"/>
    <w:rsid w:val="4FDE1EEA"/>
    <w:rsid w:val="5335321D"/>
    <w:rsid w:val="53CA4C80"/>
    <w:rsid w:val="54613836"/>
    <w:rsid w:val="54F25B03"/>
    <w:rsid w:val="55701CD9"/>
    <w:rsid w:val="56DB07AC"/>
    <w:rsid w:val="5CA23B87"/>
    <w:rsid w:val="61371BA7"/>
    <w:rsid w:val="61A46B11"/>
    <w:rsid w:val="61BD594B"/>
    <w:rsid w:val="65B926B0"/>
    <w:rsid w:val="66F64CB2"/>
    <w:rsid w:val="67D0597C"/>
    <w:rsid w:val="68867589"/>
    <w:rsid w:val="6AC01691"/>
    <w:rsid w:val="6B7B2FD8"/>
    <w:rsid w:val="6C1D7DFE"/>
    <w:rsid w:val="6DC538B9"/>
    <w:rsid w:val="6F897E18"/>
    <w:rsid w:val="70B25A9A"/>
    <w:rsid w:val="70C0732B"/>
    <w:rsid w:val="71A32C3D"/>
    <w:rsid w:val="74E51BC9"/>
    <w:rsid w:val="756B0879"/>
    <w:rsid w:val="75BB0D44"/>
    <w:rsid w:val="788039DC"/>
    <w:rsid w:val="78EE574A"/>
    <w:rsid w:val="798C7FDD"/>
    <w:rsid w:val="7D975515"/>
    <w:rsid w:val="7F060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qFormat/>
    <w:uiPriority w:val="9"/>
    <w:pPr>
      <w:keepNext/>
      <w:keepLines/>
      <w:spacing w:beforeLines="50" w:afterLines="50" w:line="360" w:lineRule="auto"/>
      <w:outlineLvl w:val="0"/>
    </w:pPr>
    <w:rPr>
      <w:b/>
      <w:kern w:val="44"/>
      <w:sz w:val="24"/>
    </w:rPr>
  </w:style>
  <w:style w:type="paragraph" w:styleId="4">
    <w:name w:val="heading 3"/>
    <w:basedOn w:val="1"/>
    <w:next w:val="1"/>
    <w:qFormat/>
    <w:uiPriority w:val="9"/>
    <w:pPr>
      <w:keepNext/>
      <w:keepLines/>
      <w:spacing w:before="260" w:after="260"/>
      <w:outlineLvl w:val="2"/>
    </w:pPr>
    <w:rPr>
      <w:b/>
      <w:kern w:val="0"/>
      <w:sz w:val="24"/>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qFormat/>
    <w:uiPriority w:val="0"/>
    <w:pPr>
      <w:spacing w:before="50" w:beforeLines="50" w:line="360" w:lineRule="auto"/>
      <w:ind w:firstLine="200" w:firstLineChars="200"/>
      <w:jc w:val="both"/>
    </w:pPr>
    <w:rPr>
      <w:rFonts w:ascii="Times New Roman" w:hAnsi="Times New Roman" w:eastAsia="宋体" w:cs="Times New Roman"/>
      <w:kern w:val="2"/>
      <w:sz w:val="24"/>
      <w:szCs w:val="23"/>
      <w:lang w:val="en-US" w:eastAsia="zh-CN" w:bidi="ar-SA"/>
    </w:rPr>
  </w:style>
  <w:style w:type="paragraph" w:styleId="5">
    <w:name w:val="annotation text"/>
    <w:basedOn w:val="1"/>
    <w:semiHidden/>
    <w:unhideWhenUsed/>
    <w:qFormat/>
    <w:uiPriority w:val="99"/>
    <w:pPr>
      <w:jc w:val="left"/>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脚 字符"/>
    <w:link w:val="6"/>
    <w:qFormat/>
    <w:uiPriority w:val="99"/>
    <w:rPr>
      <w:sz w:val="18"/>
      <w:szCs w:val="18"/>
    </w:rPr>
  </w:style>
  <w:style w:type="character" w:customStyle="1" w:styleId="14">
    <w:name w:val="页眉 字符"/>
    <w:link w:val="7"/>
    <w:semiHidden/>
    <w:qFormat/>
    <w:uiPriority w:val="99"/>
    <w:rPr>
      <w:sz w:val="18"/>
      <w:szCs w:val="18"/>
    </w:rPr>
  </w:style>
  <w:style w:type="character" w:customStyle="1" w:styleId="15">
    <w:name w:val="HTML 预设格式 字符"/>
    <w:link w:val="8"/>
    <w:qFormat/>
    <w:uiPriority w:val="99"/>
    <w:rPr>
      <w:rFonts w:ascii="宋体" w:hAnsi="宋体" w:cs="宋体"/>
      <w:sz w:val="24"/>
      <w:szCs w:val="24"/>
    </w:rPr>
  </w:style>
  <w:style w:type="table" w:customStyle="1" w:styleId="16">
    <w:name w:val="网格型1"/>
    <w:basedOn w:val="10"/>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7">
    <w:name w:val="fontstyle01"/>
    <w:qFormat/>
    <w:uiPriority w:val="0"/>
    <w:rPr>
      <w:rFonts w:hint="eastAsia" w:ascii="宋体" w:hAnsi="宋体" w:eastAsia="宋体"/>
      <w:color w:val="000000"/>
      <w:sz w:val="24"/>
      <w:szCs w:val="24"/>
    </w:rPr>
  </w:style>
  <w:style w:type="paragraph" w:customStyle="1" w:styleId="18">
    <w:name w:val="修订1"/>
    <w:hidden/>
    <w:unhideWhenUsed/>
    <w:qFormat/>
    <w:uiPriority w:val="99"/>
    <w:rPr>
      <w:rFonts w:ascii="Calibri" w:hAnsi="Calibri" w:eastAsia="宋体" w:cs="Times New Roman"/>
      <w:kern w:val="2"/>
      <w:sz w:val="21"/>
      <w:szCs w:val="22"/>
      <w:lang w:val="en-US" w:eastAsia="zh-CN" w:bidi="ar-SA"/>
    </w:rPr>
  </w:style>
  <w:style w:type="paragraph" w:customStyle="1" w:styleId="19">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2</Pages>
  <Words>1109</Words>
  <Characters>1208</Characters>
  <Lines>8</Lines>
  <Paragraphs>2</Paragraphs>
  <TotalTime>43</TotalTime>
  <ScaleCrop>false</ScaleCrop>
  <LinksUpToDate>false</LinksUpToDate>
  <CharactersWithSpaces>1223</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2014-02-19T09:25:00Z</dcterms:created>
  <dc:creator>王琴</dc:creator>
  <cp:lastModifiedBy>cdq</cp:lastModifiedBy>
  <cp:lastPrinted>2025-03-17T09:27:00Z</cp:lastPrinted>
  <dcterms:modified xsi:type="dcterms:W3CDTF">2025-07-04T10:03:51Z</dcterms:modified>
  <dc:title>证券代码:300436      证券简称：广生堂     公告编号：20170</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AA7FC7C7664E468FBD22A6CC66A61750</vt:lpwstr>
  </property>
  <property fmtid="{D5CDD505-2E9C-101B-9397-08002B2CF9AE}" pid="4" name="KSOTemplateDocerSaveRecord">
    <vt:lpwstr>eyJoZGlkIjoiY2Q4MDAzNjNiM2EwYjNjY2VkN2I2ZWY4OTg5YTA1ZWYiLCJ1c2VySWQiOiIxMzk5OTUwMzQxIn0=</vt:lpwstr>
  </property>
</Properties>
</file>