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C1523">
      <w:pPr>
        <w:spacing w:line="360" w:lineRule="auto"/>
        <w:rPr>
          <w:rFonts w:hint="default" w:ascii="宋体" w:hAnsi="宋体" w:eastAsia="宋体" w:cs="宋体"/>
          <w:kern w:val="0"/>
          <w:sz w:val="24"/>
          <w:szCs w:val="24"/>
          <w:lang w:val="en-US" w:eastAsia="zh-CN"/>
        </w:rPr>
      </w:pPr>
      <w:r>
        <w:rPr>
          <w:rFonts w:hint="eastAsia" w:ascii="宋体" w:hAnsi="宋体" w:cs="宋体"/>
          <w:kern w:val="0"/>
          <w:sz w:val="24"/>
          <w:szCs w:val="24"/>
        </w:rPr>
        <w:t>证券代码：300436        证券简称：广生堂      公告编号：2025</w:t>
      </w:r>
      <w:r>
        <w:rPr>
          <w:rFonts w:hint="eastAsia" w:ascii="宋体" w:hAnsi="宋体" w:cs="宋体"/>
          <w:kern w:val="0"/>
          <w:sz w:val="24"/>
          <w:szCs w:val="24"/>
          <w:lang w:val="en-US" w:eastAsia="zh-CN"/>
        </w:rPr>
        <w:t>062</w:t>
      </w:r>
    </w:p>
    <w:p w14:paraId="20F3CE29">
      <w:pPr>
        <w:spacing w:before="156" w:beforeLines="50"/>
        <w:jc w:val="center"/>
        <w:rPr>
          <w:rFonts w:hint="eastAsia" w:ascii="宋体" w:hAnsi="宋体" w:cs="宋体"/>
          <w:b/>
          <w:kern w:val="0"/>
          <w:sz w:val="32"/>
          <w:szCs w:val="32"/>
        </w:rPr>
      </w:pPr>
      <w:r>
        <w:rPr>
          <w:rFonts w:hint="eastAsia" w:ascii="宋体" w:hAnsi="宋体" w:cs="宋体"/>
          <w:b/>
          <w:kern w:val="0"/>
          <w:sz w:val="32"/>
          <w:szCs w:val="32"/>
        </w:rPr>
        <w:t>福建广生堂药业股份有限公司</w:t>
      </w:r>
    </w:p>
    <w:p w14:paraId="4438CAB1">
      <w:pPr>
        <w:jc w:val="center"/>
        <w:rPr>
          <w:rFonts w:hint="eastAsia" w:ascii="宋体" w:hAnsi="宋体" w:cs="宋体"/>
          <w:b/>
          <w:sz w:val="32"/>
          <w:szCs w:val="32"/>
        </w:rPr>
      </w:pPr>
      <w:r>
        <w:rPr>
          <w:rFonts w:hint="eastAsia" w:ascii="宋体" w:hAnsi="宋体" w:cs="宋体"/>
          <w:b/>
          <w:sz w:val="32"/>
          <w:szCs w:val="32"/>
        </w:rPr>
        <w:t>关于控股子公司股权转让及增资扩股暨</w:t>
      </w:r>
    </w:p>
    <w:p w14:paraId="51C4D34C">
      <w:pPr>
        <w:jc w:val="center"/>
        <w:rPr>
          <w:rFonts w:hint="eastAsia" w:ascii="宋体" w:hAnsi="宋体" w:cs="宋体"/>
          <w:b/>
          <w:sz w:val="32"/>
          <w:szCs w:val="32"/>
        </w:rPr>
      </w:pPr>
      <w:r>
        <w:rPr>
          <w:rFonts w:hint="eastAsia" w:ascii="宋体" w:hAnsi="宋体" w:cs="宋体"/>
          <w:b/>
          <w:sz w:val="32"/>
          <w:szCs w:val="32"/>
        </w:rPr>
        <w:t>公司放弃优先权的公告</w:t>
      </w:r>
    </w:p>
    <w:p w14:paraId="06EAF323">
      <w:pPr>
        <w:jc w:val="center"/>
        <w:rPr>
          <w:rFonts w:hint="eastAsia" w:ascii="宋体" w:hAnsi="宋体" w:cs="宋体"/>
          <w:b/>
          <w:sz w:val="24"/>
          <w:szCs w:val="24"/>
        </w:rPr>
      </w:pPr>
    </w:p>
    <w:tbl>
      <w:tblPr>
        <w:tblStyle w:val="11"/>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4DA0E4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57" w:hRule="atLeast"/>
        </w:trPr>
        <w:tc>
          <w:tcPr>
            <w:tcW w:w="8522" w:type="dxa"/>
            <w:vAlign w:val="center"/>
          </w:tcPr>
          <w:p w14:paraId="7E7E4819">
            <w:pPr>
              <w:widowControl/>
              <w:ind w:firstLine="600" w:firstLineChars="200"/>
              <w:rPr>
                <w:rFonts w:hint="eastAsia" w:ascii="宋体" w:hAnsi="宋体" w:cs="宋体"/>
                <w:b/>
                <w:sz w:val="30"/>
                <w:szCs w:val="30"/>
              </w:rPr>
            </w:pPr>
            <w:r>
              <w:rPr>
                <w:rFonts w:hint="eastAsia" w:ascii="宋体" w:hAnsi="宋体" w:cs="宋体"/>
                <w:kern w:val="0"/>
                <w:sz w:val="30"/>
                <w:szCs w:val="30"/>
              </w:rPr>
              <w:t>本公司及董事会全体成员保证信息披露的内容真实、准确、完整，没有虚假记载、误导性陈述或重大遗漏。</w:t>
            </w:r>
          </w:p>
        </w:tc>
      </w:tr>
    </w:tbl>
    <w:p w14:paraId="3073F1AA">
      <w:pPr>
        <w:adjustRightInd w:val="0"/>
        <w:snapToGrid w:val="0"/>
        <w:spacing w:line="360" w:lineRule="auto"/>
        <w:ind w:firstLine="480" w:firstLineChars="200"/>
        <w:rPr>
          <w:rFonts w:hint="eastAsia" w:ascii="宋体" w:hAnsi="宋体" w:cs="宋体"/>
          <w:sz w:val="24"/>
          <w:szCs w:val="24"/>
        </w:rPr>
      </w:pPr>
    </w:p>
    <w:p w14:paraId="6B0AD9C7">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特别提示：</w:t>
      </w:r>
    </w:p>
    <w:p w14:paraId="1A518B0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福建广生堂药业股份有限公司（以下简称“公司”）创新药控股子公司福建广生中霖生物科技有限公司（以下简称“广生中霖”或“目标公司”）拟以投前整体估值25亿元进行增资，各方合计增资金额19,135.1351万元认购广生中霖新增注册资本2,973.60万元，同时广生中霖股东福州奥泰五期投资合伙企业（有限合伙）（以下简称“奥泰五期”）、福州奥泰六期投资合伙企业（有限合伙）（以下简称“奥泰六期”）拟以广生中霖投前整体估值17.5亿元将各自持有的部分广生中霖股权以合计5,864.8649万元进行转让（以下简称“本次交易”或“本次增资”）。本次交易，公司放弃优先购买权和优先认缴出资权，本次交易完成后广生中霖仍为公司控股子公司，不会导致公司合并报表范围发生变更。</w:t>
      </w:r>
    </w:p>
    <w:p w14:paraId="454F3607">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2、本次交易不构成关联交易，不构成《上市公司重大资产重组管理办法》规定的重大资产重组。本次交易尚需提交股东大会审议。</w:t>
      </w:r>
    </w:p>
    <w:p w14:paraId="0AD88403">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3、截至本公告披露日，本次交易的相关协议尚未签署，尚需履行各方内部决策程序审批，具体内容以最终实际签署的正式协议为准，协议的签署尚存在不确定性。</w:t>
      </w:r>
      <w:bookmarkStart w:id="0" w:name="OLE_LINK8"/>
      <w:r>
        <w:rPr>
          <w:rFonts w:hint="eastAsia" w:ascii="宋体" w:hAnsi="宋体" w:cs="宋体"/>
          <w:sz w:val="24"/>
          <w:szCs w:val="24"/>
        </w:rPr>
        <w:t>本次交易存在投资先决条件未得以满足或未被豁免、投资方未及时支付交易款项、相关方未能按照协议约定及时履行相应的权利义务等原因导致本次交易实施进度缓慢或无法顺利实施的风险，本次交易实施过程仍存在不确定性。</w:t>
      </w:r>
      <w:bookmarkEnd w:id="0"/>
      <w:r>
        <w:rPr>
          <w:rFonts w:hint="eastAsia" w:ascii="宋体" w:hAnsi="宋体" w:cs="宋体"/>
          <w:sz w:val="24"/>
          <w:szCs w:val="24"/>
        </w:rPr>
        <w:t>敬请广大投资者理性投资，注意投资风险。</w:t>
      </w:r>
    </w:p>
    <w:p w14:paraId="2F4D15EC">
      <w:pPr>
        <w:pStyle w:val="2"/>
        <w:spacing w:before="156" w:after="156"/>
      </w:pPr>
      <w:r>
        <w:rPr>
          <w:rFonts w:hint="eastAsia"/>
        </w:rPr>
        <w:t>一、交易概述</w:t>
      </w:r>
    </w:p>
    <w:p w14:paraId="3B4EC65E">
      <w:pPr>
        <w:pStyle w:val="3"/>
        <w:spacing w:before="0" w:beforeLines="0" w:after="156"/>
        <w:ind w:firstLine="482"/>
        <w:rPr>
          <w:rFonts w:hint="eastAsia"/>
        </w:rPr>
      </w:pPr>
      <w:r>
        <w:rPr>
          <w:rFonts w:hint="eastAsia"/>
        </w:rPr>
        <w:t>（一）本次交易的基本情况</w:t>
      </w:r>
    </w:p>
    <w:p w14:paraId="581CD080">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2025年8月21日，公司创新药控股子公司广生中霖与华欣石恒科技创业投资基金（青岛）合伙企业（有限合伙）（以下简称 “华欣石恒”）及济南汇扬投资合伙企业（有限合伙）（以下简称“汇扬投资”）签署《投资意向书》，华欣石恒、汇扬投资或其指定方以及其与广生中霖共同认可的跟投方拟按广生中霖本次投资的投前估值不低于人民币25亿元，以不超过2亿人民币现金认购广生中霖新增注册资本。具体内容详见公司于2025年8月22日披露的《关于签署投资意向书的公告》（公告编号：2025059）。</w:t>
      </w:r>
    </w:p>
    <w:p w14:paraId="64779BD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为补充创新药研发资金及营运资金，推动广生中霖发展和在研创新药研发进程，公司于2025年9月1日召开第五届董事会第十一次会议审议通过了《关于控股子公司股权转让及增资扩股暨公司放弃优先权的议案》，同意公司创新药控股子公司广生中霖少数股东股权对外转让及广生中霖增资扩股引入重要投资者，公司放弃优先购买权和优先认缴出资权事项。广生中</w:t>
      </w:r>
      <w:r>
        <w:rPr>
          <w:rFonts w:hint="eastAsia" w:ascii="宋体" w:hAnsi="宋体" w:cs="宋体"/>
          <w:color w:val="000000"/>
          <w:sz w:val="24"/>
          <w:szCs w:val="24"/>
          <w:shd w:val="clear" w:color="auto" w:fill="FFFFFF"/>
        </w:rPr>
        <w:t>霖</w:t>
      </w:r>
      <w:r>
        <w:rPr>
          <w:rFonts w:hint="eastAsia" w:ascii="宋体" w:hAnsi="宋体" w:cs="宋体"/>
          <w:sz w:val="24"/>
          <w:szCs w:val="24"/>
        </w:rPr>
        <w:t>拟以现金方式引入重要投资者，本次交易合计2.5亿元，其中：（1）济南泰神投资合伙企业（有限合伙）（以下简称“济南泰神”）和华欣石恒拟按照广生中霖投前整体估值25亿元增资，分别以14,135.1351万元、5,000万元认购广生中霖新增注册资本2,196.6</w:t>
      </w:r>
      <w:r>
        <w:rPr>
          <w:rFonts w:hint="eastAsia" w:ascii="宋体" w:hAnsi="宋体" w:cs="宋体"/>
          <w:sz w:val="24"/>
          <w:szCs w:val="24"/>
          <w:lang w:val="en-US" w:eastAsia="zh-CN"/>
        </w:rPr>
        <w:t>0</w:t>
      </w:r>
      <w:r>
        <w:rPr>
          <w:rFonts w:hint="eastAsia" w:ascii="宋体" w:hAnsi="宋体" w:cs="宋体"/>
          <w:sz w:val="24"/>
          <w:szCs w:val="24"/>
        </w:rPr>
        <w:t>万元、777万元。（2）济南泰神拟按广生中霖投前整体估值17.5亿元分别受让奥泰五期、奥泰六期各自持有的对应651万元注册资本的广生中霖股权，合计交易金额5,864.8649万元。</w:t>
      </w:r>
      <w:bookmarkStart w:id="1" w:name="OLE_LINK1"/>
      <w:r>
        <w:rPr>
          <w:rFonts w:hint="eastAsia" w:ascii="宋体" w:hAnsi="宋体" w:cs="宋体"/>
          <w:sz w:val="24"/>
          <w:szCs w:val="24"/>
        </w:rPr>
        <w:t>董事会同意并提请股东大会授权管理层全权办理本次增资的后续事项，包括但不限于在权限范围内确认本次交易相关协议的具体内容、签订协议以及具体履行协议的相关事宜。</w:t>
      </w:r>
      <w:bookmarkEnd w:id="1"/>
    </w:p>
    <w:p w14:paraId="5BA32D33">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本次交易</w:t>
      </w:r>
      <w:r>
        <w:rPr>
          <w:rFonts w:hint="eastAsia" w:ascii="宋体" w:hAnsi="宋体" w:cs="宋体"/>
          <w:color w:val="000000"/>
          <w:sz w:val="24"/>
          <w:szCs w:val="24"/>
          <w:shd w:val="clear" w:color="auto" w:fill="FFFFFF"/>
        </w:rPr>
        <w:t>完</w:t>
      </w:r>
      <w:r>
        <w:rPr>
          <w:rFonts w:hint="eastAsia" w:ascii="宋体" w:hAnsi="宋体" w:cs="宋体"/>
          <w:sz w:val="24"/>
          <w:szCs w:val="24"/>
        </w:rPr>
        <w:t>成后，广生中霖注册资本由38</w:t>
      </w:r>
      <w:r>
        <w:rPr>
          <w:rFonts w:hint="eastAsia" w:ascii="宋体" w:hAnsi="宋体" w:cs="宋体"/>
          <w:color w:val="000000"/>
          <w:sz w:val="24"/>
          <w:szCs w:val="24"/>
          <w:shd w:val="clear" w:color="auto" w:fill="FFFFFF"/>
        </w:rPr>
        <w:t>,</w:t>
      </w:r>
      <w:r>
        <w:rPr>
          <w:rFonts w:hint="eastAsia" w:ascii="宋体" w:hAnsi="宋体" w:cs="宋体"/>
          <w:sz w:val="24"/>
          <w:szCs w:val="24"/>
        </w:rPr>
        <w:t>850万元增加至41,823.60万元，公司对广生中霖持股比例由81.</w:t>
      </w:r>
      <w:r>
        <w:rPr>
          <w:rFonts w:hint="eastAsia" w:ascii="宋体" w:hAnsi="宋体" w:cs="宋体"/>
          <w:color w:val="000000"/>
          <w:sz w:val="24"/>
          <w:szCs w:val="24"/>
          <w:shd w:val="clear" w:color="auto" w:fill="FFFFFF"/>
        </w:rPr>
        <w:t>0811%变</w:t>
      </w:r>
      <w:r>
        <w:rPr>
          <w:rFonts w:hint="eastAsia" w:ascii="宋体" w:hAnsi="宋体" w:cs="宋体"/>
          <w:sz w:val="24"/>
          <w:szCs w:val="24"/>
        </w:rPr>
        <w:t>为75.3163%，广生中霖仍为公司控股子公司，不会导致公司合并报表范围发生变更。</w:t>
      </w:r>
    </w:p>
    <w:p w14:paraId="1E09D50C">
      <w:pPr>
        <w:pStyle w:val="3"/>
        <w:spacing w:before="0" w:beforeLines="0" w:after="0" w:afterLines="0"/>
        <w:ind w:firstLine="482"/>
        <w:rPr>
          <w:rFonts w:hint="eastAsia"/>
        </w:rPr>
      </w:pPr>
      <w:r>
        <w:rPr>
          <w:rFonts w:hint="eastAsia"/>
        </w:rPr>
        <w:t>（二）审议情况及审批流程</w:t>
      </w:r>
    </w:p>
    <w:p w14:paraId="7A3EE6D3">
      <w:pPr>
        <w:adjustRightInd w:val="0"/>
        <w:snapToGri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次交易已于2025年9月1日经第五届董事会第十一次会议审议通过。根据《深圳证券交易所创业板股票上市规则》及《公司章程》等相关规定，本次交易不构成关联交易，不构成重大资产重组。本次交易尚需提交股东大会审议。</w:t>
      </w:r>
    </w:p>
    <w:p w14:paraId="5A2A3911">
      <w:pPr>
        <w:pStyle w:val="2"/>
        <w:spacing w:before="156" w:after="156"/>
      </w:pPr>
      <w:r>
        <w:rPr>
          <w:rFonts w:hint="eastAsia"/>
        </w:rPr>
        <w:t>二、交易对方的基本情况</w:t>
      </w:r>
    </w:p>
    <w:p w14:paraId="20DC2A4D">
      <w:pPr>
        <w:pStyle w:val="3"/>
        <w:spacing w:before="156" w:after="156"/>
        <w:ind w:firstLine="482"/>
        <w:rPr>
          <w:rFonts w:hint="eastAsia"/>
        </w:rPr>
      </w:pPr>
      <w:r>
        <w:rPr>
          <w:rFonts w:hint="eastAsia"/>
        </w:rPr>
        <w:t>（一）股权转让方基本情况</w:t>
      </w:r>
    </w:p>
    <w:p w14:paraId="394F9FBE">
      <w:pPr>
        <w:adjustRightInd w:val="0"/>
        <w:snapToGrid w:val="0"/>
        <w:spacing w:line="360" w:lineRule="auto"/>
        <w:ind w:firstLine="480" w:firstLineChars="200"/>
      </w:pPr>
      <w:r>
        <w:rPr>
          <w:rFonts w:hint="eastAsia" w:ascii="宋体" w:hAnsi="宋体" w:cs="宋体"/>
          <w:sz w:val="24"/>
          <w:szCs w:val="24"/>
        </w:rPr>
        <w:t>本次交易转让部分广生中霖股权的奥泰五期、奥泰六期是公司核心员工（包含公司董事、监事和高级管理人员）的持股平台。</w:t>
      </w:r>
    </w:p>
    <w:p w14:paraId="3EB018B6">
      <w:pPr>
        <w:pStyle w:val="4"/>
        <w:spacing w:before="156" w:after="156"/>
        <w:ind w:firstLine="482"/>
        <w:rPr>
          <w:rFonts w:hint="eastAsia"/>
        </w:rPr>
      </w:pPr>
      <w:r>
        <w:rPr>
          <w:rFonts w:hint="eastAsia"/>
          <w:color w:val="000000"/>
          <w:shd w:val="clear" w:color="auto" w:fill="FFFFFF"/>
        </w:rPr>
        <w:t>1、</w:t>
      </w:r>
      <w:r>
        <w:rPr>
          <w:rFonts w:hint="eastAsia"/>
        </w:rPr>
        <w:t>福州奥泰五期投资合伙企业（有限合伙）</w:t>
      </w:r>
    </w:p>
    <w:p w14:paraId="04B0CC0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（1）企业名称：福州奥泰五期投资合伙企业（有限合伙）</w:t>
      </w:r>
    </w:p>
    <w:p w14:paraId="0D90983E">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（2）统一社会信用代码：91350121MA8U4EXL0N</w:t>
      </w:r>
    </w:p>
    <w:p w14:paraId="7F2D389E">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（3）执行事务合伙人：官建辉</w:t>
      </w:r>
    </w:p>
    <w:p w14:paraId="04E20B2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（4）企业类型：有限合伙企业</w:t>
      </w:r>
    </w:p>
    <w:p w14:paraId="6ED26D1F">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（5）成立日期：2021年10月18日</w:t>
      </w:r>
    </w:p>
    <w:p w14:paraId="19B1209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（6）出资额：1750万元</w:t>
      </w:r>
    </w:p>
    <w:p w14:paraId="3B3B408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（7）注册地址：福建省福州高新区乌龙江中大道7号（A地块）福州高新区海西高新技术产业园创新园二期16#楼9层01室</w:t>
      </w:r>
    </w:p>
    <w:p w14:paraId="6B2668EE">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（8）经营范围：一般项目：以自有资金从事投资活动（除依法须经批准的项目外，凭营业执照依法自主开展经营活动）</w:t>
      </w:r>
    </w:p>
    <w:p w14:paraId="3B946B05">
      <w:pPr>
        <w:pStyle w:val="4"/>
        <w:spacing w:before="156" w:after="156"/>
        <w:ind w:firstLine="482"/>
        <w:rPr>
          <w:rFonts w:hint="eastAsia"/>
        </w:rPr>
      </w:pPr>
      <w:r>
        <w:rPr>
          <w:rFonts w:hint="eastAsia"/>
          <w:color w:val="000000"/>
          <w:shd w:val="clear" w:color="auto" w:fill="FFFFFF"/>
        </w:rPr>
        <w:t>2、</w:t>
      </w:r>
      <w:r>
        <w:rPr>
          <w:rFonts w:hint="eastAsia"/>
        </w:rPr>
        <w:t>福州奥泰六期投资合伙企业（有限合伙）</w:t>
      </w:r>
    </w:p>
    <w:p w14:paraId="47DA82B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（1）企业名称：福州奥泰六期投资合伙企业（有限合伙）</w:t>
      </w:r>
    </w:p>
    <w:p w14:paraId="24D4C560">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（2）统一社会信用代码：91350121MA8U7QXN6T</w:t>
      </w:r>
    </w:p>
    <w:p w14:paraId="11A4BE2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（3）执行事务合伙人：黄伏虎</w:t>
      </w:r>
    </w:p>
    <w:p w14:paraId="781ED20D">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（4）企业类型：有限合伙企业</w:t>
      </w:r>
    </w:p>
    <w:p w14:paraId="516D234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（5）成立日期：2021年11月5日</w:t>
      </w:r>
    </w:p>
    <w:p w14:paraId="62F00E1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（6）出资额：1750万元</w:t>
      </w:r>
    </w:p>
    <w:p w14:paraId="2E58C539">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（7）注册地址：福建省福州高新区乌龙江中大道7号（A地块）福州高新区海西高新技术产业园创新园二期16#楼9层02室</w:t>
      </w:r>
    </w:p>
    <w:p w14:paraId="1E92D8C7">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（8）经营范围：一般项目：以自有资金从事投资活动（除依法须经批准的项目外，凭营业执照依法自主开展经营活动）</w:t>
      </w:r>
    </w:p>
    <w:p w14:paraId="0292FF32">
      <w:pPr>
        <w:pStyle w:val="3"/>
        <w:spacing w:before="156" w:after="156"/>
        <w:ind w:firstLine="482"/>
        <w:rPr>
          <w:rFonts w:hint="eastAsia"/>
        </w:rPr>
      </w:pPr>
      <w:r>
        <w:rPr>
          <w:rFonts w:hint="eastAsia"/>
        </w:rPr>
        <w:t>（二）股权受让方/增资方基本情况</w:t>
      </w:r>
    </w:p>
    <w:p w14:paraId="5C54DDC8">
      <w:pPr>
        <w:pStyle w:val="4"/>
        <w:spacing w:before="156" w:after="156"/>
        <w:ind w:firstLine="482"/>
        <w:rPr>
          <w:rFonts w:hint="eastAsia"/>
          <w:color w:val="000000"/>
          <w:shd w:val="clear" w:color="auto" w:fill="FFFFFF"/>
        </w:rPr>
      </w:pPr>
      <w:r>
        <w:rPr>
          <w:rFonts w:hint="eastAsia"/>
          <w:color w:val="000000"/>
          <w:shd w:val="clear" w:color="auto" w:fill="FFFFFF"/>
        </w:rPr>
        <w:t>1、济南泰神投资合伙企业（有限合伙）</w:t>
      </w:r>
    </w:p>
    <w:p w14:paraId="3ECD197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（1）</w:t>
      </w:r>
      <w:r>
        <w:rPr>
          <w:rFonts w:hint="eastAsia" w:ascii="宋体" w:hAnsi="宋体" w:cs="宋体"/>
          <w:sz w:val="24"/>
          <w:szCs w:val="24"/>
        </w:rPr>
        <w:t>企业名称：济南泰神投资合伙企业（有限合伙）</w:t>
      </w:r>
    </w:p>
    <w:p w14:paraId="5D57234D">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（2）</w:t>
      </w:r>
      <w:r>
        <w:rPr>
          <w:rFonts w:hint="eastAsia" w:ascii="宋体" w:hAnsi="宋体" w:cs="宋体"/>
          <w:sz w:val="24"/>
          <w:szCs w:val="24"/>
        </w:rPr>
        <w:t>统一社会信用代码：</w:t>
      </w:r>
      <w:r>
        <w:rPr>
          <w:rFonts w:ascii="宋体" w:hAnsi="宋体" w:cs="宋体"/>
          <w:sz w:val="24"/>
          <w:szCs w:val="24"/>
        </w:rPr>
        <w:t>91370112MAETHDHC3T</w:t>
      </w:r>
    </w:p>
    <w:p w14:paraId="72F233D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（3）</w:t>
      </w:r>
      <w:r>
        <w:rPr>
          <w:rFonts w:hint="eastAsia" w:ascii="宋体" w:hAnsi="宋体" w:cs="宋体"/>
          <w:sz w:val="24"/>
          <w:szCs w:val="24"/>
        </w:rPr>
        <w:t>执行事务合伙人：山东历晟投资有限公司</w:t>
      </w:r>
    </w:p>
    <w:p w14:paraId="50BB840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（4）</w:t>
      </w:r>
      <w:r>
        <w:rPr>
          <w:rFonts w:hint="eastAsia" w:ascii="宋体" w:hAnsi="宋体" w:cs="宋体"/>
          <w:sz w:val="24"/>
          <w:szCs w:val="24"/>
        </w:rPr>
        <w:t>企业类型：有限合伙企业</w:t>
      </w:r>
    </w:p>
    <w:p w14:paraId="44C551AB">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（5）</w:t>
      </w:r>
      <w:r>
        <w:rPr>
          <w:rFonts w:hint="eastAsia" w:ascii="宋体" w:hAnsi="宋体" w:cs="宋体"/>
          <w:sz w:val="24"/>
          <w:szCs w:val="24"/>
        </w:rPr>
        <w:t>成立日期：2025年8月29日</w:t>
      </w:r>
    </w:p>
    <w:p w14:paraId="60DAE563">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（6）</w:t>
      </w:r>
      <w:r>
        <w:rPr>
          <w:rFonts w:hint="eastAsia" w:ascii="宋体" w:hAnsi="宋体" w:cs="宋体"/>
          <w:sz w:val="24"/>
          <w:szCs w:val="24"/>
        </w:rPr>
        <w:t>出资额：24501万元</w:t>
      </w:r>
    </w:p>
    <w:p w14:paraId="489EDFC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（7）</w:t>
      </w:r>
      <w:r>
        <w:rPr>
          <w:rFonts w:hint="eastAsia" w:ascii="宋体" w:hAnsi="宋体" w:cs="宋体"/>
          <w:sz w:val="24"/>
          <w:szCs w:val="24"/>
        </w:rPr>
        <w:t>主要经营场所：山东省济南市历城区洪家楼街道七里堡路</w:t>
      </w:r>
    </w:p>
    <w:p w14:paraId="11FAD25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（8）</w:t>
      </w:r>
      <w:r>
        <w:rPr>
          <w:rFonts w:hint="eastAsia" w:ascii="宋体" w:hAnsi="宋体" w:cs="宋体"/>
          <w:sz w:val="24"/>
          <w:szCs w:val="24"/>
        </w:rPr>
        <w:t>经营范围：一般项目：以自有资金从事投资活动（除依法须经批准的项目外，凭营业执照依法自主开展经营活动）</w:t>
      </w:r>
    </w:p>
    <w:p w14:paraId="5E635A2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（9）</w:t>
      </w:r>
      <w:r>
        <w:rPr>
          <w:rFonts w:hint="eastAsia" w:ascii="宋体" w:hAnsi="宋体" w:cs="宋体"/>
          <w:sz w:val="24"/>
          <w:szCs w:val="24"/>
        </w:rPr>
        <w:t>股权结构：</w:t>
      </w:r>
    </w:p>
    <w:tbl>
      <w:tblPr>
        <w:tblStyle w:val="11"/>
        <w:tblW w:w="8377" w:type="dxa"/>
        <w:jc w:val="center"/>
        <w:tblLayout w:type="fixed"/>
        <w:tblCellMar>
          <w:top w:w="0" w:type="dxa"/>
          <w:left w:w="108" w:type="dxa"/>
          <w:bottom w:w="0" w:type="dxa"/>
          <w:right w:w="108" w:type="dxa"/>
        </w:tblCellMar>
      </w:tblPr>
      <w:tblGrid>
        <w:gridCol w:w="720"/>
        <w:gridCol w:w="4720"/>
        <w:gridCol w:w="1542"/>
        <w:gridCol w:w="1395"/>
      </w:tblGrid>
      <w:tr w14:paraId="207CBB62">
        <w:tblPrEx>
          <w:tblCellMar>
            <w:top w:w="0" w:type="dxa"/>
            <w:left w:w="108" w:type="dxa"/>
            <w:bottom w:w="0" w:type="dxa"/>
            <w:right w:w="108" w:type="dxa"/>
          </w:tblCellMar>
        </w:tblPrEx>
        <w:trPr>
          <w:trHeight w:val="5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862CC9">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序号</w:t>
            </w:r>
          </w:p>
        </w:tc>
        <w:tc>
          <w:tcPr>
            <w:tcW w:w="472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A70F1B6">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合伙人名称</w:t>
            </w:r>
          </w:p>
        </w:tc>
        <w:tc>
          <w:tcPr>
            <w:tcW w:w="154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9F5B306">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认缴出资额</w:t>
            </w:r>
            <w:r>
              <w:rPr>
                <w:rFonts w:hint="eastAsia" w:ascii="宋体" w:hAnsi="宋体" w:cs="宋体"/>
                <w:b/>
                <w:bCs/>
                <w:color w:val="000000"/>
                <w:kern w:val="0"/>
                <w:sz w:val="22"/>
                <w:lang w:bidi="ar"/>
              </w:rPr>
              <w:br w:type="textWrapping"/>
            </w:r>
            <w:r>
              <w:rPr>
                <w:rFonts w:hint="eastAsia" w:ascii="宋体" w:hAnsi="宋体" w:cs="宋体"/>
                <w:b/>
                <w:bCs/>
                <w:color w:val="000000"/>
                <w:kern w:val="0"/>
                <w:sz w:val="22"/>
                <w:lang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1E1DA34">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出资比例</w:t>
            </w:r>
          </w:p>
        </w:tc>
      </w:tr>
      <w:tr w14:paraId="52ECAF46">
        <w:tblPrEx>
          <w:tblCellMar>
            <w:top w:w="0" w:type="dxa"/>
            <w:left w:w="108" w:type="dxa"/>
            <w:bottom w:w="0" w:type="dxa"/>
            <w:right w:w="108" w:type="dxa"/>
          </w:tblCellMar>
        </w:tblPrEx>
        <w:trPr>
          <w:trHeight w:val="26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6C2D64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720" w:type="dxa"/>
            <w:tcBorders>
              <w:top w:val="single" w:color="000000" w:sz="4" w:space="0"/>
              <w:left w:val="single" w:color="000000" w:sz="4" w:space="0"/>
              <w:bottom w:val="single" w:color="000000" w:sz="4" w:space="0"/>
              <w:right w:val="single" w:color="000000" w:sz="4" w:space="0"/>
            </w:tcBorders>
            <w:noWrap/>
            <w:vAlign w:val="center"/>
          </w:tcPr>
          <w:p w14:paraId="24813A9C">
            <w:pPr>
              <w:widowControl/>
              <w:jc w:val="left"/>
              <w:textAlignment w:val="center"/>
              <w:rPr>
                <w:rFonts w:hint="eastAsia" w:ascii="宋体" w:hAnsi="宋体" w:cs="宋体"/>
                <w:color w:val="000000"/>
                <w:sz w:val="20"/>
                <w:szCs w:val="20"/>
              </w:rPr>
            </w:pPr>
            <w:r>
              <w:rPr>
                <w:rFonts w:hint="eastAsia" w:ascii="宋体" w:hAnsi="宋体" w:cs="宋体"/>
                <w:color w:val="000000"/>
                <w:kern w:val="0"/>
                <w:szCs w:val="21"/>
              </w:rPr>
              <w:t>山东历晟投资有限公司</w:t>
            </w: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0CB22B3F">
            <w:pPr>
              <w:widowControl/>
              <w:jc w:val="right"/>
              <w:textAlignment w:val="center"/>
              <w:rPr>
                <w:rFonts w:hint="eastAsia" w:ascii="宋体" w:hAnsi="宋体" w:cs="宋体"/>
                <w:color w:val="000000"/>
                <w:sz w:val="20"/>
                <w:szCs w:val="20"/>
              </w:rPr>
            </w:pPr>
            <w:r>
              <w:rPr>
                <w:rFonts w:hint="eastAsia" w:ascii="宋体" w:hAnsi="宋体" w:cs="宋体"/>
                <w:color w:val="000000"/>
                <w:kern w:val="0"/>
                <w:szCs w:val="21"/>
              </w:rPr>
              <w:t>1</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A31C8AF">
            <w:pPr>
              <w:widowControl/>
              <w:jc w:val="right"/>
              <w:textAlignment w:val="center"/>
              <w:rPr>
                <w:rFonts w:hint="eastAsia" w:ascii="宋体" w:hAnsi="宋体" w:cs="宋体"/>
                <w:color w:val="000000"/>
                <w:sz w:val="20"/>
                <w:szCs w:val="20"/>
              </w:rPr>
            </w:pPr>
            <w:r>
              <w:rPr>
                <w:rFonts w:hint="eastAsia" w:ascii="宋体" w:hAnsi="宋体"/>
                <w:color w:val="000000"/>
                <w:szCs w:val="21"/>
              </w:rPr>
              <w:t>0.0041%</w:t>
            </w:r>
          </w:p>
        </w:tc>
      </w:tr>
      <w:tr w14:paraId="777CF74A">
        <w:tblPrEx>
          <w:tblCellMar>
            <w:top w:w="0" w:type="dxa"/>
            <w:left w:w="108" w:type="dxa"/>
            <w:bottom w:w="0" w:type="dxa"/>
            <w:right w:w="108" w:type="dxa"/>
          </w:tblCellMar>
        </w:tblPrEx>
        <w:trPr>
          <w:trHeight w:val="26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5D0CF8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720" w:type="dxa"/>
            <w:tcBorders>
              <w:top w:val="single" w:color="000000" w:sz="4" w:space="0"/>
              <w:left w:val="single" w:color="000000" w:sz="4" w:space="0"/>
              <w:bottom w:val="single" w:color="000000" w:sz="4" w:space="0"/>
              <w:right w:val="single" w:color="000000" w:sz="4" w:space="0"/>
            </w:tcBorders>
            <w:noWrap/>
            <w:vAlign w:val="center"/>
          </w:tcPr>
          <w:p w14:paraId="5597F2D0">
            <w:pPr>
              <w:widowControl/>
              <w:jc w:val="left"/>
              <w:textAlignment w:val="center"/>
              <w:rPr>
                <w:rFonts w:hint="eastAsia" w:ascii="宋体" w:hAnsi="宋体" w:cs="宋体"/>
                <w:color w:val="000000"/>
                <w:sz w:val="20"/>
                <w:szCs w:val="20"/>
              </w:rPr>
            </w:pPr>
            <w:r>
              <w:rPr>
                <w:rFonts w:hint="eastAsia" w:ascii="宋体" w:hAnsi="宋体" w:cs="宋体"/>
                <w:color w:val="000000"/>
                <w:kern w:val="0"/>
                <w:szCs w:val="21"/>
              </w:rPr>
              <w:t>济南汇扬投资合伙企业（有限合伙）</w:t>
            </w: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414AF3D3">
            <w:pPr>
              <w:widowControl/>
              <w:jc w:val="right"/>
              <w:textAlignment w:val="center"/>
              <w:rPr>
                <w:rFonts w:hint="eastAsia" w:ascii="宋体" w:hAnsi="宋体" w:cs="宋体"/>
                <w:color w:val="000000"/>
                <w:sz w:val="20"/>
                <w:szCs w:val="20"/>
              </w:rPr>
            </w:pPr>
            <w:r>
              <w:rPr>
                <w:rFonts w:hint="eastAsia" w:ascii="宋体" w:hAnsi="宋体" w:cs="宋体"/>
                <w:color w:val="000000"/>
                <w:kern w:val="0"/>
                <w:szCs w:val="21"/>
              </w:rPr>
              <w:t>20,000</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378AC75">
            <w:pPr>
              <w:widowControl/>
              <w:jc w:val="right"/>
              <w:textAlignment w:val="center"/>
              <w:rPr>
                <w:rFonts w:hint="eastAsia" w:ascii="宋体" w:hAnsi="宋体" w:cs="宋体"/>
                <w:color w:val="000000"/>
                <w:sz w:val="20"/>
                <w:szCs w:val="20"/>
              </w:rPr>
            </w:pPr>
            <w:r>
              <w:rPr>
                <w:rFonts w:hint="eastAsia" w:ascii="宋体" w:hAnsi="宋体"/>
                <w:color w:val="000000"/>
                <w:szCs w:val="21"/>
              </w:rPr>
              <w:t>81.6293%</w:t>
            </w:r>
          </w:p>
        </w:tc>
      </w:tr>
      <w:tr w14:paraId="575FC485">
        <w:tblPrEx>
          <w:tblCellMar>
            <w:top w:w="0" w:type="dxa"/>
            <w:left w:w="108" w:type="dxa"/>
            <w:bottom w:w="0" w:type="dxa"/>
            <w:right w:w="108" w:type="dxa"/>
          </w:tblCellMar>
        </w:tblPrEx>
        <w:trPr>
          <w:trHeight w:val="26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1027DC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4720" w:type="dxa"/>
            <w:tcBorders>
              <w:top w:val="single" w:color="000000" w:sz="4" w:space="0"/>
              <w:left w:val="single" w:color="000000" w:sz="4" w:space="0"/>
              <w:bottom w:val="single" w:color="000000" w:sz="4" w:space="0"/>
              <w:right w:val="single" w:color="000000" w:sz="4" w:space="0"/>
            </w:tcBorders>
            <w:noWrap/>
            <w:vAlign w:val="center"/>
          </w:tcPr>
          <w:p w14:paraId="6445D5A2">
            <w:pPr>
              <w:widowControl/>
              <w:jc w:val="left"/>
              <w:textAlignment w:val="center"/>
              <w:rPr>
                <w:rFonts w:hint="eastAsia" w:ascii="宋体" w:hAnsi="宋体" w:cs="宋体"/>
                <w:color w:val="000000"/>
                <w:sz w:val="20"/>
                <w:szCs w:val="20"/>
              </w:rPr>
            </w:pPr>
            <w:r>
              <w:rPr>
                <w:rFonts w:hint="eastAsia" w:ascii="宋体" w:hAnsi="宋体" w:cs="宋体"/>
                <w:color w:val="000000"/>
                <w:kern w:val="0"/>
                <w:szCs w:val="21"/>
              </w:rPr>
              <w:t>许圆圆</w:t>
            </w: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662186B5">
            <w:pPr>
              <w:widowControl/>
              <w:jc w:val="right"/>
              <w:textAlignment w:val="center"/>
              <w:rPr>
                <w:rFonts w:hint="eastAsia" w:ascii="宋体" w:hAnsi="宋体" w:cs="宋体"/>
                <w:color w:val="000000"/>
                <w:sz w:val="20"/>
                <w:szCs w:val="20"/>
              </w:rPr>
            </w:pPr>
            <w:r>
              <w:rPr>
                <w:rFonts w:hint="eastAsia" w:ascii="宋体" w:hAnsi="宋体" w:cs="宋体"/>
                <w:color w:val="000000"/>
                <w:kern w:val="0"/>
                <w:szCs w:val="21"/>
              </w:rPr>
              <w:t>4,500</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F39CC4F">
            <w:pPr>
              <w:widowControl/>
              <w:jc w:val="right"/>
              <w:textAlignment w:val="center"/>
              <w:rPr>
                <w:rFonts w:hint="eastAsia" w:ascii="宋体" w:hAnsi="宋体" w:cs="宋体"/>
                <w:color w:val="000000"/>
                <w:sz w:val="20"/>
                <w:szCs w:val="20"/>
              </w:rPr>
            </w:pPr>
            <w:r>
              <w:rPr>
                <w:rFonts w:hint="eastAsia" w:ascii="宋体" w:hAnsi="宋体"/>
                <w:color w:val="000000"/>
                <w:szCs w:val="21"/>
              </w:rPr>
              <w:t>18.3666%</w:t>
            </w:r>
          </w:p>
        </w:tc>
      </w:tr>
      <w:tr w14:paraId="01DBCCE2">
        <w:tblPrEx>
          <w:tblCellMar>
            <w:top w:w="0" w:type="dxa"/>
            <w:left w:w="108" w:type="dxa"/>
            <w:bottom w:w="0" w:type="dxa"/>
            <w:right w:w="108" w:type="dxa"/>
          </w:tblCellMar>
        </w:tblPrEx>
        <w:trPr>
          <w:trHeight w:val="260" w:hRule="atLeast"/>
          <w:jc w:val="center"/>
        </w:trPr>
        <w:tc>
          <w:tcPr>
            <w:tcW w:w="5440" w:type="dxa"/>
            <w:gridSpan w:val="2"/>
            <w:tcBorders>
              <w:top w:val="single" w:color="000000" w:sz="4" w:space="0"/>
              <w:left w:val="single" w:color="000000" w:sz="4" w:space="0"/>
              <w:bottom w:val="single" w:color="000000" w:sz="4" w:space="0"/>
              <w:right w:val="single" w:color="000000" w:sz="4" w:space="0"/>
            </w:tcBorders>
            <w:noWrap/>
            <w:vAlign w:val="bottom"/>
          </w:tcPr>
          <w:p w14:paraId="100309A5">
            <w:pPr>
              <w:widowControl/>
              <w:jc w:val="center"/>
              <w:textAlignment w:val="bottom"/>
              <w:rPr>
                <w:rFonts w:hint="eastAsia" w:ascii="宋体" w:hAnsi="宋体" w:cs="宋体"/>
                <w:b/>
                <w:bCs/>
                <w:color w:val="000000"/>
                <w:sz w:val="20"/>
                <w:szCs w:val="20"/>
              </w:rPr>
            </w:pPr>
            <w:r>
              <w:rPr>
                <w:rFonts w:hint="eastAsia" w:ascii="宋体" w:hAnsi="宋体" w:cs="宋体"/>
                <w:b/>
                <w:bCs/>
                <w:color w:val="000000"/>
                <w:kern w:val="0"/>
                <w:sz w:val="20"/>
                <w:szCs w:val="20"/>
                <w:lang w:bidi="ar"/>
              </w:rPr>
              <w:t>合计</w:t>
            </w:r>
          </w:p>
        </w:tc>
        <w:tc>
          <w:tcPr>
            <w:tcW w:w="1542" w:type="dxa"/>
            <w:tcBorders>
              <w:top w:val="single" w:color="000000" w:sz="4" w:space="0"/>
              <w:left w:val="single" w:color="000000" w:sz="4" w:space="0"/>
              <w:bottom w:val="single" w:color="000000" w:sz="4" w:space="0"/>
              <w:right w:val="single" w:color="000000" w:sz="4" w:space="0"/>
            </w:tcBorders>
            <w:noWrap/>
            <w:vAlign w:val="bottom"/>
          </w:tcPr>
          <w:p w14:paraId="5F95C4EC">
            <w:pPr>
              <w:widowControl/>
              <w:jc w:val="right"/>
              <w:textAlignment w:val="bottom"/>
              <w:rPr>
                <w:rFonts w:hint="eastAsia" w:ascii="宋体" w:hAnsi="宋体" w:cs="宋体"/>
                <w:b/>
                <w:bCs/>
                <w:color w:val="000000"/>
                <w:sz w:val="20"/>
                <w:szCs w:val="20"/>
              </w:rPr>
            </w:pPr>
            <w:r>
              <w:rPr>
                <w:rFonts w:ascii="宋体" w:hAnsi="宋体" w:cs="宋体"/>
                <w:b/>
                <w:bCs/>
                <w:color w:val="000000"/>
                <w:kern w:val="0"/>
                <w:sz w:val="20"/>
                <w:szCs w:val="20"/>
                <w:lang w:bidi="ar"/>
              </w:rPr>
              <w:t>24</w:t>
            </w:r>
            <w:r>
              <w:rPr>
                <w:rFonts w:hint="eastAsia" w:ascii="宋体" w:hAnsi="宋体" w:cs="宋体"/>
                <w:b/>
                <w:bCs/>
                <w:color w:val="000000"/>
                <w:kern w:val="0"/>
                <w:sz w:val="20"/>
                <w:szCs w:val="20"/>
                <w:lang w:bidi="ar"/>
              </w:rPr>
              <w:t>,</w:t>
            </w:r>
            <w:r>
              <w:rPr>
                <w:rFonts w:ascii="宋体" w:hAnsi="宋体" w:cs="宋体"/>
                <w:b/>
                <w:bCs/>
                <w:color w:val="000000"/>
                <w:kern w:val="0"/>
                <w:sz w:val="20"/>
                <w:szCs w:val="20"/>
                <w:lang w:bidi="ar"/>
              </w:rPr>
              <w:t>501</w:t>
            </w:r>
          </w:p>
        </w:tc>
        <w:tc>
          <w:tcPr>
            <w:tcW w:w="1395" w:type="dxa"/>
            <w:tcBorders>
              <w:top w:val="single" w:color="000000" w:sz="4" w:space="0"/>
              <w:left w:val="single" w:color="000000" w:sz="4" w:space="0"/>
              <w:bottom w:val="single" w:color="000000" w:sz="4" w:space="0"/>
              <w:right w:val="single" w:color="000000" w:sz="4" w:space="0"/>
            </w:tcBorders>
            <w:noWrap/>
            <w:vAlign w:val="bottom"/>
          </w:tcPr>
          <w:p w14:paraId="0FB0849A">
            <w:pPr>
              <w:widowControl/>
              <w:jc w:val="right"/>
              <w:textAlignment w:val="bottom"/>
              <w:rPr>
                <w:rFonts w:hint="eastAsia" w:ascii="宋体" w:hAnsi="宋体" w:cs="宋体"/>
                <w:b/>
                <w:bCs/>
                <w:color w:val="000000"/>
                <w:sz w:val="20"/>
                <w:szCs w:val="20"/>
              </w:rPr>
            </w:pPr>
            <w:r>
              <w:rPr>
                <w:rFonts w:hint="eastAsia" w:ascii="宋体" w:hAnsi="宋体" w:cs="宋体"/>
                <w:b/>
                <w:bCs/>
                <w:color w:val="000000"/>
                <w:kern w:val="0"/>
                <w:sz w:val="20"/>
                <w:szCs w:val="20"/>
                <w:lang w:bidi="ar"/>
              </w:rPr>
              <w:t>100.00%</w:t>
            </w:r>
          </w:p>
        </w:tc>
      </w:tr>
    </w:tbl>
    <w:p w14:paraId="684FB1C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主要财务数据：济南泰神刚完成注册设立，暂无主要财务数据。济南泰神基金管理人、执行事务合伙人山东历晟投资有限公司及主要出资人济南汇扬投资合伙企业（有限合伙）系国有企业背景，财务资金状况和资信情况良好，对本次交易有足够的支付能力，交易风险较小。</w:t>
      </w:r>
    </w:p>
    <w:p w14:paraId="5463D132">
      <w:pPr>
        <w:pStyle w:val="4"/>
        <w:spacing w:before="156" w:after="156"/>
        <w:ind w:firstLine="482"/>
        <w:rPr>
          <w:rFonts w:hint="eastAsia"/>
          <w:color w:val="000000"/>
          <w:shd w:val="clear" w:color="auto" w:fill="FFFFFF"/>
        </w:rPr>
      </w:pPr>
      <w:r>
        <w:rPr>
          <w:rFonts w:hint="eastAsia"/>
          <w:color w:val="000000"/>
          <w:shd w:val="clear" w:color="auto" w:fill="FFFFFF"/>
        </w:rPr>
        <w:t>2、华欣石恒科技创业投资基金（青岛）合伙企业（有限合伙）</w:t>
      </w:r>
    </w:p>
    <w:p w14:paraId="145D5AF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（1）</w:t>
      </w:r>
      <w:r>
        <w:rPr>
          <w:rFonts w:hint="eastAsia" w:ascii="宋体" w:hAnsi="宋体" w:cs="宋体"/>
          <w:sz w:val="24"/>
          <w:szCs w:val="24"/>
        </w:rPr>
        <w:t>企业名称：华欣石恒科技创业投资基金（青岛）合伙企业（有限合伙）</w:t>
      </w:r>
    </w:p>
    <w:p w14:paraId="5C774324">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（2）</w:t>
      </w:r>
      <w:r>
        <w:rPr>
          <w:rFonts w:hint="eastAsia" w:ascii="宋体" w:hAnsi="宋体" w:cs="宋体"/>
          <w:sz w:val="24"/>
          <w:szCs w:val="24"/>
        </w:rPr>
        <w:t>统一社会信用代码：91370202MAEEPLRG1X</w:t>
      </w:r>
    </w:p>
    <w:p w14:paraId="6657A99F">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（3）</w:t>
      </w:r>
      <w:r>
        <w:rPr>
          <w:rFonts w:hint="eastAsia" w:ascii="宋体" w:hAnsi="宋体" w:cs="宋体"/>
          <w:sz w:val="24"/>
          <w:szCs w:val="24"/>
        </w:rPr>
        <w:t>执行事务合伙人：华民股权投资基金管理（深圳）有限公司</w:t>
      </w:r>
    </w:p>
    <w:p w14:paraId="4C132808">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（4）</w:t>
      </w:r>
      <w:r>
        <w:rPr>
          <w:rFonts w:hint="eastAsia" w:ascii="宋体" w:hAnsi="宋体" w:cs="宋体"/>
          <w:sz w:val="24"/>
          <w:szCs w:val="24"/>
        </w:rPr>
        <w:t>企业类型：有限合伙企业</w:t>
      </w:r>
    </w:p>
    <w:p w14:paraId="15F38AA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（5）</w:t>
      </w:r>
      <w:r>
        <w:rPr>
          <w:rFonts w:hint="eastAsia" w:ascii="宋体" w:hAnsi="宋体" w:cs="宋体"/>
          <w:sz w:val="24"/>
          <w:szCs w:val="24"/>
        </w:rPr>
        <w:t>成立日期：2025-03-14</w:t>
      </w:r>
    </w:p>
    <w:p w14:paraId="3B1A268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（6）</w:t>
      </w:r>
      <w:r>
        <w:rPr>
          <w:rFonts w:hint="eastAsia" w:ascii="宋体" w:hAnsi="宋体" w:cs="宋体"/>
          <w:sz w:val="24"/>
          <w:szCs w:val="24"/>
        </w:rPr>
        <w:t>出资额：43100万元</w:t>
      </w:r>
    </w:p>
    <w:p w14:paraId="75448299">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（7）</w:t>
      </w:r>
      <w:r>
        <w:rPr>
          <w:rFonts w:hint="eastAsia" w:ascii="宋体" w:hAnsi="宋体" w:cs="宋体"/>
          <w:sz w:val="24"/>
          <w:szCs w:val="24"/>
        </w:rPr>
        <w:t>注册地址：山东省青岛市市</w:t>
      </w:r>
      <w:r>
        <w:rPr>
          <w:rFonts w:hint="eastAsia" w:ascii="宋体" w:hAnsi="宋体" w:cs="宋体"/>
          <w:color w:val="000000"/>
          <w:sz w:val="24"/>
          <w:szCs w:val="24"/>
          <w:shd w:val="clear" w:color="auto" w:fill="FFFFFF"/>
        </w:rPr>
        <w:t>南区四川路</w:t>
      </w:r>
    </w:p>
    <w:p w14:paraId="60530FF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（8）</w:t>
      </w:r>
      <w:r>
        <w:rPr>
          <w:rFonts w:hint="eastAsia" w:ascii="宋体" w:hAnsi="宋体" w:cs="宋体"/>
          <w:sz w:val="24"/>
          <w:szCs w:val="24"/>
        </w:rPr>
        <w:t>经营范围：一般项目：以私募基金从事股权投资、投资管理、资产管理等活动（须在中国证券投资基金业协会完成登记备案后方可从事经营活动）。（除依法须经批准的项目外，凭营业执照依法自主开展经营活动）</w:t>
      </w:r>
    </w:p>
    <w:p w14:paraId="6D9804E4">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（9）</w:t>
      </w:r>
      <w:r>
        <w:rPr>
          <w:rFonts w:hint="eastAsia" w:ascii="宋体" w:hAnsi="宋体" w:cs="宋体"/>
          <w:sz w:val="24"/>
          <w:szCs w:val="24"/>
        </w:rPr>
        <w:t>股权结构：</w:t>
      </w:r>
    </w:p>
    <w:tbl>
      <w:tblPr>
        <w:tblStyle w:val="11"/>
        <w:tblW w:w="8377" w:type="dxa"/>
        <w:jc w:val="center"/>
        <w:tblLayout w:type="fixed"/>
        <w:tblCellMar>
          <w:top w:w="0" w:type="dxa"/>
          <w:left w:w="108" w:type="dxa"/>
          <w:bottom w:w="0" w:type="dxa"/>
          <w:right w:w="108" w:type="dxa"/>
        </w:tblCellMar>
      </w:tblPr>
      <w:tblGrid>
        <w:gridCol w:w="720"/>
        <w:gridCol w:w="4720"/>
        <w:gridCol w:w="1542"/>
        <w:gridCol w:w="1395"/>
      </w:tblGrid>
      <w:tr w14:paraId="4E98368E">
        <w:tblPrEx>
          <w:tblCellMar>
            <w:top w:w="0" w:type="dxa"/>
            <w:left w:w="108" w:type="dxa"/>
            <w:bottom w:w="0" w:type="dxa"/>
            <w:right w:w="108" w:type="dxa"/>
          </w:tblCellMar>
        </w:tblPrEx>
        <w:trPr>
          <w:trHeight w:val="5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C008554">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序号</w:t>
            </w:r>
          </w:p>
        </w:tc>
        <w:tc>
          <w:tcPr>
            <w:tcW w:w="472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07D3F0">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合伙人名称</w:t>
            </w:r>
          </w:p>
        </w:tc>
        <w:tc>
          <w:tcPr>
            <w:tcW w:w="154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65A71BC">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认缴出资额</w:t>
            </w:r>
            <w:r>
              <w:rPr>
                <w:rFonts w:hint="eastAsia" w:ascii="宋体" w:hAnsi="宋体" w:cs="宋体"/>
                <w:b/>
                <w:bCs/>
                <w:color w:val="000000"/>
                <w:kern w:val="0"/>
                <w:sz w:val="22"/>
                <w:lang w:bidi="ar"/>
              </w:rPr>
              <w:br w:type="textWrapping"/>
            </w:r>
            <w:r>
              <w:rPr>
                <w:rFonts w:hint="eastAsia" w:ascii="宋体" w:hAnsi="宋体" w:cs="宋体"/>
                <w:b/>
                <w:bCs/>
                <w:color w:val="000000"/>
                <w:kern w:val="0"/>
                <w:sz w:val="22"/>
                <w:lang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CA0114">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出资比例</w:t>
            </w:r>
          </w:p>
        </w:tc>
      </w:tr>
      <w:tr w14:paraId="3BC17171">
        <w:tblPrEx>
          <w:tblCellMar>
            <w:top w:w="0" w:type="dxa"/>
            <w:left w:w="108" w:type="dxa"/>
            <w:bottom w:w="0" w:type="dxa"/>
            <w:right w:w="108" w:type="dxa"/>
          </w:tblCellMar>
        </w:tblPrEx>
        <w:trPr>
          <w:trHeight w:val="26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4071BA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720" w:type="dxa"/>
            <w:tcBorders>
              <w:top w:val="single" w:color="000000" w:sz="4" w:space="0"/>
              <w:left w:val="single" w:color="000000" w:sz="4" w:space="0"/>
              <w:bottom w:val="single" w:color="000000" w:sz="4" w:space="0"/>
              <w:right w:val="single" w:color="000000" w:sz="4" w:space="0"/>
            </w:tcBorders>
            <w:noWrap/>
            <w:vAlign w:val="center"/>
          </w:tcPr>
          <w:p w14:paraId="6614726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山东省财欣投资有限公司</w:t>
            </w: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39764358">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25,000</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90263F5">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58.0046%</w:t>
            </w:r>
          </w:p>
        </w:tc>
      </w:tr>
      <w:tr w14:paraId="6CA932F2">
        <w:tblPrEx>
          <w:tblCellMar>
            <w:top w:w="0" w:type="dxa"/>
            <w:left w:w="108" w:type="dxa"/>
            <w:bottom w:w="0" w:type="dxa"/>
            <w:right w:w="108" w:type="dxa"/>
          </w:tblCellMar>
        </w:tblPrEx>
        <w:trPr>
          <w:trHeight w:val="26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0729C1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720" w:type="dxa"/>
            <w:tcBorders>
              <w:top w:val="single" w:color="000000" w:sz="4" w:space="0"/>
              <w:left w:val="single" w:color="000000" w:sz="4" w:space="0"/>
              <w:bottom w:val="single" w:color="000000" w:sz="4" w:space="0"/>
              <w:right w:val="single" w:color="000000" w:sz="4" w:space="0"/>
            </w:tcBorders>
            <w:noWrap/>
            <w:vAlign w:val="center"/>
          </w:tcPr>
          <w:p w14:paraId="67FD002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石家庄国有资本投资运营集团有限责任公司</w:t>
            </w: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6FFBF630">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10,000</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02092B7">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23.2019%</w:t>
            </w:r>
          </w:p>
        </w:tc>
      </w:tr>
      <w:tr w14:paraId="60D5B5FF">
        <w:tblPrEx>
          <w:tblCellMar>
            <w:top w:w="0" w:type="dxa"/>
            <w:left w:w="108" w:type="dxa"/>
            <w:bottom w:w="0" w:type="dxa"/>
            <w:right w:w="108" w:type="dxa"/>
          </w:tblCellMar>
        </w:tblPrEx>
        <w:trPr>
          <w:trHeight w:val="26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32145E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4720" w:type="dxa"/>
            <w:tcBorders>
              <w:top w:val="single" w:color="000000" w:sz="4" w:space="0"/>
              <w:left w:val="single" w:color="000000" w:sz="4" w:space="0"/>
              <w:bottom w:val="single" w:color="000000" w:sz="4" w:space="0"/>
              <w:right w:val="single" w:color="000000" w:sz="4" w:space="0"/>
            </w:tcBorders>
            <w:noWrap/>
            <w:vAlign w:val="center"/>
          </w:tcPr>
          <w:p w14:paraId="526D024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大连国恒投资有限公司</w:t>
            </w: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3AFCCD76">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5,000</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F62EAC8">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11.6009%</w:t>
            </w:r>
          </w:p>
        </w:tc>
      </w:tr>
      <w:tr w14:paraId="218F0BF5">
        <w:tblPrEx>
          <w:tblCellMar>
            <w:top w:w="0" w:type="dxa"/>
            <w:left w:w="108" w:type="dxa"/>
            <w:bottom w:w="0" w:type="dxa"/>
            <w:right w:w="108" w:type="dxa"/>
          </w:tblCellMar>
        </w:tblPrEx>
        <w:trPr>
          <w:trHeight w:val="26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01B3F2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4720" w:type="dxa"/>
            <w:tcBorders>
              <w:top w:val="single" w:color="000000" w:sz="4" w:space="0"/>
              <w:left w:val="single" w:color="000000" w:sz="4" w:space="0"/>
              <w:bottom w:val="single" w:color="000000" w:sz="4" w:space="0"/>
              <w:right w:val="single" w:color="000000" w:sz="4" w:space="0"/>
            </w:tcBorders>
            <w:noWrap/>
            <w:vAlign w:val="center"/>
          </w:tcPr>
          <w:p w14:paraId="6F68CE1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华民科创（青岛）产业基金合伙企业（有限合伙）</w:t>
            </w: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22B7178F">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50F9334">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6.9606%</w:t>
            </w:r>
          </w:p>
        </w:tc>
      </w:tr>
      <w:tr w14:paraId="48B6CDB7">
        <w:tblPrEx>
          <w:tblCellMar>
            <w:top w:w="0" w:type="dxa"/>
            <w:left w:w="108" w:type="dxa"/>
            <w:bottom w:w="0" w:type="dxa"/>
            <w:right w:w="108" w:type="dxa"/>
          </w:tblCellMar>
        </w:tblPrEx>
        <w:trPr>
          <w:trHeight w:val="26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07CA76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720" w:type="dxa"/>
            <w:tcBorders>
              <w:top w:val="single" w:color="000000" w:sz="4" w:space="0"/>
              <w:left w:val="single" w:color="000000" w:sz="4" w:space="0"/>
              <w:bottom w:val="single" w:color="000000" w:sz="4" w:space="0"/>
              <w:right w:val="single" w:color="000000" w:sz="4" w:space="0"/>
            </w:tcBorders>
            <w:noWrap/>
            <w:vAlign w:val="center"/>
          </w:tcPr>
          <w:p w14:paraId="7D260F5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华民股权投资基金管理（深圳）有限公司</w:t>
            </w: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38287EDD">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497A58D">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0.2320%</w:t>
            </w:r>
          </w:p>
        </w:tc>
      </w:tr>
      <w:tr w14:paraId="2430BF65">
        <w:tblPrEx>
          <w:tblCellMar>
            <w:top w:w="0" w:type="dxa"/>
            <w:left w:w="108" w:type="dxa"/>
            <w:bottom w:w="0" w:type="dxa"/>
            <w:right w:w="108" w:type="dxa"/>
          </w:tblCellMar>
        </w:tblPrEx>
        <w:trPr>
          <w:trHeight w:val="260" w:hRule="atLeast"/>
          <w:jc w:val="center"/>
        </w:trPr>
        <w:tc>
          <w:tcPr>
            <w:tcW w:w="5440" w:type="dxa"/>
            <w:gridSpan w:val="2"/>
            <w:tcBorders>
              <w:top w:val="single" w:color="000000" w:sz="4" w:space="0"/>
              <w:left w:val="single" w:color="000000" w:sz="4" w:space="0"/>
              <w:bottom w:val="single" w:color="000000" w:sz="4" w:space="0"/>
              <w:right w:val="single" w:color="000000" w:sz="4" w:space="0"/>
            </w:tcBorders>
            <w:noWrap/>
            <w:vAlign w:val="bottom"/>
          </w:tcPr>
          <w:p w14:paraId="27FEC7DD">
            <w:pPr>
              <w:widowControl/>
              <w:jc w:val="center"/>
              <w:textAlignment w:val="bottom"/>
              <w:rPr>
                <w:rFonts w:hint="eastAsia" w:ascii="宋体" w:hAnsi="宋体" w:cs="宋体"/>
                <w:b/>
                <w:bCs/>
                <w:color w:val="000000"/>
                <w:sz w:val="20"/>
                <w:szCs w:val="20"/>
              </w:rPr>
            </w:pPr>
            <w:r>
              <w:rPr>
                <w:rFonts w:hint="eastAsia" w:ascii="宋体" w:hAnsi="宋体" w:cs="宋体"/>
                <w:b/>
                <w:bCs/>
                <w:color w:val="000000"/>
                <w:kern w:val="0"/>
                <w:sz w:val="20"/>
                <w:szCs w:val="20"/>
                <w:lang w:bidi="ar"/>
              </w:rPr>
              <w:t>合计</w:t>
            </w:r>
          </w:p>
        </w:tc>
        <w:tc>
          <w:tcPr>
            <w:tcW w:w="1542" w:type="dxa"/>
            <w:tcBorders>
              <w:top w:val="single" w:color="000000" w:sz="4" w:space="0"/>
              <w:left w:val="single" w:color="000000" w:sz="4" w:space="0"/>
              <w:bottom w:val="single" w:color="000000" w:sz="4" w:space="0"/>
              <w:right w:val="single" w:color="000000" w:sz="4" w:space="0"/>
            </w:tcBorders>
            <w:noWrap/>
            <w:vAlign w:val="bottom"/>
          </w:tcPr>
          <w:p w14:paraId="74462FB7">
            <w:pPr>
              <w:widowControl/>
              <w:jc w:val="right"/>
              <w:textAlignment w:val="bottom"/>
              <w:rPr>
                <w:rFonts w:hint="eastAsia" w:ascii="宋体" w:hAnsi="宋体" w:cs="宋体"/>
                <w:b/>
                <w:bCs/>
                <w:color w:val="000000"/>
                <w:sz w:val="20"/>
                <w:szCs w:val="20"/>
              </w:rPr>
            </w:pPr>
            <w:r>
              <w:rPr>
                <w:rFonts w:hint="eastAsia" w:ascii="宋体" w:hAnsi="宋体" w:cs="宋体"/>
                <w:b/>
                <w:bCs/>
                <w:color w:val="000000"/>
                <w:kern w:val="0"/>
                <w:sz w:val="20"/>
                <w:szCs w:val="20"/>
                <w:lang w:bidi="ar"/>
              </w:rPr>
              <w:t>43,100</w:t>
            </w:r>
          </w:p>
        </w:tc>
        <w:tc>
          <w:tcPr>
            <w:tcW w:w="1395" w:type="dxa"/>
            <w:tcBorders>
              <w:top w:val="single" w:color="000000" w:sz="4" w:space="0"/>
              <w:left w:val="single" w:color="000000" w:sz="4" w:space="0"/>
              <w:bottom w:val="single" w:color="000000" w:sz="4" w:space="0"/>
              <w:right w:val="single" w:color="000000" w:sz="4" w:space="0"/>
            </w:tcBorders>
            <w:noWrap/>
            <w:vAlign w:val="bottom"/>
          </w:tcPr>
          <w:p w14:paraId="43A175CB">
            <w:pPr>
              <w:widowControl/>
              <w:jc w:val="right"/>
              <w:textAlignment w:val="bottom"/>
              <w:rPr>
                <w:rFonts w:hint="eastAsia" w:ascii="宋体" w:hAnsi="宋体" w:cs="宋体"/>
                <w:b/>
                <w:bCs/>
                <w:color w:val="000000"/>
                <w:sz w:val="20"/>
                <w:szCs w:val="20"/>
              </w:rPr>
            </w:pPr>
            <w:r>
              <w:rPr>
                <w:rFonts w:hint="eastAsia" w:ascii="宋体" w:hAnsi="宋体" w:cs="宋体"/>
                <w:b/>
                <w:bCs/>
                <w:color w:val="000000"/>
                <w:kern w:val="0"/>
                <w:sz w:val="20"/>
                <w:szCs w:val="20"/>
                <w:lang w:bidi="ar"/>
              </w:rPr>
              <w:t>100.00%</w:t>
            </w:r>
          </w:p>
        </w:tc>
      </w:tr>
    </w:tbl>
    <w:p w14:paraId="7D2B4693">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主要财务数据：截止2025年6月30日，总资产1,030.43万元，净资产1,030.43万元，2025年上半年实现收入0元，净利润0.13万元。华欣石恒基金管理人、执行事务合伙人华民股权投资基金管理（深圳）有限公司及主要出资人系国有企业背景，财务资金状况和资信情况良好，对本次交易有足够的支付能力，交易风险较小。</w:t>
      </w:r>
    </w:p>
    <w:p w14:paraId="003F812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济南泰神和华欣石恒与公司及公司前十名股东、董事、高级管理人员在产权、业务、资产、债权债务、人员等方面均无关系，亦不存在其他可能或已经造成公司对其利益倾斜的其他关系。经查询中国执行信息公开网，济南泰神和华欣石恒不是失信被执行人。</w:t>
      </w:r>
    </w:p>
    <w:p w14:paraId="1F4A3924">
      <w:pPr>
        <w:pStyle w:val="2"/>
        <w:spacing w:before="156" w:after="156"/>
      </w:pPr>
      <w:r>
        <w:rPr>
          <w:rFonts w:hint="eastAsia"/>
        </w:rPr>
        <w:t>三、交易标的基本情况</w:t>
      </w:r>
    </w:p>
    <w:p w14:paraId="7D7EE59B">
      <w:pPr>
        <w:pStyle w:val="3"/>
        <w:spacing w:before="156" w:after="156"/>
        <w:ind w:firstLine="482"/>
        <w:rPr>
          <w:rFonts w:hint="eastAsia"/>
        </w:rPr>
      </w:pPr>
      <w:r>
        <w:rPr>
          <w:rFonts w:hint="eastAsia"/>
        </w:rPr>
        <w:t>（一）基本信息</w:t>
      </w:r>
    </w:p>
    <w:p w14:paraId="083B572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1、</w:t>
      </w:r>
      <w:r>
        <w:rPr>
          <w:rFonts w:hint="eastAsia" w:ascii="宋体" w:hAnsi="宋体" w:cs="宋体"/>
          <w:sz w:val="24"/>
          <w:szCs w:val="24"/>
        </w:rPr>
        <w:t>企业名称：福建广生中霖生物科技有限公司</w:t>
      </w:r>
    </w:p>
    <w:p w14:paraId="678A7583">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2、</w:t>
      </w:r>
      <w:r>
        <w:rPr>
          <w:rFonts w:hint="eastAsia" w:ascii="宋体" w:hAnsi="宋体" w:cs="宋体"/>
          <w:sz w:val="24"/>
          <w:szCs w:val="24"/>
        </w:rPr>
        <w:t>统一社会信用代码：91350926MA8UA4FT7T</w:t>
      </w:r>
    </w:p>
    <w:p w14:paraId="45CB0B57">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3、</w:t>
      </w:r>
      <w:r>
        <w:rPr>
          <w:rFonts w:hint="eastAsia" w:ascii="宋体" w:hAnsi="宋体" w:cs="宋体"/>
          <w:sz w:val="24"/>
          <w:szCs w:val="24"/>
        </w:rPr>
        <w:t>法定代表人：KE HU</w:t>
      </w:r>
    </w:p>
    <w:p w14:paraId="197EDFE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4、</w:t>
      </w:r>
      <w:r>
        <w:rPr>
          <w:rFonts w:hint="eastAsia" w:ascii="宋体" w:hAnsi="宋体" w:cs="宋体"/>
          <w:sz w:val="24"/>
          <w:szCs w:val="24"/>
        </w:rPr>
        <w:t>企业类型：其他有限责任公司</w:t>
      </w:r>
    </w:p>
    <w:p w14:paraId="3360457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5、</w:t>
      </w:r>
      <w:r>
        <w:rPr>
          <w:rFonts w:hint="eastAsia" w:ascii="宋体" w:hAnsi="宋体" w:cs="宋体"/>
          <w:sz w:val="24"/>
          <w:szCs w:val="24"/>
        </w:rPr>
        <w:t>成立日期：2021年11月22日</w:t>
      </w:r>
    </w:p>
    <w:p w14:paraId="0F56721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6、</w:t>
      </w:r>
      <w:r>
        <w:rPr>
          <w:rFonts w:hint="eastAsia" w:ascii="宋体" w:hAnsi="宋体" w:cs="宋体"/>
          <w:sz w:val="24"/>
          <w:szCs w:val="24"/>
        </w:rPr>
        <w:t xml:space="preserve">注册资本：38850万元 </w:t>
      </w:r>
    </w:p>
    <w:p w14:paraId="026410F0">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7、</w:t>
      </w:r>
      <w:r>
        <w:rPr>
          <w:rFonts w:hint="eastAsia" w:ascii="宋体" w:hAnsi="宋体" w:cs="宋体"/>
          <w:sz w:val="24"/>
          <w:szCs w:val="24"/>
        </w:rPr>
        <w:t>注册地址：福建省宁德市柘荣县富源工业园区1-7幢综合办公楼2层</w:t>
      </w:r>
    </w:p>
    <w:p w14:paraId="53EA7139">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8、</w:t>
      </w:r>
      <w:r>
        <w:rPr>
          <w:rFonts w:hint="eastAsia" w:ascii="宋体" w:hAnsi="宋体" w:cs="宋体"/>
          <w:sz w:val="24"/>
          <w:szCs w:val="24"/>
        </w:rPr>
        <w:t>经营范围：一般项目：医学研究和试验发展；以自有资金从事投资活动；保健食品（预包装）销售；技术服务、技术开发、技术咨询、技术交流、技术转让、技术推广；技术进出口（除依法须经批准的项目外，凭营业执照依法自主开展经营活动）许可项目：药品生产；药品批发；药品零售；药品进出口；药品互联网信息服务（依法须经批准的项目，经相关部门批准后方可开展经营活动，具体经营项目以相关部门批准文件或许可证件为准）</w:t>
      </w:r>
    </w:p>
    <w:p w14:paraId="64066DBA">
      <w:pPr>
        <w:pStyle w:val="3"/>
        <w:spacing w:before="156" w:after="156"/>
        <w:ind w:firstLine="482"/>
        <w:rPr>
          <w:rFonts w:hint="eastAsia"/>
        </w:rPr>
      </w:pPr>
      <w:r>
        <w:rPr>
          <w:rFonts w:hint="eastAsia"/>
        </w:rPr>
        <w:t>（二）最近一年及一期的主要财务数据</w:t>
      </w:r>
    </w:p>
    <w:tbl>
      <w:tblPr>
        <w:tblStyle w:val="11"/>
        <w:tblW w:w="9005" w:type="dxa"/>
        <w:jc w:val="center"/>
        <w:tblLayout w:type="fixed"/>
        <w:tblCellMar>
          <w:top w:w="0" w:type="dxa"/>
          <w:left w:w="108" w:type="dxa"/>
          <w:bottom w:w="0" w:type="dxa"/>
          <w:right w:w="108" w:type="dxa"/>
        </w:tblCellMar>
      </w:tblPr>
      <w:tblGrid>
        <w:gridCol w:w="2435"/>
        <w:gridCol w:w="3193"/>
        <w:gridCol w:w="3377"/>
      </w:tblGrid>
      <w:tr w14:paraId="1B3F9C6E">
        <w:tblPrEx>
          <w:tblCellMar>
            <w:top w:w="0" w:type="dxa"/>
            <w:left w:w="108" w:type="dxa"/>
            <w:bottom w:w="0" w:type="dxa"/>
            <w:right w:w="108" w:type="dxa"/>
          </w:tblCellMar>
        </w:tblPrEx>
        <w:trPr>
          <w:trHeight w:val="280" w:hRule="atLeast"/>
          <w:jc w:val="center"/>
        </w:trPr>
        <w:tc>
          <w:tcPr>
            <w:tcW w:w="2435" w:type="dxa"/>
            <w:tcBorders>
              <w:top w:val="nil"/>
              <w:left w:val="nil"/>
              <w:bottom w:val="nil"/>
              <w:right w:val="nil"/>
            </w:tcBorders>
            <w:noWrap/>
            <w:vAlign w:val="center"/>
          </w:tcPr>
          <w:p w14:paraId="65AC5721">
            <w:pPr>
              <w:spacing w:line="360" w:lineRule="auto"/>
              <w:rPr>
                <w:rFonts w:hint="eastAsia" w:ascii="宋体" w:hAnsi="宋体" w:cs="宋体"/>
                <w:color w:val="000000"/>
                <w:sz w:val="22"/>
              </w:rPr>
            </w:pPr>
          </w:p>
        </w:tc>
        <w:tc>
          <w:tcPr>
            <w:tcW w:w="3193" w:type="dxa"/>
            <w:tcBorders>
              <w:top w:val="nil"/>
              <w:left w:val="nil"/>
              <w:bottom w:val="nil"/>
              <w:right w:val="nil"/>
            </w:tcBorders>
            <w:noWrap/>
            <w:vAlign w:val="center"/>
          </w:tcPr>
          <w:p w14:paraId="1F976FAC">
            <w:pPr>
              <w:spacing w:line="360" w:lineRule="auto"/>
              <w:rPr>
                <w:rFonts w:hint="eastAsia" w:ascii="宋体" w:hAnsi="宋体" w:cs="宋体"/>
                <w:color w:val="000000"/>
                <w:sz w:val="22"/>
              </w:rPr>
            </w:pPr>
          </w:p>
        </w:tc>
        <w:tc>
          <w:tcPr>
            <w:tcW w:w="3377" w:type="dxa"/>
            <w:tcBorders>
              <w:top w:val="nil"/>
              <w:left w:val="nil"/>
              <w:bottom w:val="nil"/>
              <w:right w:val="nil"/>
            </w:tcBorders>
            <w:noWrap/>
            <w:vAlign w:val="center"/>
          </w:tcPr>
          <w:p w14:paraId="0FA3D56E">
            <w:pPr>
              <w:widowControl/>
              <w:spacing w:line="360" w:lineRule="auto"/>
              <w:jc w:val="right"/>
              <w:textAlignment w:val="center"/>
              <w:rPr>
                <w:rFonts w:hint="eastAsia" w:ascii="宋体" w:hAnsi="宋体" w:cs="宋体"/>
                <w:color w:val="000000"/>
                <w:sz w:val="22"/>
              </w:rPr>
            </w:pPr>
            <w:r>
              <w:rPr>
                <w:rFonts w:hint="eastAsia" w:ascii="宋体" w:hAnsi="宋体" w:cs="宋体"/>
                <w:color w:val="000000"/>
                <w:kern w:val="0"/>
                <w:sz w:val="22"/>
                <w:lang w:bidi="ar"/>
              </w:rPr>
              <w:t>单位：万元</w:t>
            </w:r>
          </w:p>
        </w:tc>
      </w:tr>
      <w:tr w14:paraId="5CDFC50B">
        <w:tblPrEx>
          <w:tblCellMar>
            <w:top w:w="0" w:type="dxa"/>
            <w:left w:w="108" w:type="dxa"/>
            <w:bottom w:w="0" w:type="dxa"/>
            <w:right w:w="108" w:type="dxa"/>
          </w:tblCellMar>
        </w:tblPrEx>
        <w:trPr>
          <w:trHeight w:val="560" w:hRule="atLeast"/>
          <w:jc w:val="center"/>
        </w:trPr>
        <w:tc>
          <w:tcPr>
            <w:tcW w:w="243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7260D5AA">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项目</w:t>
            </w:r>
          </w:p>
        </w:tc>
        <w:tc>
          <w:tcPr>
            <w:tcW w:w="319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07F1D352">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2024年12月31日</w:t>
            </w:r>
            <w:r>
              <w:rPr>
                <w:rFonts w:hint="eastAsia" w:ascii="宋体" w:hAnsi="宋体" w:cs="宋体"/>
                <w:b/>
                <w:bCs/>
                <w:color w:val="000000"/>
                <w:kern w:val="0"/>
                <w:sz w:val="22"/>
                <w:lang w:bidi="ar"/>
              </w:rPr>
              <w:br w:type="textWrapping"/>
            </w:r>
            <w:r>
              <w:rPr>
                <w:rFonts w:hint="eastAsia" w:ascii="宋体" w:hAnsi="宋体" w:cs="宋体"/>
                <w:b/>
                <w:bCs/>
                <w:color w:val="000000"/>
                <w:kern w:val="0"/>
                <w:sz w:val="22"/>
                <w:lang w:bidi="ar"/>
              </w:rPr>
              <w:t>（经审计）</w:t>
            </w:r>
          </w:p>
        </w:tc>
        <w:tc>
          <w:tcPr>
            <w:tcW w:w="337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344AE4E">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2025年6月30日</w:t>
            </w:r>
            <w:r>
              <w:rPr>
                <w:rFonts w:hint="eastAsia" w:ascii="宋体" w:hAnsi="宋体" w:cs="宋体"/>
                <w:b/>
                <w:bCs/>
                <w:color w:val="000000"/>
                <w:kern w:val="0"/>
                <w:sz w:val="22"/>
                <w:lang w:bidi="ar"/>
              </w:rPr>
              <w:br w:type="textWrapping"/>
            </w:r>
            <w:r>
              <w:rPr>
                <w:rFonts w:hint="eastAsia" w:ascii="宋体" w:hAnsi="宋体" w:cs="宋体"/>
                <w:b/>
                <w:bCs/>
                <w:color w:val="000000"/>
                <w:kern w:val="0"/>
                <w:sz w:val="22"/>
                <w:lang w:bidi="ar"/>
              </w:rPr>
              <w:t>（未审计）</w:t>
            </w:r>
          </w:p>
        </w:tc>
      </w:tr>
      <w:tr w14:paraId="7C48FD6B">
        <w:tblPrEx>
          <w:tblCellMar>
            <w:top w:w="0" w:type="dxa"/>
            <w:left w:w="108" w:type="dxa"/>
            <w:bottom w:w="0" w:type="dxa"/>
            <w:right w:w="108" w:type="dxa"/>
          </w:tblCellMar>
        </w:tblPrEx>
        <w:trPr>
          <w:trHeight w:val="280" w:hRule="atLeast"/>
          <w:jc w:val="center"/>
        </w:trPr>
        <w:tc>
          <w:tcPr>
            <w:tcW w:w="2435" w:type="dxa"/>
            <w:tcBorders>
              <w:top w:val="single" w:color="000000" w:sz="4" w:space="0"/>
              <w:left w:val="single" w:color="000000" w:sz="4" w:space="0"/>
              <w:bottom w:val="single" w:color="000000" w:sz="4" w:space="0"/>
              <w:right w:val="single" w:color="000000" w:sz="4" w:space="0"/>
            </w:tcBorders>
            <w:noWrap/>
            <w:vAlign w:val="center"/>
          </w:tcPr>
          <w:p w14:paraId="0F97279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资产总额</w:t>
            </w:r>
          </w:p>
        </w:tc>
        <w:tc>
          <w:tcPr>
            <w:tcW w:w="3193" w:type="dxa"/>
            <w:tcBorders>
              <w:top w:val="single" w:color="000000" w:sz="4" w:space="0"/>
              <w:left w:val="single" w:color="000000" w:sz="4" w:space="0"/>
              <w:bottom w:val="single" w:color="000000" w:sz="4" w:space="0"/>
              <w:right w:val="single" w:color="000000" w:sz="4" w:space="0"/>
            </w:tcBorders>
            <w:noWrap/>
            <w:vAlign w:val="center"/>
          </w:tcPr>
          <w:p w14:paraId="34D78C1A">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51,334.60 </w:t>
            </w:r>
          </w:p>
        </w:tc>
        <w:tc>
          <w:tcPr>
            <w:tcW w:w="3377" w:type="dxa"/>
            <w:tcBorders>
              <w:top w:val="single" w:color="000000" w:sz="4" w:space="0"/>
              <w:left w:val="single" w:color="000000" w:sz="4" w:space="0"/>
              <w:bottom w:val="single" w:color="000000" w:sz="4" w:space="0"/>
              <w:right w:val="single" w:color="000000" w:sz="4" w:space="0"/>
            </w:tcBorders>
            <w:noWrap/>
            <w:vAlign w:val="center"/>
          </w:tcPr>
          <w:p w14:paraId="4C2681A9">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50,333.92 </w:t>
            </w:r>
          </w:p>
        </w:tc>
      </w:tr>
      <w:tr w14:paraId="016A5BA1">
        <w:tblPrEx>
          <w:tblCellMar>
            <w:top w:w="0" w:type="dxa"/>
            <w:left w:w="108" w:type="dxa"/>
            <w:bottom w:w="0" w:type="dxa"/>
            <w:right w:w="108" w:type="dxa"/>
          </w:tblCellMar>
        </w:tblPrEx>
        <w:trPr>
          <w:trHeight w:val="280" w:hRule="atLeast"/>
          <w:jc w:val="center"/>
        </w:trPr>
        <w:tc>
          <w:tcPr>
            <w:tcW w:w="2435" w:type="dxa"/>
            <w:tcBorders>
              <w:top w:val="single" w:color="000000" w:sz="4" w:space="0"/>
              <w:left w:val="single" w:color="000000" w:sz="4" w:space="0"/>
              <w:bottom w:val="single" w:color="000000" w:sz="4" w:space="0"/>
              <w:right w:val="single" w:color="000000" w:sz="4" w:space="0"/>
            </w:tcBorders>
            <w:noWrap/>
            <w:vAlign w:val="center"/>
          </w:tcPr>
          <w:p w14:paraId="172EE79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负债总额</w:t>
            </w:r>
          </w:p>
        </w:tc>
        <w:tc>
          <w:tcPr>
            <w:tcW w:w="3193" w:type="dxa"/>
            <w:tcBorders>
              <w:top w:val="single" w:color="000000" w:sz="4" w:space="0"/>
              <w:left w:val="single" w:color="000000" w:sz="4" w:space="0"/>
              <w:bottom w:val="single" w:color="000000" w:sz="4" w:space="0"/>
              <w:right w:val="single" w:color="000000" w:sz="4" w:space="0"/>
            </w:tcBorders>
            <w:noWrap/>
            <w:vAlign w:val="center"/>
          </w:tcPr>
          <w:p w14:paraId="7D7726C0">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31,989.34 </w:t>
            </w:r>
          </w:p>
        </w:tc>
        <w:tc>
          <w:tcPr>
            <w:tcW w:w="3377" w:type="dxa"/>
            <w:tcBorders>
              <w:top w:val="single" w:color="000000" w:sz="4" w:space="0"/>
              <w:left w:val="single" w:color="000000" w:sz="4" w:space="0"/>
              <w:bottom w:val="single" w:color="000000" w:sz="4" w:space="0"/>
              <w:right w:val="single" w:color="000000" w:sz="4" w:space="0"/>
            </w:tcBorders>
            <w:noWrap/>
            <w:vAlign w:val="center"/>
          </w:tcPr>
          <w:p w14:paraId="5F169BF8">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32,954.50 </w:t>
            </w:r>
          </w:p>
        </w:tc>
      </w:tr>
      <w:tr w14:paraId="4F798FE9">
        <w:tblPrEx>
          <w:tblCellMar>
            <w:top w:w="0" w:type="dxa"/>
            <w:left w:w="108" w:type="dxa"/>
            <w:bottom w:w="0" w:type="dxa"/>
            <w:right w:w="108" w:type="dxa"/>
          </w:tblCellMar>
        </w:tblPrEx>
        <w:trPr>
          <w:trHeight w:val="280" w:hRule="atLeast"/>
          <w:jc w:val="center"/>
        </w:trPr>
        <w:tc>
          <w:tcPr>
            <w:tcW w:w="2435" w:type="dxa"/>
            <w:tcBorders>
              <w:top w:val="single" w:color="000000" w:sz="4" w:space="0"/>
              <w:left w:val="single" w:color="000000" w:sz="4" w:space="0"/>
              <w:bottom w:val="single" w:color="000000" w:sz="4" w:space="0"/>
              <w:right w:val="single" w:color="000000" w:sz="4" w:space="0"/>
            </w:tcBorders>
            <w:noWrap/>
            <w:vAlign w:val="center"/>
          </w:tcPr>
          <w:p w14:paraId="6849DD7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净资产</w:t>
            </w:r>
          </w:p>
        </w:tc>
        <w:tc>
          <w:tcPr>
            <w:tcW w:w="3193" w:type="dxa"/>
            <w:tcBorders>
              <w:top w:val="single" w:color="000000" w:sz="4" w:space="0"/>
              <w:left w:val="single" w:color="000000" w:sz="4" w:space="0"/>
              <w:bottom w:val="single" w:color="000000" w:sz="4" w:space="0"/>
              <w:right w:val="single" w:color="000000" w:sz="4" w:space="0"/>
            </w:tcBorders>
            <w:noWrap/>
            <w:vAlign w:val="center"/>
          </w:tcPr>
          <w:p w14:paraId="74C318D7">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19,345.27 </w:t>
            </w:r>
          </w:p>
        </w:tc>
        <w:tc>
          <w:tcPr>
            <w:tcW w:w="3377" w:type="dxa"/>
            <w:tcBorders>
              <w:top w:val="single" w:color="000000" w:sz="4" w:space="0"/>
              <w:left w:val="single" w:color="000000" w:sz="4" w:space="0"/>
              <w:bottom w:val="single" w:color="000000" w:sz="4" w:space="0"/>
              <w:right w:val="single" w:color="000000" w:sz="4" w:space="0"/>
            </w:tcBorders>
            <w:noWrap/>
            <w:vAlign w:val="center"/>
          </w:tcPr>
          <w:p w14:paraId="7B9CF540">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17,379.42 </w:t>
            </w:r>
          </w:p>
        </w:tc>
      </w:tr>
      <w:tr w14:paraId="18D25495">
        <w:tblPrEx>
          <w:tblCellMar>
            <w:top w:w="0" w:type="dxa"/>
            <w:left w:w="108" w:type="dxa"/>
            <w:bottom w:w="0" w:type="dxa"/>
            <w:right w:w="108" w:type="dxa"/>
          </w:tblCellMar>
        </w:tblPrEx>
        <w:trPr>
          <w:trHeight w:val="560" w:hRule="atLeast"/>
          <w:jc w:val="center"/>
        </w:trPr>
        <w:tc>
          <w:tcPr>
            <w:tcW w:w="243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592BAA2">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项目</w:t>
            </w:r>
          </w:p>
        </w:tc>
        <w:tc>
          <w:tcPr>
            <w:tcW w:w="319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90E9C49">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2024年度</w:t>
            </w:r>
            <w:r>
              <w:rPr>
                <w:rFonts w:hint="eastAsia" w:ascii="宋体" w:hAnsi="宋体" w:cs="宋体"/>
                <w:b/>
                <w:bCs/>
                <w:color w:val="000000"/>
                <w:kern w:val="0"/>
                <w:sz w:val="22"/>
                <w:lang w:bidi="ar"/>
              </w:rPr>
              <w:br w:type="textWrapping"/>
            </w:r>
            <w:r>
              <w:rPr>
                <w:rFonts w:hint="eastAsia" w:ascii="宋体" w:hAnsi="宋体" w:cs="宋体"/>
                <w:b/>
                <w:bCs/>
                <w:color w:val="000000"/>
                <w:kern w:val="0"/>
                <w:sz w:val="22"/>
                <w:lang w:bidi="ar"/>
              </w:rPr>
              <w:t>（经审计）</w:t>
            </w:r>
          </w:p>
        </w:tc>
        <w:tc>
          <w:tcPr>
            <w:tcW w:w="337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08E88A3">
            <w:pPr>
              <w:widowControl/>
              <w:jc w:val="center"/>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2025年上半年</w:t>
            </w:r>
          </w:p>
          <w:p w14:paraId="271CD98A">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（未审计）</w:t>
            </w:r>
          </w:p>
        </w:tc>
      </w:tr>
      <w:tr w14:paraId="14BC2BA9">
        <w:tblPrEx>
          <w:tblCellMar>
            <w:top w:w="0" w:type="dxa"/>
            <w:left w:w="108" w:type="dxa"/>
            <w:bottom w:w="0" w:type="dxa"/>
            <w:right w:w="108" w:type="dxa"/>
          </w:tblCellMar>
        </w:tblPrEx>
        <w:trPr>
          <w:trHeight w:val="280" w:hRule="atLeast"/>
          <w:jc w:val="center"/>
        </w:trPr>
        <w:tc>
          <w:tcPr>
            <w:tcW w:w="2435" w:type="dxa"/>
            <w:tcBorders>
              <w:top w:val="single" w:color="000000" w:sz="4" w:space="0"/>
              <w:left w:val="single" w:color="000000" w:sz="4" w:space="0"/>
              <w:bottom w:val="single" w:color="000000" w:sz="4" w:space="0"/>
              <w:right w:val="single" w:color="000000" w:sz="4" w:space="0"/>
            </w:tcBorders>
            <w:noWrap/>
            <w:vAlign w:val="center"/>
          </w:tcPr>
          <w:p w14:paraId="58039C9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营业收入</w:t>
            </w:r>
          </w:p>
        </w:tc>
        <w:tc>
          <w:tcPr>
            <w:tcW w:w="3193" w:type="dxa"/>
            <w:tcBorders>
              <w:top w:val="single" w:color="000000" w:sz="4" w:space="0"/>
              <w:left w:val="single" w:color="000000" w:sz="4" w:space="0"/>
              <w:bottom w:val="single" w:color="000000" w:sz="4" w:space="0"/>
              <w:right w:val="single" w:color="000000" w:sz="4" w:space="0"/>
            </w:tcBorders>
            <w:noWrap/>
            <w:vAlign w:val="center"/>
          </w:tcPr>
          <w:p w14:paraId="1D9C0DA0">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2,890.72 </w:t>
            </w:r>
          </w:p>
        </w:tc>
        <w:tc>
          <w:tcPr>
            <w:tcW w:w="3377" w:type="dxa"/>
            <w:tcBorders>
              <w:top w:val="single" w:color="000000" w:sz="4" w:space="0"/>
              <w:left w:val="single" w:color="000000" w:sz="4" w:space="0"/>
              <w:bottom w:val="single" w:color="000000" w:sz="4" w:space="0"/>
              <w:right w:val="single" w:color="000000" w:sz="4" w:space="0"/>
            </w:tcBorders>
            <w:noWrap/>
            <w:vAlign w:val="center"/>
          </w:tcPr>
          <w:p w14:paraId="06C37DC2">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801.62 </w:t>
            </w:r>
          </w:p>
        </w:tc>
      </w:tr>
      <w:tr w14:paraId="59B5CBAA">
        <w:tblPrEx>
          <w:tblCellMar>
            <w:top w:w="0" w:type="dxa"/>
            <w:left w:w="108" w:type="dxa"/>
            <w:bottom w:w="0" w:type="dxa"/>
            <w:right w:w="108" w:type="dxa"/>
          </w:tblCellMar>
        </w:tblPrEx>
        <w:trPr>
          <w:trHeight w:val="280" w:hRule="atLeast"/>
          <w:jc w:val="center"/>
        </w:trPr>
        <w:tc>
          <w:tcPr>
            <w:tcW w:w="2435" w:type="dxa"/>
            <w:tcBorders>
              <w:top w:val="single" w:color="000000" w:sz="4" w:space="0"/>
              <w:left w:val="single" w:color="000000" w:sz="4" w:space="0"/>
              <w:bottom w:val="single" w:color="000000" w:sz="4" w:space="0"/>
              <w:right w:val="single" w:color="000000" w:sz="4" w:space="0"/>
            </w:tcBorders>
            <w:noWrap/>
            <w:vAlign w:val="center"/>
          </w:tcPr>
          <w:p w14:paraId="11E39E0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利润总额</w:t>
            </w:r>
          </w:p>
        </w:tc>
        <w:tc>
          <w:tcPr>
            <w:tcW w:w="3193" w:type="dxa"/>
            <w:tcBorders>
              <w:top w:val="single" w:color="000000" w:sz="4" w:space="0"/>
              <w:left w:val="single" w:color="000000" w:sz="4" w:space="0"/>
              <w:bottom w:val="single" w:color="000000" w:sz="4" w:space="0"/>
              <w:right w:val="single" w:color="000000" w:sz="4" w:space="0"/>
            </w:tcBorders>
            <w:noWrap/>
            <w:vAlign w:val="center"/>
          </w:tcPr>
          <w:p w14:paraId="64315B43">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-8,247.19  </w:t>
            </w:r>
          </w:p>
        </w:tc>
        <w:tc>
          <w:tcPr>
            <w:tcW w:w="3377" w:type="dxa"/>
            <w:tcBorders>
              <w:top w:val="single" w:color="000000" w:sz="4" w:space="0"/>
              <w:left w:val="single" w:color="000000" w:sz="4" w:space="0"/>
              <w:bottom w:val="single" w:color="000000" w:sz="4" w:space="0"/>
              <w:right w:val="single" w:color="000000" w:sz="4" w:space="0"/>
            </w:tcBorders>
            <w:noWrap/>
            <w:vAlign w:val="center"/>
          </w:tcPr>
          <w:p w14:paraId="5486FD71">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-1,965.84 </w:t>
            </w:r>
          </w:p>
        </w:tc>
      </w:tr>
      <w:tr w14:paraId="6EDEACC5">
        <w:tblPrEx>
          <w:tblCellMar>
            <w:top w:w="0" w:type="dxa"/>
            <w:left w:w="108" w:type="dxa"/>
            <w:bottom w:w="0" w:type="dxa"/>
            <w:right w:w="108" w:type="dxa"/>
          </w:tblCellMar>
        </w:tblPrEx>
        <w:trPr>
          <w:trHeight w:val="280" w:hRule="atLeast"/>
          <w:jc w:val="center"/>
        </w:trPr>
        <w:tc>
          <w:tcPr>
            <w:tcW w:w="2435" w:type="dxa"/>
            <w:tcBorders>
              <w:top w:val="single" w:color="000000" w:sz="4" w:space="0"/>
              <w:left w:val="single" w:color="000000" w:sz="4" w:space="0"/>
              <w:bottom w:val="single" w:color="000000" w:sz="4" w:space="0"/>
              <w:right w:val="single" w:color="000000" w:sz="4" w:space="0"/>
            </w:tcBorders>
            <w:noWrap/>
            <w:vAlign w:val="center"/>
          </w:tcPr>
          <w:p w14:paraId="2E531D0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净利润</w:t>
            </w:r>
          </w:p>
        </w:tc>
        <w:tc>
          <w:tcPr>
            <w:tcW w:w="3193" w:type="dxa"/>
            <w:tcBorders>
              <w:top w:val="single" w:color="000000" w:sz="4" w:space="0"/>
              <w:left w:val="single" w:color="000000" w:sz="4" w:space="0"/>
              <w:bottom w:val="single" w:color="000000" w:sz="4" w:space="0"/>
              <w:right w:val="single" w:color="000000" w:sz="4" w:space="0"/>
            </w:tcBorders>
            <w:noWrap/>
            <w:vAlign w:val="center"/>
          </w:tcPr>
          <w:p w14:paraId="458CD747">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-8,543.13 </w:t>
            </w:r>
          </w:p>
        </w:tc>
        <w:tc>
          <w:tcPr>
            <w:tcW w:w="3377" w:type="dxa"/>
            <w:tcBorders>
              <w:top w:val="single" w:color="000000" w:sz="4" w:space="0"/>
              <w:left w:val="single" w:color="000000" w:sz="4" w:space="0"/>
              <w:bottom w:val="single" w:color="000000" w:sz="4" w:space="0"/>
              <w:right w:val="single" w:color="000000" w:sz="4" w:space="0"/>
            </w:tcBorders>
            <w:noWrap/>
            <w:vAlign w:val="center"/>
          </w:tcPr>
          <w:p w14:paraId="472B9ACE">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 xml:space="preserve"> -1,965.84 </w:t>
            </w:r>
          </w:p>
        </w:tc>
      </w:tr>
    </w:tbl>
    <w:p w14:paraId="6F96FCE5">
      <w:pPr>
        <w:pStyle w:val="3"/>
        <w:spacing w:before="156" w:after="156"/>
        <w:ind w:firstLine="482"/>
        <w:rPr>
          <w:rFonts w:hint="eastAsia"/>
        </w:rPr>
      </w:pPr>
      <w:r>
        <w:rPr>
          <w:rFonts w:hint="eastAsia"/>
        </w:rPr>
        <w:t>（三）交易完成前后股权结构</w:t>
      </w:r>
    </w:p>
    <w:tbl>
      <w:tblPr>
        <w:tblStyle w:val="11"/>
        <w:tblW w:w="9284" w:type="dxa"/>
        <w:jc w:val="center"/>
        <w:tblLayout w:type="fixed"/>
        <w:tblCellMar>
          <w:top w:w="0" w:type="dxa"/>
          <w:left w:w="108" w:type="dxa"/>
          <w:bottom w:w="0" w:type="dxa"/>
          <w:right w:w="108" w:type="dxa"/>
        </w:tblCellMar>
      </w:tblPr>
      <w:tblGrid>
        <w:gridCol w:w="460"/>
        <w:gridCol w:w="2510"/>
        <w:gridCol w:w="1374"/>
        <w:gridCol w:w="1190"/>
        <w:gridCol w:w="1247"/>
        <w:gridCol w:w="1383"/>
        <w:gridCol w:w="1120"/>
      </w:tblGrid>
      <w:tr w14:paraId="0183D7A1">
        <w:tblPrEx>
          <w:tblCellMar>
            <w:top w:w="0" w:type="dxa"/>
            <w:left w:w="108" w:type="dxa"/>
            <w:bottom w:w="0" w:type="dxa"/>
            <w:right w:w="108" w:type="dxa"/>
          </w:tblCellMar>
        </w:tblPrEx>
        <w:trPr>
          <w:trHeight w:val="280" w:hRule="atLeast"/>
          <w:jc w:val="center"/>
        </w:trPr>
        <w:tc>
          <w:tcPr>
            <w:tcW w:w="46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0E70DCCC">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序号</w:t>
            </w:r>
          </w:p>
        </w:tc>
        <w:tc>
          <w:tcPr>
            <w:tcW w:w="2510"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1AD33E7A">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股东名称</w:t>
            </w:r>
          </w:p>
        </w:tc>
        <w:tc>
          <w:tcPr>
            <w:tcW w:w="256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351082EC">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交易前股权结构</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557B5ED7">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注册资本变动</w:t>
            </w:r>
            <w:r>
              <w:rPr>
                <w:rFonts w:hint="eastAsia" w:ascii="宋体" w:hAnsi="宋体" w:cs="宋体"/>
                <w:b/>
                <w:bCs/>
                <w:color w:val="000000"/>
                <w:kern w:val="0"/>
                <w:sz w:val="22"/>
                <w:lang w:bidi="ar"/>
              </w:rPr>
              <w:br w:type="textWrapping"/>
            </w:r>
            <w:r>
              <w:rPr>
                <w:rFonts w:hint="eastAsia" w:ascii="宋体" w:hAnsi="宋体" w:cs="宋体"/>
                <w:b/>
                <w:bCs/>
                <w:color w:val="000000"/>
                <w:kern w:val="0"/>
                <w:sz w:val="22"/>
                <w:lang w:bidi="ar"/>
              </w:rPr>
              <w:t>（万元）</w:t>
            </w: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F24667">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交易后股权结构</w:t>
            </w:r>
          </w:p>
        </w:tc>
      </w:tr>
      <w:tr w14:paraId="65670712">
        <w:tblPrEx>
          <w:tblCellMar>
            <w:top w:w="0" w:type="dxa"/>
            <w:left w:w="108" w:type="dxa"/>
            <w:bottom w:w="0" w:type="dxa"/>
            <w:right w:w="108" w:type="dxa"/>
          </w:tblCellMar>
        </w:tblPrEx>
        <w:trPr>
          <w:trHeight w:val="560"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39F3F8DB">
            <w:pPr>
              <w:jc w:val="center"/>
              <w:rPr>
                <w:rFonts w:hint="eastAsia" w:ascii="宋体" w:hAnsi="宋体" w:cs="宋体"/>
                <w:b/>
                <w:bCs/>
                <w:color w:val="000000"/>
                <w:sz w:val="22"/>
              </w:rPr>
            </w:pPr>
          </w:p>
        </w:tc>
        <w:tc>
          <w:tcPr>
            <w:tcW w:w="2510"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5F9EBA55">
            <w:pPr>
              <w:jc w:val="center"/>
              <w:rPr>
                <w:rFonts w:hint="eastAsia" w:ascii="宋体" w:hAnsi="宋体" w:cs="宋体"/>
                <w:b/>
                <w:bCs/>
                <w:color w:val="000000"/>
                <w:sz w:val="22"/>
              </w:rPr>
            </w:pPr>
          </w:p>
        </w:tc>
        <w:tc>
          <w:tcPr>
            <w:tcW w:w="137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75F2CD6">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认缴注册资本（万元）</w:t>
            </w:r>
          </w:p>
        </w:tc>
        <w:tc>
          <w:tcPr>
            <w:tcW w:w="119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9480567">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持股比例</w:t>
            </w: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6B041D54">
            <w:pPr>
              <w:jc w:val="center"/>
              <w:rPr>
                <w:rFonts w:hint="eastAsia" w:ascii="宋体" w:hAnsi="宋体" w:cs="宋体"/>
                <w:b/>
                <w:bCs/>
                <w:color w:val="000000"/>
                <w:sz w:val="22"/>
              </w:rPr>
            </w:pPr>
          </w:p>
        </w:tc>
        <w:tc>
          <w:tcPr>
            <w:tcW w:w="138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7E60259">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认缴注册资本（万元）</w:t>
            </w:r>
          </w:p>
        </w:tc>
        <w:tc>
          <w:tcPr>
            <w:tcW w:w="112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DF4DA49">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持股比例</w:t>
            </w:r>
          </w:p>
        </w:tc>
      </w:tr>
      <w:tr w14:paraId="19033B43">
        <w:tblPrEx>
          <w:tblCellMar>
            <w:top w:w="0" w:type="dxa"/>
            <w:left w:w="108" w:type="dxa"/>
            <w:bottom w:w="0" w:type="dxa"/>
            <w:right w:w="108" w:type="dxa"/>
          </w:tblCellMar>
        </w:tblPrEx>
        <w:trPr>
          <w:trHeight w:val="2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14:paraId="3C8734C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2510" w:type="dxa"/>
            <w:tcBorders>
              <w:top w:val="single" w:color="000000" w:sz="4" w:space="0"/>
              <w:left w:val="single" w:color="000000" w:sz="4" w:space="0"/>
              <w:bottom w:val="single" w:color="000000" w:sz="4" w:space="0"/>
              <w:right w:val="single" w:color="000000" w:sz="4" w:space="0"/>
            </w:tcBorders>
            <w:vAlign w:val="center"/>
          </w:tcPr>
          <w:p w14:paraId="29FF833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福建广生堂药业股份有限公司</w:t>
            </w:r>
          </w:p>
        </w:tc>
        <w:tc>
          <w:tcPr>
            <w:tcW w:w="1374" w:type="dxa"/>
            <w:tcBorders>
              <w:top w:val="single" w:color="000000" w:sz="4" w:space="0"/>
              <w:left w:val="single" w:color="000000" w:sz="4" w:space="0"/>
              <w:bottom w:val="single" w:color="000000" w:sz="4" w:space="0"/>
              <w:right w:val="single" w:color="000000" w:sz="4" w:space="0"/>
            </w:tcBorders>
            <w:vAlign w:val="center"/>
          </w:tcPr>
          <w:p w14:paraId="4A59AA2C">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31,500.00</w:t>
            </w:r>
          </w:p>
        </w:tc>
        <w:tc>
          <w:tcPr>
            <w:tcW w:w="1190" w:type="dxa"/>
            <w:tcBorders>
              <w:top w:val="single" w:color="000000" w:sz="4" w:space="0"/>
              <w:left w:val="single" w:color="000000" w:sz="4" w:space="0"/>
              <w:bottom w:val="single" w:color="000000" w:sz="4" w:space="0"/>
              <w:right w:val="single" w:color="000000" w:sz="4" w:space="0"/>
            </w:tcBorders>
            <w:vAlign w:val="center"/>
          </w:tcPr>
          <w:p w14:paraId="6CE247FA">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81.0811%</w:t>
            </w:r>
          </w:p>
        </w:tc>
        <w:tc>
          <w:tcPr>
            <w:tcW w:w="1247" w:type="dxa"/>
            <w:tcBorders>
              <w:top w:val="single" w:color="000000" w:sz="4" w:space="0"/>
              <w:left w:val="single" w:color="000000" w:sz="4" w:space="0"/>
              <w:bottom w:val="single" w:color="000000" w:sz="4" w:space="0"/>
              <w:right w:val="single" w:color="000000" w:sz="4" w:space="0"/>
            </w:tcBorders>
            <w:vAlign w:val="center"/>
          </w:tcPr>
          <w:p w14:paraId="3FF03489">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w:t>
            </w:r>
          </w:p>
        </w:tc>
        <w:tc>
          <w:tcPr>
            <w:tcW w:w="1383" w:type="dxa"/>
            <w:tcBorders>
              <w:top w:val="single" w:color="000000" w:sz="4" w:space="0"/>
              <w:left w:val="single" w:color="000000" w:sz="4" w:space="0"/>
              <w:bottom w:val="single" w:color="000000" w:sz="4" w:space="0"/>
              <w:right w:val="single" w:color="000000" w:sz="4" w:space="0"/>
            </w:tcBorders>
            <w:vAlign w:val="center"/>
          </w:tcPr>
          <w:p w14:paraId="7D1C4934">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31,500.00</w:t>
            </w:r>
          </w:p>
        </w:tc>
        <w:tc>
          <w:tcPr>
            <w:tcW w:w="1120" w:type="dxa"/>
            <w:tcBorders>
              <w:top w:val="single" w:color="000000" w:sz="4" w:space="0"/>
              <w:left w:val="single" w:color="000000" w:sz="4" w:space="0"/>
              <w:bottom w:val="single" w:color="000000" w:sz="4" w:space="0"/>
              <w:right w:val="single" w:color="000000" w:sz="4" w:space="0"/>
            </w:tcBorders>
            <w:vAlign w:val="center"/>
          </w:tcPr>
          <w:p w14:paraId="41313D23">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75.3163%</w:t>
            </w:r>
          </w:p>
        </w:tc>
      </w:tr>
      <w:tr w14:paraId="57DC21CE">
        <w:tblPrEx>
          <w:tblCellMar>
            <w:top w:w="0" w:type="dxa"/>
            <w:left w:w="108" w:type="dxa"/>
            <w:bottom w:w="0" w:type="dxa"/>
            <w:right w:w="108" w:type="dxa"/>
          </w:tblCellMar>
        </w:tblPrEx>
        <w:trPr>
          <w:trHeight w:val="2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14:paraId="2C05411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w:t>
            </w:r>
          </w:p>
        </w:tc>
        <w:tc>
          <w:tcPr>
            <w:tcW w:w="2510" w:type="dxa"/>
            <w:tcBorders>
              <w:top w:val="single" w:color="000000" w:sz="4" w:space="0"/>
              <w:left w:val="single" w:color="000000" w:sz="4" w:space="0"/>
              <w:bottom w:val="single" w:color="000000" w:sz="4" w:space="0"/>
              <w:right w:val="single" w:color="000000" w:sz="4" w:space="0"/>
            </w:tcBorders>
            <w:vAlign w:val="center"/>
          </w:tcPr>
          <w:p w14:paraId="60A01C8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济南泰神投资合伙企业（有限合伙）</w:t>
            </w:r>
          </w:p>
        </w:tc>
        <w:tc>
          <w:tcPr>
            <w:tcW w:w="1374" w:type="dxa"/>
            <w:tcBorders>
              <w:top w:val="single" w:color="000000" w:sz="4" w:space="0"/>
              <w:left w:val="single" w:color="000000" w:sz="4" w:space="0"/>
              <w:bottom w:val="single" w:color="000000" w:sz="4" w:space="0"/>
              <w:right w:val="single" w:color="000000" w:sz="4" w:space="0"/>
            </w:tcBorders>
            <w:vAlign w:val="center"/>
          </w:tcPr>
          <w:p w14:paraId="79742257">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w:t>
            </w:r>
          </w:p>
        </w:tc>
        <w:tc>
          <w:tcPr>
            <w:tcW w:w="1190" w:type="dxa"/>
            <w:tcBorders>
              <w:top w:val="single" w:color="000000" w:sz="4" w:space="0"/>
              <w:left w:val="single" w:color="000000" w:sz="4" w:space="0"/>
              <w:bottom w:val="single" w:color="000000" w:sz="4" w:space="0"/>
              <w:right w:val="single" w:color="000000" w:sz="4" w:space="0"/>
            </w:tcBorders>
            <w:vAlign w:val="center"/>
          </w:tcPr>
          <w:p w14:paraId="77564AA1">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w:t>
            </w:r>
          </w:p>
        </w:tc>
        <w:tc>
          <w:tcPr>
            <w:tcW w:w="1247" w:type="dxa"/>
            <w:tcBorders>
              <w:top w:val="single" w:color="000000" w:sz="4" w:space="0"/>
              <w:left w:val="single" w:color="000000" w:sz="4" w:space="0"/>
              <w:bottom w:val="single" w:color="000000" w:sz="4" w:space="0"/>
              <w:right w:val="single" w:color="000000" w:sz="4" w:space="0"/>
            </w:tcBorders>
            <w:vAlign w:val="center"/>
          </w:tcPr>
          <w:p w14:paraId="4479F966">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3,498.60</w:t>
            </w:r>
          </w:p>
        </w:tc>
        <w:tc>
          <w:tcPr>
            <w:tcW w:w="1383" w:type="dxa"/>
            <w:tcBorders>
              <w:top w:val="single" w:color="000000" w:sz="4" w:space="0"/>
              <w:left w:val="single" w:color="000000" w:sz="4" w:space="0"/>
              <w:bottom w:val="single" w:color="000000" w:sz="4" w:space="0"/>
              <w:right w:val="single" w:color="000000" w:sz="4" w:space="0"/>
            </w:tcBorders>
            <w:vAlign w:val="center"/>
          </w:tcPr>
          <w:p w14:paraId="1661A216">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3,498.60</w:t>
            </w:r>
          </w:p>
        </w:tc>
        <w:tc>
          <w:tcPr>
            <w:tcW w:w="1120" w:type="dxa"/>
            <w:tcBorders>
              <w:top w:val="single" w:color="000000" w:sz="4" w:space="0"/>
              <w:left w:val="single" w:color="000000" w:sz="4" w:space="0"/>
              <w:bottom w:val="single" w:color="000000" w:sz="4" w:space="0"/>
              <w:right w:val="single" w:color="000000" w:sz="4" w:space="0"/>
            </w:tcBorders>
            <w:vAlign w:val="center"/>
          </w:tcPr>
          <w:p w14:paraId="3A93EC47">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8.3651%</w:t>
            </w:r>
          </w:p>
        </w:tc>
      </w:tr>
      <w:tr w14:paraId="64183F99">
        <w:tblPrEx>
          <w:tblCellMar>
            <w:top w:w="0" w:type="dxa"/>
            <w:left w:w="108" w:type="dxa"/>
            <w:bottom w:w="0" w:type="dxa"/>
            <w:right w:w="108" w:type="dxa"/>
          </w:tblCellMar>
        </w:tblPrEx>
        <w:trPr>
          <w:trHeight w:val="2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14:paraId="3309B6A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3</w:t>
            </w:r>
          </w:p>
        </w:tc>
        <w:tc>
          <w:tcPr>
            <w:tcW w:w="2510" w:type="dxa"/>
            <w:tcBorders>
              <w:top w:val="single" w:color="000000" w:sz="4" w:space="0"/>
              <w:left w:val="single" w:color="000000" w:sz="4" w:space="0"/>
              <w:bottom w:val="single" w:color="000000" w:sz="4" w:space="0"/>
              <w:right w:val="single" w:color="000000" w:sz="4" w:space="0"/>
            </w:tcBorders>
            <w:vAlign w:val="center"/>
          </w:tcPr>
          <w:p w14:paraId="16B0DDD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华欣石恒科技创业投资基金（青岛）合伙企业（有限合伙）</w:t>
            </w:r>
          </w:p>
        </w:tc>
        <w:tc>
          <w:tcPr>
            <w:tcW w:w="1374" w:type="dxa"/>
            <w:tcBorders>
              <w:top w:val="single" w:color="000000" w:sz="4" w:space="0"/>
              <w:left w:val="single" w:color="000000" w:sz="4" w:space="0"/>
              <w:bottom w:val="single" w:color="000000" w:sz="4" w:space="0"/>
              <w:right w:val="single" w:color="000000" w:sz="4" w:space="0"/>
            </w:tcBorders>
            <w:vAlign w:val="center"/>
          </w:tcPr>
          <w:p w14:paraId="1A3B4B4A">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w:t>
            </w:r>
          </w:p>
        </w:tc>
        <w:tc>
          <w:tcPr>
            <w:tcW w:w="1190" w:type="dxa"/>
            <w:tcBorders>
              <w:top w:val="single" w:color="000000" w:sz="4" w:space="0"/>
              <w:left w:val="single" w:color="000000" w:sz="4" w:space="0"/>
              <w:bottom w:val="single" w:color="000000" w:sz="4" w:space="0"/>
              <w:right w:val="single" w:color="000000" w:sz="4" w:space="0"/>
            </w:tcBorders>
            <w:vAlign w:val="center"/>
          </w:tcPr>
          <w:p w14:paraId="6FC4029D">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w:t>
            </w:r>
          </w:p>
        </w:tc>
        <w:tc>
          <w:tcPr>
            <w:tcW w:w="1247" w:type="dxa"/>
            <w:tcBorders>
              <w:top w:val="single" w:color="000000" w:sz="4" w:space="0"/>
              <w:left w:val="single" w:color="000000" w:sz="4" w:space="0"/>
              <w:bottom w:val="single" w:color="000000" w:sz="4" w:space="0"/>
              <w:right w:val="single" w:color="000000" w:sz="4" w:space="0"/>
            </w:tcBorders>
            <w:vAlign w:val="center"/>
          </w:tcPr>
          <w:p w14:paraId="4DA52BBC">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777.00</w:t>
            </w:r>
          </w:p>
        </w:tc>
        <w:tc>
          <w:tcPr>
            <w:tcW w:w="1383" w:type="dxa"/>
            <w:tcBorders>
              <w:top w:val="single" w:color="000000" w:sz="4" w:space="0"/>
              <w:left w:val="single" w:color="000000" w:sz="4" w:space="0"/>
              <w:bottom w:val="single" w:color="000000" w:sz="4" w:space="0"/>
              <w:right w:val="single" w:color="000000" w:sz="4" w:space="0"/>
            </w:tcBorders>
            <w:vAlign w:val="center"/>
          </w:tcPr>
          <w:p w14:paraId="548B97F3">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777.00</w:t>
            </w:r>
          </w:p>
        </w:tc>
        <w:tc>
          <w:tcPr>
            <w:tcW w:w="1120" w:type="dxa"/>
            <w:tcBorders>
              <w:top w:val="single" w:color="000000" w:sz="4" w:space="0"/>
              <w:left w:val="single" w:color="000000" w:sz="4" w:space="0"/>
              <w:bottom w:val="single" w:color="000000" w:sz="4" w:space="0"/>
              <w:right w:val="single" w:color="000000" w:sz="4" w:space="0"/>
            </w:tcBorders>
            <w:vAlign w:val="center"/>
          </w:tcPr>
          <w:p w14:paraId="0A511827">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1.8578%</w:t>
            </w:r>
          </w:p>
        </w:tc>
      </w:tr>
      <w:tr w14:paraId="3627EDFC">
        <w:tblPrEx>
          <w:tblCellMar>
            <w:top w:w="0" w:type="dxa"/>
            <w:left w:w="108" w:type="dxa"/>
            <w:bottom w:w="0" w:type="dxa"/>
            <w:right w:w="108" w:type="dxa"/>
          </w:tblCellMar>
        </w:tblPrEx>
        <w:trPr>
          <w:trHeight w:val="2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14:paraId="114CA99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w:t>
            </w:r>
          </w:p>
        </w:tc>
        <w:tc>
          <w:tcPr>
            <w:tcW w:w="2510" w:type="dxa"/>
            <w:tcBorders>
              <w:top w:val="single" w:color="000000" w:sz="4" w:space="0"/>
              <w:left w:val="single" w:color="000000" w:sz="4" w:space="0"/>
              <w:bottom w:val="single" w:color="000000" w:sz="4" w:space="0"/>
              <w:right w:val="single" w:color="000000" w:sz="4" w:space="0"/>
            </w:tcBorders>
            <w:vAlign w:val="center"/>
          </w:tcPr>
          <w:p w14:paraId="4513245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福州奥泰五期投资合伙企业（有限合伙）</w:t>
            </w:r>
          </w:p>
        </w:tc>
        <w:tc>
          <w:tcPr>
            <w:tcW w:w="1374" w:type="dxa"/>
            <w:tcBorders>
              <w:top w:val="single" w:color="000000" w:sz="4" w:space="0"/>
              <w:left w:val="single" w:color="000000" w:sz="4" w:space="0"/>
              <w:bottom w:val="single" w:color="000000" w:sz="4" w:space="0"/>
              <w:right w:val="single" w:color="000000" w:sz="4" w:space="0"/>
            </w:tcBorders>
            <w:vAlign w:val="center"/>
          </w:tcPr>
          <w:p w14:paraId="0A658AE1">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1,750.00</w:t>
            </w:r>
          </w:p>
        </w:tc>
        <w:tc>
          <w:tcPr>
            <w:tcW w:w="1190" w:type="dxa"/>
            <w:tcBorders>
              <w:top w:val="single" w:color="000000" w:sz="4" w:space="0"/>
              <w:left w:val="single" w:color="000000" w:sz="4" w:space="0"/>
              <w:bottom w:val="single" w:color="000000" w:sz="4" w:space="0"/>
              <w:right w:val="single" w:color="000000" w:sz="4" w:space="0"/>
            </w:tcBorders>
            <w:vAlign w:val="center"/>
          </w:tcPr>
          <w:p w14:paraId="748D7D7A">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4.5045%</w:t>
            </w:r>
          </w:p>
        </w:tc>
        <w:tc>
          <w:tcPr>
            <w:tcW w:w="1247" w:type="dxa"/>
            <w:tcBorders>
              <w:top w:val="single" w:color="000000" w:sz="4" w:space="0"/>
              <w:left w:val="single" w:color="000000" w:sz="4" w:space="0"/>
              <w:bottom w:val="single" w:color="000000" w:sz="4" w:space="0"/>
              <w:right w:val="single" w:color="000000" w:sz="4" w:space="0"/>
            </w:tcBorders>
            <w:vAlign w:val="center"/>
          </w:tcPr>
          <w:p w14:paraId="7313A3CF">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-651.00</w:t>
            </w:r>
          </w:p>
        </w:tc>
        <w:tc>
          <w:tcPr>
            <w:tcW w:w="1383" w:type="dxa"/>
            <w:tcBorders>
              <w:top w:val="single" w:color="000000" w:sz="4" w:space="0"/>
              <w:left w:val="single" w:color="000000" w:sz="4" w:space="0"/>
              <w:bottom w:val="single" w:color="000000" w:sz="4" w:space="0"/>
              <w:right w:val="single" w:color="000000" w:sz="4" w:space="0"/>
            </w:tcBorders>
            <w:vAlign w:val="center"/>
          </w:tcPr>
          <w:p w14:paraId="53802B04">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1,099.00</w:t>
            </w:r>
          </w:p>
        </w:tc>
        <w:tc>
          <w:tcPr>
            <w:tcW w:w="1120" w:type="dxa"/>
            <w:tcBorders>
              <w:top w:val="single" w:color="000000" w:sz="4" w:space="0"/>
              <w:left w:val="single" w:color="000000" w:sz="4" w:space="0"/>
              <w:bottom w:val="single" w:color="000000" w:sz="4" w:space="0"/>
              <w:right w:val="single" w:color="000000" w:sz="4" w:space="0"/>
            </w:tcBorders>
            <w:vAlign w:val="center"/>
          </w:tcPr>
          <w:p w14:paraId="76FF2B2A">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2.6277%</w:t>
            </w:r>
          </w:p>
        </w:tc>
      </w:tr>
      <w:tr w14:paraId="073212B9">
        <w:tblPrEx>
          <w:tblCellMar>
            <w:top w:w="0" w:type="dxa"/>
            <w:left w:w="108" w:type="dxa"/>
            <w:bottom w:w="0" w:type="dxa"/>
            <w:right w:w="108" w:type="dxa"/>
          </w:tblCellMar>
        </w:tblPrEx>
        <w:trPr>
          <w:trHeight w:val="2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14:paraId="34E19C9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5</w:t>
            </w:r>
          </w:p>
        </w:tc>
        <w:tc>
          <w:tcPr>
            <w:tcW w:w="2510" w:type="dxa"/>
            <w:tcBorders>
              <w:top w:val="single" w:color="000000" w:sz="4" w:space="0"/>
              <w:left w:val="single" w:color="000000" w:sz="4" w:space="0"/>
              <w:bottom w:val="single" w:color="000000" w:sz="4" w:space="0"/>
              <w:right w:val="single" w:color="000000" w:sz="4" w:space="0"/>
            </w:tcBorders>
            <w:vAlign w:val="center"/>
          </w:tcPr>
          <w:p w14:paraId="4E41F22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福州奥泰六期投资合伙企业（有限合伙）</w:t>
            </w:r>
          </w:p>
        </w:tc>
        <w:tc>
          <w:tcPr>
            <w:tcW w:w="1374" w:type="dxa"/>
            <w:tcBorders>
              <w:top w:val="single" w:color="000000" w:sz="4" w:space="0"/>
              <w:left w:val="single" w:color="000000" w:sz="4" w:space="0"/>
              <w:bottom w:val="single" w:color="000000" w:sz="4" w:space="0"/>
              <w:right w:val="single" w:color="000000" w:sz="4" w:space="0"/>
            </w:tcBorders>
            <w:vAlign w:val="center"/>
          </w:tcPr>
          <w:p w14:paraId="52F28D37">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1,750.00</w:t>
            </w:r>
          </w:p>
        </w:tc>
        <w:tc>
          <w:tcPr>
            <w:tcW w:w="1190" w:type="dxa"/>
            <w:tcBorders>
              <w:top w:val="single" w:color="000000" w:sz="4" w:space="0"/>
              <w:left w:val="single" w:color="000000" w:sz="4" w:space="0"/>
              <w:bottom w:val="single" w:color="000000" w:sz="4" w:space="0"/>
              <w:right w:val="single" w:color="000000" w:sz="4" w:space="0"/>
            </w:tcBorders>
            <w:vAlign w:val="center"/>
          </w:tcPr>
          <w:p w14:paraId="3E205DC8">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4.5045%</w:t>
            </w:r>
          </w:p>
        </w:tc>
        <w:tc>
          <w:tcPr>
            <w:tcW w:w="1247" w:type="dxa"/>
            <w:tcBorders>
              <w:top w:val="single" w:color="000000" w:sz="4" w:space="0"/>
              <w:left w:val="single" w:color="000000" w:sz="4" w:space="0"/>
              <w:bottom w:val="single" w:color="000000" w:sz="4" w:space="0"/>
              <w:right w:val="single" w:color="000000" w:sz="4" w:space="0"/>
            </w:tcBorders>
            <w:vAlign w:val="center"/>
          </w:tcPr>
          <w:p w14:paraId="7ABAA396">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-651.00</w:t>
            </w:r>
          </w:p>
        </w:tc>
        <w:tc>
          <w:tcPr>
            <w:tcW w:w="1383" w:type="dxa"/>
            <w:tcBorders>
              <w:top w:val="single" w:color="000000" w:sz="4" w:space="0"/>
              <w:left w:val="single" w:color="000000" w:sz="4" w:space="0"/>
              <w:bottom w:val="single" w:color="000000" w:sz="4" w:space="0"/>
              <w:right w:val="single" w:color="000000" w:sz="4" w:space="0"/>
            </w:tcBorders>
            <w:vAlign w:val="center"/>
          </w:tcPr>
          <w:p w14:paraId="65229AD7">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1,099.00</w:t>
            </w:r>
          </w:p>
        </w:tc>
        <w:tc>
          <w:tcPr>
            <w:tcW w:w="1120" w:type="dxa"/>
            <w:tcBorders>
              <w:top w:val="single" w:color="000000" w:sz="4" w:space="0"/>
              <w:left w:val="single" w:color="000000" w:sz="4" w:space="0"/>
              <w:bottom w:val="single" w:color="000000" w:sz="4" w:space="0"/>
              <w:right w:val="single" w:color="000000" w:sz="4" w:space="0"/>
            </w:tcBorders>
            <w:vAlign w:val="center"/>
          </w:tcPr>
          <w:p w14:paraId="7B9B12ED">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2.6277%</w:t>
            </w:r>
          </w:p>
        </w:tc>
      </w:tr>
      <w:tr w14:paraId="2FE40AC5">
        <w:tblPrEx>
          <w:tblCellMar>
            <w:top w:w="0" w:type="dxa"/>
            <w:left w:w="108" w:type="dxa"/>
            <w:bottom w:w="0" w:type="dxa"/>
            <w:right w:w="108" w:type="dxa"/>
          </w:tblCellMar>
        </w:tblPrEx>
        <w:trPr>
          <w:trHeight w:val="2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14:paraId="27050A2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6</w:t>
            </w:r>
          </w:p>
        </w:tc>
        <w:tc>
          <w:tcPr>
            <w:tcW w:w="2510" w:type="dxa"/>
            <w:tcBorders>
              <w:top w:val="single" w:color="000000" w:sz="4" w:space="0"/>
              <w:left w:val="single" w:color="000000" w:sz="4" w:space="0"/>
              <w:bottom w:val="single" w:color="000000" w:sz="4" w:space="0"/>
              <w:right w:val="single" w:color="000000" w:sz="4" w:space="0"/>
            </w:tcBorders>
            <w:vAlign w:val="center"/>
          </w:tcPr>
          <w:p w14:paraId="0763C7A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福州创新创科投资合伙企业（有限合伙）</w:t>
            </w:r>
          </w:p>
        </w:tc>
        <w:tc>
          <w:tcPr>
            <w:tcW w:w="1374" w:type="dxa"/>
            <w:tcBorders>
              <w:top w:val="single" w:color="000000" w:sz="4" w:space="0"/>
              <w:left w:val="single" w:color="000000" w:sz="4" w:space="0"/>
              <w:bottom w:val="single" w:color="000000" w:sz="4" w:space="0"/>
              <w:right w:val="single" w:color="000000" w:sz="4" w:space="0"/>
            </w:tcBorders>
            <w:vAlign w:val="center"/>
          </w:tcPr>
          <w:p w14:paraId="19EDFADA">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1,400.00</w:t>
            </w:r>
          </w:p>
        </w:tc>
        <w:tc>
          <w:tcPr>
            <w:tcW w:w="1190" w:type="dxa"/>
            <w:tcBorders>
              <w:top w:val="single" w:color="000000" w:sz="4" w:space="0"/>
              <w:left w:val="single" w:color="000000" w:sz="4" w:space="0"/>
              <w:bottom w:val="single" w:color="000000" w:sz="4" w:space="0"/>
              <w:right w:val="single" w:color="000000" w:sz="4" w:space="0"/>
            </w:tcBorders>
            <w:vAlign w:val="center"/>
          </w:tcPr>
          <w:p w14:paraId="59BD39BC">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3.6036%</w:t>
            </w:r>
          </w:p>
        </w:tc>
        <w:tc>
          <w:tcPr>
            <w:tcW w:w="1247" w:type="dxa"/>
            <w:tcBorders>
              <w:top w:val="single" w:color="000000" w:sz="4" w:space="0"/>
              <w:left w:val="single" w:color="000000" w:sz="4" w:space="0"/>
              <w:bottom w:val="single" w:color="000000" w:sz="4" w:space="0"/>
              <w:right w:val="single" w:color="000000" w:sz="4" w:space="0"/>
            </w:tcBorders>
            <w:vAlign w:val="center"/>
          </w:tcPr>
          <w:p w14:paraId="4B5CD882">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w:t>
            </w:r>
          </w:p>
        </w:tc>
        <w:tc>
          <w:tcPr>
            <w:tcW w:w="1383" w:type="dxa"/>
            <w:tcBorders>
              <w:top w:val="single" w:color="000000" w:sz="4" w:space="0"/>
              <w:left w:val="single" w:color="000000" w:sz="4" w:space="0"/>
              <w:bottom w:val="single" w:color="000000" w:sz="4" w:space="0"/>
              <w:right w:val="single" w:color="000000" w:sz="4" w:space="0"/>
            </w:tcBorders>
            <w:vAlign w:val="center"/>
          </w:tcPr>
          <w:p w14:paraId="43EACCB1">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1,400.00</w:t>
            </w:r>
          </w:p>
        </w:tc>
        <w:tc>
          <w:tcPr>
            <w:tcW w:w="1120" w:type="dxa"/>
            <w:tcBorders>
              <w:top w:val="single" w:color="000000" w:sz="4" w:space="0"/>
              <w:left w:val="single" w:color="000000" w:sz="4" w:space="0"/>
              <w:bottom w:val="single" w:color="000000" w:sz="4" w:space="0"/>
              <w:right w:val="single" w:color="000000" w:sz="4" w:space="0"/>
            </w:tcBorders>
            <w:vAlign w:val="center"/>
          </w:tcPr>
          <w:p w14:paraId="21BB777F">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3.3474%</w:t>
            </w:r>
          </w:p>
        </w:tc>
      </w:tr>
      <w:tr w14:paraId="3DAFCCC7">
        <w:tblPrEx>
          <w:tblCellMar>
            <w:top w:w="0" w:type="dxa"/>
            <w:left w:w="108" w:type="dxa"/>
            <w:bottom w:w="0" w:type="dxa"/>
            <w:right w:w="108" w:type="dxa"/>
          </w:tblCellMar>
        </w:tblPrEx>
        <w:trPr>
          <w:trHeight w:val="2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14:paraId="5A7DF3E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7</w:t>
            </w:r>
          </w:p>
        </w:tc>
        <w:tc>
          <w:tcPr>
            <w:tcW w:w="2510" w:type="dxa"/>
            <w:tcBorders>
              <w:top w:val="single" w:color="000000" w:sz="4" w:space="0"/>
              <w:left w:val="single" w:color="000000" w:sz="4" w:space="0"/>
              <w:bottom w:val="single" w:color="000000" w:sz="4" w:space="0"/>
              <w:right w:val="single" w:color="000000" w:sz="4" w:space="0"/>
            </w:tcBorders>
            <w:vAlign w:val="center"/>
          </w:tcPr>
          <w:p w14:paraId="2D035BB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宁德市汇聚一号股权投资合伙企业（有限合伙）</w:t>
            </w:r>
          </w:p>
        </w:tc>
        <w:tc>
          <w:tcPr>
            <w:tcW w:w="1374" w:type="dxa"/>
            <w:tcBorders>
              <w:top w:val="single" w:color="000000" w:sz="4" w:space="0"/>
              <w:left w:val="single" w:color="000000" w:sz="4" w:space="0"/>
              <w:bottom w:val="single" w:color="000000" w:sz="4" w:space="0"/>
              <w:right w:val="single" w:color="000000" w:sz="4" w:space="0"/>
            </w:tcBorders>
            <w:vAlign w:val="center"/>
          </w:tcPr>
          <w:p w14:paraId="74E2FB35">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1,400.00</w:t>
            </w:r>
          </w:p>
        </w:tc>
        <w:tc>
          <w:tcPr>
            <w:tcW w:w="1190" w:type="dxa"/>
            <w:tcBorders>
              <w:top w:val="single" w:color="000000" w:sz="4" w:space="0"/>
              <w:left w:val="single" w:color="000000" w:sz="4" w:space="0"/>
              <w:bottom w:val="single" w:color="000000" w:sz="4" w:space="0"/>
              <w:right w:val="single" w:color="000000" w:sz="4" w:space="0"/>
            </w:tcBorders>
            <w:vAlign w:val="center"/>
          </w:tcPr>
          <w:p w14:paraId="42CC1E22">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3.6036%</w:t>
            </w:r>
          </w:p>
        </w:tc>
        <w:tc>
          <w:tcPr>
            <w:tcW w:w="1247" w:type="dxa"/>
            <w:tcBorders>
              <w:top w:val="single" w:color="000000" w:sz="4" w:space="0"/>
              <w:left w:val="single" w:color="000000" w:sz="4" w:space="0"/>
              <w:bottom w:val="single" w:color="000000" w:sz="4" w:space="0"/>
              <w:right w:val="single" w:color="000000" w:sz="4" w:space="0"/>
            </w:tcBorders>
            <w:vAlign w:val="center"/>
          </w:tcPr>
          <w:p w14:paraId="2BACDE30">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w:t>
            </w:r>
          </w:p>
        </w:tc>
        <w:tc>
          <w:tcPr>
            <w:tcW w:w="1383" w:type="dxa"/>
            <w:tcBorders>
              <w:top w:val="single" w:color="000000" w:sz="4" w:space="0"/>
              <w:left w:val="single" w:color="000000" w:sz="4" w:space="0"/>
              <w:bottom w:val="single" w:color="000000" w:sz="4" w:space="0"/>
              <w:right w:val="single" w:color="000000" w:sz="4" w:space="0"/>
            </w:tcBorders>
            <w:vAlign w:val="center"/>
          </w:tcPr>
          <w:p w14:paraId="21D49721">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1,400.00</w:t>
            </w:r>
          </w:p>
        </w:tc>
        <w:tc>
          <w:tcPr>
            <w:tcW w:w="1120" w:type="dxa"/>
            <w:tcBorders>
              <w:top w:val="single" w:color="000000" w:sz="4" w:space="0"/>
              <w:left w:val="single" w:color="000000" w:sz="4" w:space="0"/>
              <w:bottom w:val="single" w:color="000000" w:sz="4" w:space="0"/>
              <w:right w:val="single" w:color="000000" w:sz="4" w:space="0"/>
            </w:tcBorders>
            <w:vAlign w:val="center"/>
          </w:tcPr>
          <w:p w14:paraId="73B68F99">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3.3474%</w:t>
            </w:r>
          </w:p>
        </w:tc>
      </w:tr>
      <w:tr w14:paraId="3353CE8F">
        <w:tblPrEx>
          <w:tblCellMar>
            <w:top w:w="0" w:type="dxa"/>
            <w:left w:w="108" w:type="dxa"/>
            <w:bottom w:w="0" w:type="dxa"/>
            <w:right w:w="108" w:type="dxa"/>
          </w:tblCellMar>
        </w:tblPrEx>
        <w:trPr>
          <w:trHeight w:val="2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14:paraId="1C4FD33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8</w:t>
            </w:r>
          </w:p>
        </w:tc>
        <w:tc>
          <w:tcPr>
            <w:tcW w:w="2510" w:type="dxa"/>
            <w:tcBorders>
              <w:top w:val="single" w:color="000000" w:sz="4" w:space="0"/>
              <w:left w:val="single" w:color="000000" w:sz="4" w:space="0"/>
              <w:bottom w:val="single" w:color="000000" w:sz="4" w:space="0"/>
              <w:right w:val="single" w:color="000000" w:sz="4" w:space="0"/>
            </w:tcBorders>
            <w:vAlign w:val="center"/>
          </w:tcPr>
          <w:p w14:paraId="3D66FEE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杭州泰鲲股权投资基金合伙企业（有限合伙）</w:t>
            </w:r>
          </w:p>
        </w:tc>
        <w:tc>
          <w:tcPr>
            <w:tcW w:w="1374" w:type="dxa"/>
            <w:tcBorders>
              <w:top w:val="single" w:color="000000" w:sz="4" w:space="0"/>
              <w:left w:val="single" w:color="000000" w:sz="4" w:space="0"/>
              <w:bottom w:val="single" w:color="000000" w:sz="4" w:space="0"/>
              <w:right w:val="single" w:color="000000" w:sz="4" w:space="0"/>
            </w:tcBorders>
            <w:vAlign w:val="center"/>
          </w:tcPr>
          <w:p w14:paraId="334D0163">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875.00</w:t>
            </w:r>
          </w:p>
        </w:tc>
        <w:tc>
          <w:tcPr>
            <w:tcW w:w="1190" w:type="dxa"/>
            <w:tcBorders>
              <w:top w:val="single" w:color="000000" w:sz="4" w:space="0"/>
              <w:left w:val="single" w:color="000000" w:sz="4" w:space="0"/>
              <w:bottom w:val="single" w:color="000000" w:sz="4" w:space="0"/>
              <w:right w:val="single" w:color="000000" w:sz="4" w:space="0"/>
            </w:tcBorders>
            <w:vAlign w:val="center"/>
          </w:tcPr>
          <w:p w14:paraId="2C3B1246">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2.2523%</w:t>
            </w:r>
          </w:p>
        </w:tc>
        <w:tc>
          <w:tcPr>
            <w:tcW w:w="1247" w:type="dxa"/>
            <w:tcBorders>
              <w:top w:val="single" w:color="000000" w:sz="4" w:space="0"/>
              <w:left w:val="single" w:color="000000" w:sz="4" w:space="0"/>
              <w:bottom w:val="single" w:color="000000" w:sz="4" w:space="0"/>
              <w:right w:val="single" w:color="000000" w:sz="4" w:space="0"/>
            </w:tcBorders>
            <w:vAlign w:val="center"/>
          </w:tcPr>
          <w:p w14:paraId="7138E310">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w:t>
            </w:r>
          </w:p>
        </w:tc>
        <w:tc>
          <w:tcPr>
            <w:tcW w:w="1383" w:type="dxa"/>
            <w:tcBorders>
              <w:top w:val="single" w:color="000000" w:sz="4" w:space="0"/>
              <w:left w:val="single" w:color="000000" w:sz="4" w:space="0"/>
              <w:bottom w:val="single" w:color="000000" w:sz="4" w:space="0"/>
              <w:right w:val="single" w:color="000000" w:sz="4" w:space="0"/>
            </w:tcBorders>
            <w:vAlign w:val="center"/>
          </w:tcPr>
          <w:p w14:paraId="2E6BE2A3">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875.00</w:t>
            </w:r>
          </w:p>
        </w:tc>
        <w:tc>
          <w:tcPr>
            <w:tcW w:w="1120" w:type="dxa"/>
            <w:tcBorders>
              <w:top w:val="single" w:color="000000" w:sz="4" w:space="0"/>
              <w:left w:val="single" w:color="000000" w:sz="4" w:space="0"/>
              <w:bottom w:val="single" w:color="000000" w:sz="4" w:space="0"/>
              <w:right w:val="single" w:color="000000" w:sz="4" w:space="0"/>
            </w:tcBorders>
            <w:vAlign w:val="center"/>
          </w:tcPr>
          <w:p w14:paraId="7BE24A92">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2.0921%</w:t>
            </w:r>
          </w:p>
        </w:tc>
      </w:tr>
      <w:tr w14:paraId="3BA6FFEC">
        <w:tblPrEx>
          <w:tblCellMar>
            <w:top w:w="0" w:type="dxa"/>
            <w:left w:w="108" w:type="dxa"/>
            <w:bottom w:w="0" w:type="dxa"/>
            <w:right w:w="108" w:type="dxa"/>
          </w:tblCellMar>
        </w:tblPrEx>
        <w:trPr>
          <w:trHeight w:val="280"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14:paraId="3127FFD1">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w:t>
            </w:r>
          </w:p>
        </w:tc>
        <w:tc>
          <w:tcPr>
            <w:tcW w:w="2510" w:type="dxa"/>
            <w:tcBorders>
              <w:top w:val="single" w:color="000000" w:sz="4" w:space="0"/>
              <w:left w:val="single" w:color="000000" w:sz="4" w:space="0"/>
              <w:bottom w:val="single" w:color="000000" w:sz="4" w:space="0"/>
              <w:right w:val="single" w:color="000000" w:sz="4" w:space="0"/>
            </w:tcBorders>
            <w:vAlign w:val="center"/>
          </w:tcPr>
          <w:p w14:paraId="668DD3C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杭州泰誉四期创业投资合伙企业（有限合伙）</w:t>
            </w:r>
          </w:p>
        </w:tc>
        <w:tc>
          <w:tcPr>
            <w:tcW w:w="1374" w:type="dxa"/>
            <w:tcBorders>
              <w:top w:val="single" w:color="000000" w:sz="4" w:space="0"/>
              <w:left w:val="single" w:color="000000" w:sz="4" w:space="0"/>
              <w:bottom w:val="single" w:color="000000" w:sz="4" w:space="0"/>
              <w:right w:val="single" w:color="000000" w:sz="4" w:space="0"/>
            </w:tcBorders>
            <w:vAlign w:val="center"/>
          </w:tcPr>
          <w:p w14:paraId="6A029E35">
            <w:pPr>
              <w:widowControl/>
              <w:jc w:val="righ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175.00</w:t>
            </w:r>
          </w:p>
        </w:tc>
        <w:tc>
          <w:tcPr>
            <w:tcW w:w="1190" w:type="dxa"/>
            <w:tcBorders>
              <w:top w:val="single" w:color="000000" w:sz="4" w:space="0"/>
              <w:left w:val="single" w:color="000000" w:sz="4" w:space="0"/>
              <w:bottom w:val="single" w:color="000000" w:sz="4" w:space="0"/>
              <w:right w:val="single" w:color="000000" w:sz="4" w:space="0"/>
            </w:tcBorders>
            <w:vAlign w:val="center"/>
          </w:tcPr>
          <w:p w14:paraId="017C4F71">
            <w:pPr>
              <w:widowControl/>
              <w:jc w:val="righ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0.4505%</w:t>
            </w:r>
          </w:p>
        </w:tc>
        <w:tc>
          <w:tcPr>
            <w:tcW w:w="1247" w:type="dxa"/>
            <w:tcBorders>
              <w:top w:val="single" w:color="000000" w:sz="4" w:space="0"/>
              <w:left w:val="single" w:color="000000" w:sz="4" w:space="0"/>
              <w:bottom w:val="single" w:color="000000" w:sz="4" w:space="0"/>
              <w:right w:val="single" w:color="000000" w:sz="4" w:space="0"/>
            </w:tcBorders>
            <w:vAlign w:val="center"/>
          </w:tcPr>
          <w:p w14:paraId="19006304">
            <w:pPr>
              <w:widowControl/>
              <w:jc w:val="righ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w:t>
            </w:r>
          </w:p>
        </w:tc>
        <w:tc>
          <w:tcPr>
            <w:tcW w:w="1383" w:type="dxa"/>
            <w:tcBorders>
              <w:top w:val="single" w:color="000000" w:sz="4" w:space="0"/>
              <w:left w:val="single" w:color="000000" w:sz="4" w:space="0"/>
              <w:bottom w:val="single" w:color="000000" w:sz="4" w:space="0"/>
              <w:right w:val="single" w:color="000000" w:sz="4" w:space="0"/>
            </w:tcBorders>
            <w:vAlign w:val="center"/>
          </w:tcPr>
          <w:p w14:paraId="3EE35670">
            <w:pPr>
              <w:widowControl/>
              <w:jc w:val="righ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175.00</w:t>
            </w:r>
          </w:p>
        </w:tc>
        <w:tc>
          <w:tcPr>
            <w:tcW w:w="1120" w:type="dxa"/>
            <w:tcBorders>
              <w:top w:val="single" w:color="000000" w:sz="4" w:space="0"/>
              <w:left w:val="single" w:color="000000" w:sz="4" w:space="0"/>
              <w:bottom w:val="single" w:color="000000" w:sz="4" w:space="0"/>
              <w:right w:val="single" w:color="000000" w:sz="4" w:space="0"/>
            </w:tcBorders>
            <w:vAlign w:val="center"/>
          </w:tcPr>
          <w:p w14:paraId="3277DEB1">
            <w:pPr>
              <w:widowControl/>
              <w:jc w:val="righ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0.4184%</w:t>
            </w:r>
          </w:p>
        </w:tc>
      </w:tr>
      <w:tr w14:paraId="4973B9BE">
        <w:tblPrEx>
          <w:tblCellMar>
            <w:top w:w="0" w:type="dxa"/>
            <w:left w:w="108" w:type="dxa"/>
            <w:bottom w:w="0" w:type="dxa"/>
            <w:right w:w="108" w:type="dxa"/>
          </w:tblCellMar>
        </w:tblPrEx>
        <w:trPr>
          <w:trHeight w:val="280" w:hRule="atLeast"/>
          <w:jc w:val="center"/>
        </w:trPr>
        <w:tc>
          <w:tcPr>
            <w:tcW w:w="297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10B4CF7D">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合计</w:t>
            </w:r>
          </w:p>
        </w:tc>
        <w:tc>
          <w:tcPr>
            <w:tcW w:w="137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3889E38">
            <w:pPr>
              <w:widowControl/>
              <w:jc w:val="right"/>
              <w:textAlignment w:val="center"/>
              <w:rPr>
                <w:rFonts w:hint="eastAsia" w:ascii="宋体" w:hAnsi="宋体" w:cs="宋体"/>
                <w:b/>
                <w:bCs/>
                <w:color w:val="000000"/>
                <w:sz w:val="22"/>
              </w:rPr>
            </w:pPr>
            <w:r>
              <w:rPr>
                <w:rFonts w:hint="eastAsia" w:ascii="宋体" w:hAnsi="宋体" w:cs="宋体"/>
                <w:b/>
                <w:bCs/>
                <w:color w:val="000000"/>
                <w:kern w:val="0"/>
                <w:sz w:val="22"/>
                <w:lang w:bidi="ar"/>
              </w:rPr>
              <w:t>38,850.00</w:t>
            </w:r>
          </w:p>
        </w:tc>
        <w:tc>
          <w:tcPr>
            <w:tcW w:w="119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B2A797A">
            <w:pPr>
              <w:widowControl/>
              <w:jc w:val="right"/>
              <w:textAlignment w:val="center"/>
              <w:rPr>
                <w:rFonts w:hint="eastAsia" w:ascii="宋体" w:hAnsi="宋体" w:cs="宋体"/>
                <w:b/>
                <w:bCs/>
                <w:color w:val="000000"/>
                <w:sz w:val="22"/>
              </w:rPr>
            </w:pPr>
            <w:r>
              <w:rPr>
                <w:rFonts w:hint="eastAsia" w:ascii="宋体" w:hAnsi="宋体" w:cs="宋体"/>
                <w:b/>
                <w:bCs/>
                <w:color w:val="000000"/>
                <w:kern w:val="0"/>
                <w:sz w:val="22"/>
                <w:lang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782FA77">
            <w:pPr>
              <w:widowControl/>
              <w:jc w:val="right"/>
              <w:textAlignment w:val="center"/>
              <w:rPr>
                <w:rFonts w:hint="eastAsia" w:ascii="宋体" w:hAnsi="宋体" w:cs="宋体"/>
                <w:b/>
                <w:bCs/>
                <w:color w:val="000000"/>
                <w:sz w:val="22"/>
              </w:rPr>
            </w:pPr>
            <w:r>
              <w:rPr>
                <w:rFonts w:hint="eastAsia" w:ascii="宋体" w:hAnsi="宋体" w:cs="宋体"/>
                <w:b/>
                <w:bCs/>
                <w:color w:val="000000"/>
                <w:kern w:val="0"/>
                <w:sz w:val="22"/>
                <w:lang w:bidi="ar"/>
              </w:rPr>
              <w:t>2,973.60</w:t>
            </w:r>
          </w:p>
        </w:tc>
        <w:tc>
          <w:tcPr>
            <w:tcW w:w="138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6CF631A">
            <w:pPr>
              <w:widowControl/>
              <w:jc w:val="right"/>
              <w:textAlignment w:val="center"/>
              <w:rPr>
                <w:rFonts w:hint="eastAsia" w:ascii="宋体" w:hAnsi="宋体" w:cs="宋体"/>
                <w:b/>
                <w:bCs/>
                <w:color w:val="000000"/>
                <w:sz w:val="22"/>
              </w:rPr>
            </w:pPr>
            <w:r>
              <w:rPr>
                <w:rFonts w:hint="eastAsia" w:ascii="宋体" w:hAnsi="宋体" w:cs="宋体"/>
                <w:b/>
                <w:bCs/>
                <w:color w:val="000000"/>
                <w:kern w:val="0"/>
                <w:sz w:val="22"/>
                <w:lang w:bidi="ar"/>
              </w:rPr>
              <w:t>41,823.60</w:t>
            </w:r>
          </w:p>
        </w:tc>
        <w:tc>
          <w:tcPr>
            <w:tcW w:w="112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D1994F1">
            <w:pPr>
              <w:widowControl/>
              <w:jc w:val="right"/>
              <w:textAlignment w:val="center"/>
              <w:rPr>
                <w:rFonts w:hint="eastAsia" w:ascii="宋体" w:hAnsi="宋体" w:cs="宋体"/>
                <w:b/>
                <w:bCs/>
                <w:color w:val="000000"/>
                <w:sz w:val="22"/>
              </w:rPr>
            </w:pPr>
            <w:r>
              <w:rPr>
                <w:rFonts w:hint="eastAsia" w:ascii="宋体" w:hAnsi="宋体" w:cs="宋体"/>
                <w:b/>
                <w:bCs/>
                <w:color w:val="000000"/>
                <w:kern w:val="0"/>
                <w:sz w:val="22"/>
                <w:lang w:bidi="ar"/>
              </w:rPr>
              <w:t>100%</w:t>
            </w:r>
          </w:p>
        </w:tc>
      </w:tr>
    </w:tbl>
    <w:p w14:paraId="77A97FD8">
      <w:pPr>
        <w:pStyle w:val="2"/>
        <w:spacing w:before="156" w:after="156"/>
      </w:pPr>
      <w:r>
        <w:rPr>
          <w:rFonts w:hint="eastAsia"/>
        </w:rPr>
        <w:t>四、交易的定价政策及依据</w:t>
      </w:r>
    </w:p>
    <w:p w14:paraId="3C9A68CC">
      <w:pPr>
        <w:adjustRightInd w:val="0"/>
        <w:snapToGri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为吸引长期资本、耐心资本共同开发创新药，在参考广生中霖上一轮增资价格的基础上，基于对广生中霖未来发展前景的认可，经各方友好协商，本次交易拟按照广生中霖投前整体估值250,000万元对广生中霖进行增资，将加速公司创新药的研发进程。交易对价公正合理，不存在损害公司及公司股东利益，特别是中小股东利益的情形。</w:t>
      </w:r>
    </w:p>
    <w:p w14:paraId="0AB3202C">
      <w:pPr>
        <w:pStyle w:val="2"/>
        <w:spacing w:before="156" w:after="156"/>
      </w:pPr>
      <w:r>
        <w:rPr>
          <w:rFonts w:hint="eastAsia"/>
        </w:rPr>
        <w:t>五、交易协议的主要内容</w:t>
      </w:r>
    </w:p>
    <w:p w14:paraId="14E5E518">
      <w:pPr>
        <w:adjustRightInd w:val="0"/>
        <w:snapToGri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本次交易涉及《投资协议》、《投资协议之补充协议》和《股东特别权利约定的协议》等。截止目前，各方正在</w:t>
      </w:r>
      <w:bookmarkStart w:id="2" w:name="_Hlk207519106"/>
      <w:r>
        <w:rPr>
          <w:rFonts w:hint="eastAsia" w:ascii="宋体" w:hAnsi="宋体" w:cs="宋体"/>
          <w:sz w:val="24"/>
          <w:szCs w:val="24"/>
        </w:rPr>
        <w:t>履行内部决策程序审批，本次交易相关协议尚未签署，具体内容以最终实际签署的正式协议为准</w:t>
      </w:r>
      <w:bookmarkEnd w:id="2"/>
      <w:r>
        <w:rPr>
          <w:rFonts w:hint="eastAsia" w:ascii="宋体" w:hAnsi="宋体" w:cs="宋体"/>
          <w:sz w:val="24"/>
          <w:szCs w:val="24"/>
        </w:rPr>
        <w:t>。</w:t>
      </w:r>
    </w:p>
    <w:p w14:paraId="52928A88">
      <w:pPr>
        <w:pStyle w:val="3"/>
        <w:spacing w:before="0" w:beforeLines="0" w:after="156"/>
        <w:ind w:firstLine="482"/>
        <w:rPr>
          <w:rFonts w:hint="eastAsia"/>
        </w:rPr>
      </w:pPr>
      <w:r>
        <w:rPr>
          <w:rFonts w:hint="eastAsia"/>
        </w:rPr>
        <w:t>（一）协议相关方</w:t>
      </w:r>
    </w:p>
    <w:p w14:paraId="5AD961D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1、目标公司：福建广生中霖生物科技有限公司</w:t>
      </w:r>
    </w:p>
    <w:p w14:paraId="608A63AB">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2、广生中霖控股股东：福建广生堂药业股份有限公司（下称“控股股东”）</w:t>
      </w:r>
    </w:p>
    <w:p w14:paraId="381E81A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广生中霖现有股东：福建广生堂药业股份有限公司、福州奥泰五期投资合伙企业（有限合伙）、福州奥泰六期投资合伙企业（有限合伙）、宁德市汇聚一号股权投资合伙企业（有限合伙）、福州创新创科投资合伙企业（有限合伙）、杭州泰鲲股权投资基金合伙企业（有限合伙）、杭州泰誉四期创业投资合伙企业（有限合伙）</w:t>
      </w:r>
    </w:p>
    <w:p w14:paraId="05616234">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4、福建奥华集团有限公司：福建广生堂药业股份有限公司控股股东（下称“奥华集团”）</w:t>
      </w:r>
    </w:p>
    <w:p w14:paraId="040119A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5、实际控制人：本协议中，“实际控制人”指代李国平</w:t>
      </w:r>
    </w:p>
    <w:p w14:paraId="39417D9F">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6、投资方：济南泰神投资合伙企业（有限合伙）、华欣石恒科技创业投资基金（青岛）合伙企业（有限合伙）</w:t>
      </w:r>
    </w:p>
    <w:p w14:paraId="207D1CD2">
      <w:pPr>
        <w:pStyle w:val="3"/>
        <w:spacing w:before="0" w:beforeLines="0" w:after="156"/>
        <w:ind w:firstLine="482"/>
        <w:rPr>
          <w:rFonts w:hint="eastAsia"/>
        </w:rPr>
      </w:pPr>
      <w:r>
        <w:rPr>
          <w:rFonts w:hint="eastAsia"/>
        </w:rPr>
        <w:t>（二）投资协议主要内容</w:t>
      </w:r>
    </w:p>
    <w:p w14:paraId="7AC778E1">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1、目标公司估值</w:t>
      </w:r>
    </w:p>
    <w:p w14:paraId="517552B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各方确认并一致同意，本次投资目标公司投前估值和老股转让投前估值分别为人民币250,000万元和175,000万元，目标公司在本次交易后的整体估值为投前估值与本轮增资价款之和，即人民币269,135.1351万元。</w:t>
      </w:r>
    </w:p>
    <w:p w14:paraId="1CF2FD71">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2、交易安排</w:t>
      </w:r>
    </w:p>
    <w:p w14:paraId="30F18C0D">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各方一致同意，本次投资方拟向目标公司增资及受让目标公司股权合计人民币25,000万元，按照如下方式安排：在满足本协议及其他就本次交易安排已签署的交易文件的前提下，（1）济南泰神从奥泰五期和奥泰六期合计受让1,302万股共计人民币5,864.8649万元。（2）济南泰神同意以人民币14,135.1351万元认购新增注册资本人民币2,196.6万元。（3）华欣石恒同意以人民币5,000万元认购新增注册资本人民币777万元。</w:t>
      </w:r>
    </w:p>
    <w:p w14:paraId="3D96AACF">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3、协议生效</w:t>
      </w:r>
    </w:p>
    <w:p w14:paraId="5823AA1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本协议自协议各方签署之日起成立，并在控股股东有权决策机构已作出关于本次交易的决议或批准后生效。</w:t>
      </w:r>
    </w:p>
    <w:p w14:paraId="6B419EA7">
      <w:pPr>
        <w:pStyle w:val="3"/>
        <w:spacing w:before="0" w:beforeLines="0" w:after="156"/>
        <w:ind w:firstLine="482"/>
        <w:rPr>
          <w:rFonts w:hint="eastAsia"/>
        </w:rPr>
      </w:pPr>
      <w:r>
        <w:rPr>
          <w:rFonts w:hint="eastAsia"/>
        </w:rPr>
        <w:t>（三）投资协议之补充协议主要内容</w:t>
      </w:r>
    </w:p>
    <w:p w14:paraId="4F706C7F">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1、投资退出方式</w:t>
      </w:r>
    </w:p>
    <w:p w14:paraId="0597633D">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（1）发行股份/可转债收购</w:t>
      </w:r>
    </w:p>
    <w:p w14:paraId="1BC6D17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投资方向目标公司缴付首笔投资款之日起至2029年3月30日内，目标公司控股股东可通过股东大会决议并通过交易所及证监会审批通过发行股份或可转换债券的方式，以增发股票（含可转债）或增发股票（含可转债）及部分现金收购投资方持有的福建广生中霖生物科技有限公司的股权实现退出的。</w:t>
      </w:r>
    </w:p>
    <w:p w14:paraId="3A38E3A9">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若目标公司控股股东根据约定购买投资方持有的目标公司股权，按照公司章程、证监会、证券交易所等监管部门相关规定应当履行审批等相关程序，目标公司控股股东应尽最大努力确保方案的顺利通过。</w:t>
      </w:r>
    </w:p>
    <w:p w14:paraId="0221BE98">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（2）上市退出</w:t>
      </w:r>
    </w:p>
    <w:p w14:paraId="4D3EB7B7">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投资方向目标公司缴付首笔投资款之日起至2029年3月30日内独立在A股(指在上海、深圳，不包含新三板和北交所)或者港股(指在香港联交所上市)完成IPO。</w:t>
      </w:r>
    </w:p>
    <w:p w14:paraId="33829F1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（3）协商转让</w:t>
      </w:r>
    </w:p>
    <w:p w14:paraId="351D0C6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若投资方无法通过本协议约定实现退出，则投资方与目标公司控股股东可以通过协商的方式处理本次股权投资，并在协商一致的情形下，通过股权或合伙企业份额转让实现投资方退出。</w:t>
      </w:r>
    </w:p>
    <w:p w14:paraId="36714187">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2、关于优先受让权的约定</w:t>
      </w:r>
    </w:p>
    <w:p w14:paraId="31EBB2C8">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各方一致同意，优先按照本协议上述约定实现投资方退出，但若出现下列所述“特定情形”，则控股股东、奥华集团或李国平有权按照本协议约定的价格优先受让投资方所持有的全部或部分广生中霖股份，投资方应当予以配合。</w:t>
      </w:r>
    </w:p>
    <w:p w14:paraId="3A367B39">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（1）本次投资的投资方向目标公司缴付首笔投资款之日起满36个月，广生中霖GST-HG141药物仍未获得药物监管部门上市批文；</w:t>
      </w:r>
    </w:p>
    <w:p w14:paraId="5722080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（2）广生中霖GST-HG141药物上市后一年内，广生中霖经审计的主营业务收入低于6亿元；</w:t>
      </w:r>
    </w:p>
    <w:p w14:paraId="4F9A077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（3）本次投资的投资方向目标公司缴付首笔投资款之日起至2029年3月30日届满，投资方未能通过本协议上述约定方式退出；</w:t>
      </w:r>
    </w:p>
    <w:p w14:paraId="631C8EA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（4）广生中霖经营情况与董事会审批的经营计划有重大差异，且未能在届时投资方给予的宽限内妥善解决的；</w:t>
      </w:r>
    </w:p>
    <w:p w14:paraId="5998BE1B">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（5）广生中霖出现重大风险事件，包括但不限于被发起或主动发起任何破产、停业、清算、吊销、关闭、撤销、注销的程序、实控权发生变更或受到重大违法违规处罚、出现重大负面舆</w:t>
      </w:r>
      <w:r>
        <w:rPr>
          <w:rFonts w:hint="eastAsia" w:ascii="宋体" w:hAnsi="宋体" w:cs="宋体"/>
          <w:sz w:val="24"/>
          <w:szCs w:val="24"/>
          <w:lang w:val="en-US" w:eastAsia="zh-CN"/>
        </w:rPr>
        <w:t>情</w:t>
      </w:r>
      <w:r>
        <w:rPr>
          <w:rFonts w:hint="eastAsia" w:ascii="宋体" w:hAnsi="宋体" w:cs="宋体"/>
          <w:sz w:val="24"/>
          <w:szCs w:val="24"/>
        </w:rPr>
        <w:t>影响持续经营的；</w:t>
      </w:r>
    </w:p>
    <w:p w14:paraId="53C2092B">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控股股东出现重大风险事件，包括但不限于被发起或主动发起任何破产停业、清算、吊销、关闭、撤销、注销的程序、实控权发生变更或受到重大违法违规处罚、被立案调查、出现重大负面舆情影响持续经营的；</w:t>
      </w:r>
    </w:p>
    <w:p w14:paraId="55E69E0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（7）广生中霖应保持管理层和核心技术人员的相对稳定，若未征求投资方同意的核心人员的离职导致关键临床无法推进或药物审批无法推进的；</w:t>
      </w:r>
    </w:p>
    <w:p w14:paraId="0B49192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（8）本次投资的投资方向目标公司缴付首笔投资款之日后奥华集团和李国平主动增加目前股票质押比例的，被动补仓及因股权转让等导致被动股票质押比例上升的情形除外。</w:t>
      </w:r>
    </w:p>
    <w:p w14:paraId="0E55F5B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协议上述所述任一特定情形发生时，投资方可以向控股股东、奥华集团及李国平发出受让投资方所持广生中霖全部或部分股份的书面通知，若控股股东、奥华集团或李国平同意受让投资方所持广生中霖股份的，应当在收到书面通知后15个工作日内，向投资方发出同意受让投资方所持广生中霖股份的书面通知。</w:t>
      </w:r>
    </w:p>
    <w:p w14:paraId="12C0F29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若控股股东、奥华集团或李国平同意行使本协议约定的优先受让权，并按照本协议约定向投资方发出“同意受让通知书”，则视为控股股东、奥华集团或李国平同意按照如下方式计算退出时的股权价值，并承诺在发出“同意受让通知书”之日起2个月之内向投资方或其指定账户支付转让价款：</w:t>
      </w:r>
    </w:p>
    <w:p w14:paraId="0F27FED3">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退出时增资部分或老股受让部分股权价值=广生中霖截至退出时点最近一年实现的营业收入*5（5倍PS）*投资方通过增资方式或老股受让方式持有广生中霖的股权比例、广生中霖最近一轮融资投后估值*投资方通过增资方式或老股受让方式持有的广生中霖的股权比例与∑{投资协议约定的济南泰神或华欣石恒各自缴付的各款项*预期年化投资收益率7.5%/360*投资协议约定的济南泰神或华欣石恒各自缴付的各款项实际到账日至转让价款支付日之间的天数}孰高。</w:t>
      </w:r>
    </w:p>
    <w:p w14:paraId="0C67A851">
      <w:pPr>
        <w:adjustRightInd w:val="0"/>
        <w:snapToGrid w:val="0"/>
        <w:spacing w:line="360" w:lineRule="auto"/>
        <w:ind w:firstLine="480" w:firstLineChars="200"/>
        <w:rPr>
          <w:rFonts w:hint="eastAsia" w:ascii="宋体" w:hAnsi="宋体" w:cs="宋体"/>
          <w:sz w:val="24"/>
          <w:szCs w:val="24"/>
        </w:rPr>
      </w:pPr>
      <w:r>
        <w:rPr>
          <w:rFonts w:hint="eastAsia"/>
          <w:sz w:val="24"/>
        </w:rPr>
        <w:t>若控股股东或奥华集团未按照本协议约定按时发出“同意受让通知书”，除非经投资方特别确认，否则视为其放弃优先受让权，投资方有权按照本协议约定行使救济措施权利。</w:t>
      </w:r>
    </w:p>
    <w:p w14:paraId="7FB0DFB9">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3、救济措施</w:t>
      </w:r>
    </w:p>
    <w:p w14:paraId="3F83B42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本协议约定的优先受让权的任一“特定情形”发生后，</w:t>
      </w:r>
      <w:r>
        <w:rPr>
          <w:rFonts w:ascii="宋体" w:hAnsi="宋体" w:cs="宋体"/>
          <w:sz w:val="24"/>
          <w:szCs w:val="24"/>
        </w:rPr>
        <w:t>若</w:t>
      </w:r>
      <w:r>
        <w:rPr>
          <w:rFonts w:hint="eastAsia" w:ascii="宋体" w:hAnsi="宋体" w:cs="宋体"/>
          <w:sz w:val="24"/>
          <w:szCs w:val="24"/>
        </w:rPr>
        <w:t>控股股东</w:t>
      </w:r>
      <w:r>
        <w:rPr>
          <w:rFonts w:ascii="宋体" w:hAnsi="宋体" w:cs="宋体"/>
          <w:sz w:val="24"/>
          <w:szCs w:val="24"/>
        </w:rPr>
        <w:t>、奥华集团及李国平未选择受让</w:t>
      </w:r>
      <w:r>
        <w:rPr>
          <w:rFonts w:hint="eastAsia" w:ascii="宋体" w:hAnsi="宋体" w:cs="宋体"/>
          <w:sz w:val="24"/>
          <w:szCs w:val="24"/>
        </w:rPr>
        <w:t>投资方</w:t>
      </w:r>
      <w:r>
        <w:rPr>
          <w:rFonts w:ascii="宋体" w:hAnsi="宋体" w:cs="宋体"/>
          <w:sz w:val="24"/>
          <w:szCs w:val="24"/>
        </w:rPr>
        <w:t>所持广生中霖</w:t>
      </w:r>
      <w:r>
        <w:rPr>
          <w:rFonts w:hint="eastAsia" w:ascii="宋体" w:hAnsi="宋体" w:cs="宋体"/>
          <w:sz w:val="24"/>
          <w:szCs w:val="24"/>
        </w:rPr>
        <w:t>股份</w:t>
      </w:r>
      <w:r>
        <w:rPr>
          <w:rFonts w:ascii="宋体" w:hAnsi="宋体" w:cs="宋体"/>
          <w:sz w:val="24"/>
          <w:szCs w:val="24"/>
        </w:rPr>
        <w:t>，则</w:t>
      </w:r>
      <w:r>
        <w:rPr>
          <w:rFonts w:hint="eastAsia" w:ascii="宋体" w:hAnsi="宋体" w:cs="宋体"/>
          <w:sz w:val="24"/>
          <w:szCs w:val="24"/>
        </w:rPr>
        <w:t>投资方</w:t>
      </w:r>
      <w:r>
        <w:rPr>
          <w:rFonts w:ascii="宋体" w:hAnsi="宋体" w:cs="宋体"/>
          <w:sz w:val="24"/>
          <w:szCs w:val="24"/>
        </w:rPr>
        <w:t>有权选择行使以下全</w:t>
      </w:r>
      <w:r>
        <w:rPr>
          <w:rFonts w:hint="eastAsia" w:ascii="宋体" w:hAnsi="宋体" w:eastAsia="宋体" w:cs="宋体"/>
          <w:sz w:val="24"/>
          <w:szCs w:val="24"/>
        </w:rPr>
        <w:t>部或部分权利：</w:t>
      </w:r>
    </w:p>
    <w:p w14:paraId="3AA3A81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增加投资方在广生中霖董事至董事会三分之一，原股东提名董事、广生中霖职工董事人数不变。要求原股东配合完成广生中霖章程的修改，广生中霖将投资方在股东会持有的表决权调整至三分之一（表决权委托）；尽管有前述约定，但华欣石恒自愿承诺并声明，其主动放弃本条约定的权利，即本条权利由济南泰神单独享有。</w:t>
      </w:r>
    </w:p>
    <w:p w14:paraId="3375603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（2）投资方有权要求奥华集团将与本协议约定的转让价款等值的控股股东股份质押给投资方或其指定第三方；</w:t>
      </w:r>
    </w:p>
    <w:p w14:paraId="38F8E53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投资方有权将所持全部或部分广生中霖股份转让于任意第三方，但不得转让给同控股股东及其合并报表范围内的下属企业存在竞争关系或利益冲突的第三方及其关联方，控股股东放弃对投资方所持有的广生中霖股份的优先购买权。同时，投资方有权要求控股股东跟随投资方出售占目标公司总股本相同比例的股份。</w:t>
      </w:r>
    </w:p>
    <w:p w14:paraId="3F7F250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 自发生任一“特定情形”且控股股东、奥华集团及实控人李国平未选择受让投资方所持广生中霖股份之当年起，约定的预期年化投资收益率将逐年跳升200个基点（2%），直到达到12%后不再跳升。</w:t>
      </w:r>
    </w:p>
    <w:p w14:paraId="0BBC95E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如因广生中霖股东、广生中霖、控股股东、奥华集团及李国平未能及时提供一切必要的配合与协助或受到外部监管限制、其他利益相关方阻碍等原因，导致投资方在本协议上述所约定的各项权利在要求期限内未能实现的，则投资方有权向控股股东、奥华集团及李国平发出受让广生中霖股权书面通知，控股股东、奥华集团及李国平应当在收到书面通知之日起，按照如下要求在2个月之内向投资方或其指定账户支付转让价款：</w:t>
      </w:r>
    </w:p>
    <w:p w14:paraId="5CCE706A">
      <w:pPr>
        <w:spacing w:line="360" w:lineRule="auto"/>
        <w:ind w:firstLine="480" w:firstLineChars="200"/>
        <w:rPr>
          <w:rFonts w:hint="eastAsia" w:ascii="宋体" w:hAnsi="宋体" w:cs="宋体"/>
          <w:sz w:val="24"/>
        </w:rPr>
      </w:pPr>
      <w:r>
        <w:rPr>
          <w:rFonts w:hint="eastAsia" w:ascii="宋体" w:hAnsi="宋体" w:cs="宋体"/>
          <w:sz w:val="24"/>
        </w:rPr>
        <w:t>（1）控股股东、奥华集团及李国平按本协议约定计算的退出时股权价值受让投资方所持有的通过增资取得的广生中霖股份；</w:t>
      </w:r>
    </w:p>
    <w:p w14:paraId="76BB7BA1">
      <w:pPr>
        <w:spacing w:line="360" w:lineRule="auto"/>
        <w:ind w:firstLine="480" w:firstLineChars="200"/>
        <w:rPr>
          <w:rFonts w:hint="eastAsia" w:ascii="宋体" w:hAnsi="宋体" w:cs="宋体"/>
          <w:sz w:val="24"/>
        </w:rPr>
      </w:pPr>
      <w:r>
        <w:rPr>
          <w:rFonts w:hint="eastAsia" w:ascii="宋体" w:hAnsi="宋体" w:cs="宋体"/>
          <w:sz w:val="24"/>
        </w:rPr>
        <w:t>（2）奥华集团及李国平按本协议约定计算的退出时股权价值受让投资方所持有的通过受让老股取得的广生中霖股份；</w:t>
      </w:r>
    </w:p>
    <w:p w14:paraId="1182C9A0">
      <w:pPr>
        <w:spacing w:line="360" w:lineRule="auto"/>
        <w:ind w:firstLine="480" w:firstLineChars="200"/>
        <w:rPr>
          <w:rFonts w:hint="eastAsia" w:ascii="宋体" w:hAnsi="宋体" w:cs="宋体"/>
          <w:sz w:val="24"/>
        </w:rPr>
      </w:pPr>
      <w:r>
        <w:rPr>
          <w:rFonts w:hint="eastAsia" w:ascii="宋体" w:hAnsi="宋体" w:cs="宋体"/>
          <w:sz w:val="24"/>
        </w:rPr>
        <w:t>（3）投资方承诺在收到上述款项之日起1个月内，主动配合广生中霖、控股股东及奥华集团完成广生中霖股权变更的工商登记。</w:t>
      </w:r>
    </w:p>
    <w:p w14:paraId="617DB599">
      <w:pPr>
        <w:spacing w:line="360" w:lineRule="auto"/>
        <w:ind w:firstLine="480" w:firstLineChars="200"/>
        <w:rPr>
          <w:rFonts w:hint="eastAsia" w:ascii="宋体" w:hAnsi="宋体" w:cs="宋体"/>
          <w:sz w:val="24"/>
        </w:rPr>
      </w:pPr>
      <w:r>
        <w:rPr>
          <w:rFonts w:hint="eastAsia" w:ascii="宋体" w:hAnsi="宋体" w:cs="宋体"/>
          <w:sz w:val="24"/>
        </w:rPr>
        <w:t>自投资方在本协议约定任一事项未能实现之当年起，控股股东、奥华集团及李国平应按当年的年化投资收益率测算的当年收益按照每半年一次的频次向投资方支付（首次付款时间为当年年底，其后每半年支付一次）。</w:t>
      </w:r>
    </w:p>
    <w:p w14:paraId="2EAC8A72">
      <w:pPr>
        <w:spacing w:line="360" w:lineRule="auto"/>
        <w:ind w:firstLine="480" w:firstLineChars="200"/>
        <w:rPr>
          <w:rFonts w:hint="eastAsia" w:ascii="宋体" w:hAnsi="宋体" w:cs="宋体"/>
          <w:sz w:val="24"/>
          <w:szCs w:val="24"/>
        </w:rPr>
      </w:pPr>
      <w:r>
        <w:rPr>
          <w:rFonts w:hint="eastAsia" w:ascii="宋体" w:hAnsi="宋体" w:cs="宋体"/>
          <w:sz w:val="24"/>
        </w:rPr>
        <w:t>4、本补充协议自各方签署之日起成立，自《投资协议》生效之日起生效。</w:t>
      </w:r>
    </w:p>
    <w:p w14:paraId="2C48056A">
      <w:pPr>
        <w:pStyle w:val="3"/>
        <w:spacing w:before="0" w:beforeLines="0" w:after="156"/>
        <w:ind w:firstLine="482"/>
        <w:rPr>
          <w:rFonts w:hint="eastAsia"/>
        </w:rPr>
      </w:pPr>
      <w:r>
        <w:rPr>
          <w:rFonts w:hint="eastAsia"/>
        </w:rPr>
        <w:t>（四）股东特别权利约定的协议主要内容</w:t>
      </w:r>
    </w:p>
    <w:p w14:paraId="620490B8">
      <w:pPr>
        <w:numPr>
          <w:ilvl w:val="255"/>
          <w:numId w:val="0"/>
        </w:numPr>
        <w:tabs>
          <w:tab w:val="left" w:pos="5436"/>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相关</w:t>
      </w:r>
      <w:r>
        <w:rPr>
          <w:rFonts w:hint="eastAsia" w:ascii="宋体" w:hAnsi="宋体" w:cs="宋体"/>
          <w:sz w:val="24"/>
          <w:szCs w:val="24"/>
        </w:rPr>
        <w:t>投资方享有优先购买权和随售权、反稀释条款、优先清算权、最优惠待遇等相关权利。</w:t>
      </w:r>
      <w:bookmarkStart w:id="5" w:name="_GoBack"/>
      <w:bookmarkEnd w:id="5"/>
    </w:p>
    <w:p w14:paraId="6430BB2F">
      <w:pPr>
        <w:pStyle w:val="2"/>
        <w:spacing w:before="156" w:after="156"/>
      </w:pPr>
      <w:r>
        <w:rPr>
          <w:rFonts w:hint="eastAsia"/>
        </w:rPr>
        <w:t>六、交易目的和对公司的影响</w:t>
      </w:r>
    </w:p>
    <w:p w14:paraId="3C89D9D5">
      <w:pPr>
        <w:pStyle w:val="3"/>
        <w:spacing w:before="156" w:after="156"/>
        <w:ind w:firstLine="482"/>
        <w:rPr>
          <w:rFonts w:hint="eastAsia"/>
        </w:rPr>
      </w:pPr>
      <w:r>
        <w:rPr>
          <w:rFonts w:hint="eastAsia"/>
        </w:rPr>
        <w:t>（一）交易目的和对公司的影响</w:t>
      </w:r>
    </w:p>
    <w:p w14:paraId="0F769F77">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为贯彻落实广生中霖创新发展战略，加快创新药物研发，广生中</w:t>
      </w:r>
      <w:r>
        <w:rPr>
          <w:rFonts w:hint="eastAsia" w:ascii="宋体" w:hAnsi="宋体" w:cs="宋体"/>
          <w:color w:val="000000"/>
          <w:sz w:val="24"/>
          <w:szCs w:val="24"/>
          <w:shd w:val="clear" w:color="auto" w:fill="FFFFFF"/>
        </w:rPr>
        <w:t>霖</w:t>
      </w:r>
      <w:r>
        <w:rPr>
          <w:rFonts w:hint="eastAsia" w:ascii="宋体" w:hAnsi="宋体" w:cs="宋体"/>
          <w:sz w:val="24"/>
          <w:szCs w:val="24"/>
        </w:rPr>
        <w:t>拟引入重要投资者。广生中霖在研乙肝治疗一类创新药GST-HG131和GST-HG141均已被国家药品监督管理局药品审评中心纳入突破性治疗品种名单，且GST-HG131 联合 GST-HG141 用于慢性乙型肝炎治疗的II期临床试验项目挑战乙肝临床治愈，属于国家全链条支持创新药发展政策体系支持的具有明显临床价值的重点创新药，被纳入“优化创新药临床试验审评审批试点项目”，均体现了广生中霖在肝病治疗领域的创新实力和药物临床潜力，更为后续开展不同靶点联合疗法临床研究奠定了坚实基础。</w:t>
      </w:r>
    </w:p>
    <w:p w14:paraId="54D05EF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广生中霖作为公司的创新药研发平台，承担着高投入、长周期的创新药物开发任务。目前，GST-HG141已进入III期临床试验并正持续入组受试者，GST-HG131联合GST-HG141的II期临床试验也已获得批准。通过本次交易，广生中霖将增强资本实力，及时补充运营所需资金，加速推进包括非酒精性脂肪性肝炎及肝纤维化治疗创新药GST-HG151在内的在研创新药的研发进程，提升人才吸引力和研发效能，助力核心创新药产品早日获批上市并实现商业化，从而创造更大研发价值，但具体对公司本年度经营业绩和未来业绩的影响尚不确定。广生中霖将抓住中国创新药发展机遇，推动在研药物早日上市。</w:t>
      </w:r>
    </w:p>
    <w:p w14:paraId="58D7EF30">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公司本次放弃</w:t>
      </w:r>
      <w:r>
        <w:rPr>
          <w:rFonts w:hint="eastAsia" w:ascii="宋体" w:hAnsi="宋体" w:cs="宋体"/>
          <w:sz w:val="24"/>
          <w:szCs w:val="24"/>
          <w:lang w:val="en-US" w:eastAsia="zh-CN"/>
        </w:rPr>
        <w:t>对</w:t>
      </w:r>
      <w:r>
        <w:rPr>
          <w:rFonts w:hint="eastAsia" w:ascii="宋体" w:hAnsi="宋体" w:cs="宋体"/>
          <w:sz w:val="24"/>
          <w:szCs w:val="24"/>
        </w:rPr>
        <w:t>广生中霖增资的优先认购权、对股权转让的优先购买权，是基于公司整体规划的综合考虑，本次交易不会导致广生中霖控制权变更，广生中霖仍为公司控股子公司，不会导致公司合并报表范围发生变更。本次交易符合公司利益和战略发展目标，交易遵循公平、公正、诚信的原则，交易价格公允，不存在损害公司及股东，特别是中小股东利益的情形。</w:t>
      </w:r>
    </w:p>
    <w:p w14:paraId="6EFFECE3">
      <w:pPr>
        <w:pStyle w:val="3"/>
        <w:spacing w:before="156" w:after="156"/>
        <w:ind w:firstLine="482"/>
        <w:rPr>
          <w:rFonts w:hint="eastAsia"/>
        </w:rPr>
      </w:pPr>
      <w:r>
        <w:rPr>
          <w:rFonts w:hint="eastAsia"/>
        </w:rPr>
        <w:t>（二）可能存在的风险</w:t>
      </w:r>
    </w:p>
    <w:p w14:paraId="6B2FA23E">
      <w:pPr>
        <w:adjustRightInd w:val="0"/>
        <w:snapToGrid w:val="0"/>
        <w:spacing w:before="156" w:beforeLines="50" w:line="360" w:lineRule="auto"/>
        <w:ind w:firstLine="480" w:firstLineChars="200"/>
        <w:rPr>
          <w:rFonts w:hint="eastAsia" w:ascii="宋体" w:hAnsi="宋体" w:cs="宋体"/>
          <w:sz w:val="24"/>
          <w:szCs w:val="24"/>
        </w:rPr>
      </w:pPr>
      <w:bookmarkStart w:id="3" w:name="_Hlk207565057"/>
      <w:r>
        <w:rPr>
          <w:rFonts w:hint="eastAsia" w:ascii="宋体" w:hAnsi="宋体" w:cs="宋体"/>
          <w:sz w:val="24"/>
          <w:szCs w:val="24"/>
        </w:rPr>
        <w:t>截至本公告披露日，本次交易的各方均在履行内部决策程序审批，本次交易的协议尚未签署</w:t>
      </w:r>
      <w:bookmarkEnd w:id="3"/>
      <w:bookmarkStart w:id="4" w:name="_Hlk207565083"/>
      <w:r>
        <w:rPr>
          <w:rFonts w:hint="eastAsia" w:ascii="宋体" w:hAnsi="宋体" w:cs="宋体"/>
          <w:sz w:val="24"/>
          <w:szCs w:val="24"/>
        </w:rPr>
        <w:t>，协议内容应以最终签署的正式协议为准，协议的签署尚存在不确定性。</w:t>
      </w:r>
      <w:bookmarkEnd w:id="4"/>
      <w:r>
        <w:rPr>
          <w:rFonts w:hint="eastAsia" w:ascii="宋体" w:hAnsi="宋体" w:cs="宋体"/>
          <w:sz w:val="24"/>
          <w:szCs w:val="24"/>
        </w:rPr>
        <w:t>虽然交易各方就本次交易方案将进行充分沟通并达成一致，但仍存在投资先决条件未得以满足或未被豁免、投资方未及时支付交易款项、相关方未能按照协议约定及时履行相应的权利义务等原因导致本次交易实施进度缓慢或无法顺利实施的风险，本次交易实施过程仍存在不确定性。</w:t>
      </w:r>
    </w:p>
    <w:p w14:paraId="1D702660">
      <w:pPr>
        <w:adjustRightInd w:val="0"/>
        <w:snapToGri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公司将按照相关法律法规要求及时履行信息披露义务，敬请广大投资者理性投资，注意投资风险。</w:t>
      </w:r>
    </w:p>
    <w:p w14:paraId="727D0278">
      <w:pPr>
        <w:pStyle w:val="2"/>
        <w:spacing w:before="156" w:after="156"/>
      </w:pPr>
      <w:r>
        <w:rPr>
          <w:rFonts w:hint="eastAsia"/>
        </w:rPr>
        <w:t>七、备查文件</w:t>
      </w:r>
    </w:p>
    <w:p w14:paraId="40D4AE6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szCs w:val="24"/>
          <w:shd w:val="clear" w:color="auto" w:fill="FFFFFF"/>
        </w:rPr>
        <w:t>1、</w:t>
      </w:r>
      <w:r>
        <w:rPr>
          <w:rFonts w:hint="eastAsia" w:ascii="宋体" w:hAnsi="宋体" w:cs="宋体"/>
          <w:sz w:val="24"/>
          <w:szCs w:val="24"/>
        </w:rPr>
        <w:t>第五届董事会第十一次会议决议。</w:t>
      </w:r>
    </w:p>
    <w:p w14:paraId="0769C09D">
      <w:pPr>
        <w:pStyle w:val="10"/>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360" w:lineRule="auto"/>
        <w:ind w:firstLine="480" w:firstLineChars="200"/>
        <w:textAlignment w:val="auto"/>
        <w:rPr>
          <w:rFonts w:hint="eastAsia"/>
        </w:rPr>
      </w:pPr>
      <w:r>
        <w:rPr>
          <w:rFonts w:hint="eastAsia"/>
        </w:rPr>
        <w:t>特此公告。</w:t>
      </w:r>
    </w:p>
    <w:p w14:paraId="476454E8">
      <w:pPr>
        <w:pStyle w:val="10"/>
        <w:spacing w:before="0" w:beforeAutospacing="0" w:after="0" w:afterAutospacing="0" w:line="360" w:lineRule="auto"/>
        <w:ind w:firstLine="480" w:firstLineChars="200"/>
        <w:rPr>
          <w:rFonts w:hint="eastAsia"/>
          <w:kern w:val="2"/>
          <w:szCs w:val="21"/>
        </w:rPr>
      </w:pPr>
    </w:p>
    <w:p w14:paraId="4107F2DF">
      <w:pPr>
        <w:widowControl/>
        <w:adjustRightInd w:val="0"/>
        <w:snapToGrid w:val="0"/>
        <w:spacing w:line="360" w:lineRule="auto"/>
        <w:ind w:firstLine="480" w:firstLineChars="200"/>
        <w:jc w:val="right"/>
        <w:rPr>
          <w:rFonts w:hint="eastAsia" w:ascii="宋体" w:hAnsi="宋体" w:cs="宋体"/>
          <w:sz w:val="24"/>
          <w:szCs w:val="21"/>
        </w:rPr>
      </w:pPr>
      <w:r>
        <w:rPr>
          <w:rFonts w:hint="eastAsia" w:ascii="宋体" w:hAnsi="宋体" w:cs="宋体"/>
          <w:sz w:val="24"/>
          <w:szCs w:val="21"/>
        </w:rPr>
        <w:t>福建广生堂药业股份有限公司董事会</w:t>
      </w:r>
    </w:p>
    <w:p w14:paraId="68FD2482">
      <w:pPr>
        <w:widowControl/>
        <w:adjustRightInd w:val="0"/>
        <w:snapToGrid w:val="0"/>
        <w:spacing w:line="360" w:lineRule="auto"/>
        <w:ind w:firstLine="5520" w:firstLineChars="2300"/>
        <w:jc w:val="left"/>
        <w:rPr>
          <w:rFonts w:hint="eastAsia" w:ascii="宋体" w:hAnsi="宋体" w:cs="宋体"/>
          <w:sz w:val="24"/>
          <w:szCs w:val="24"/>
        </w:rPr>
      </w:pPr>
      <w:r>
        <w:rPr>
          <w:rFonts w:hint="eastAsia" w:ascii="宋体" w:hAnsi="宋体" w:cs="宋体"/>
          <w:sz w:val="24"/>
          <w:szCs w:val="21"/>
        </w:rPr>
        <w:t>2025年9月1日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83965">
    <w:pPr>
      <w:pStyle w:val="7"/>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07F6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FA3D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F6CCD">
    <w:pPr>
      <w:pStyle w:val="8"/>
      <w:tabs>
        <w:tab w:val="right" w:pos="9214"/>
        <w:tab w:val="clear" w:pos="8306"/>
      </w:tabs>
      <w:ind w:left="-1277" w:leftChars="-608" w:right="-1331" w:rightChars="-634" w:firstLine="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559040" cy="10692130"/>
          <wp:effectExtent l="0" t="0" r="3810" b="13970"/>
          <wp:wrapNone/>
          <wp:docPr id="3"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F2477">
    <w:pPr>
      <w:pStyle w:val="8"/>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9040" cy="10692130"/>
          <wp:effectExtent l="0" t="0" r="3810" b="13970"/>
          <wp:wrapNone/>
          <wp:docPr id="2"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CDE57">
    <w:pPr>
      <w:pStyle w:val="8"/>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9040" cy="10692130"/>
          <wp:effectExtent l="0" t="0" r="3810" b="13970"/>
          <wp:wrapNone/>
          <wp:docPr id="1"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ZDAzY2M2ZjgyYTQ5OWY3NTA2MGJkNzI2MTkxYzAifQ=="/>
    <w:docVar w:name="metasota_documentID" w:val="8636605333724442624"/>
  </w:docVars>
  <w:rsids>
    <w:rsidRoot w:val="00082C74"/>
    <w:rsid w:val="00000E44"/>
    <w:rsid w:val="00005738"/>
    <w:rsid w:val="00022CF4"/>
    <w:rsid w:val="00023A21"/>
    <w:rsid w:val="00043EA5"/>
    <w:rsid w:val="00060FE5"/>
    <w:rsid w:val="00062142"/>
    <w:rsid w:val="000819B1"/>
    <w:rsid w:val="00082C74"/>
    <w:rsid w:val="00093459"/>
    <w:rsid w:val="000A3B4A"/>
    <w:rsid w:val="000F1437"/>
    <w:rsid w:val="000F2B72"/>
    <w:rsid w:val="000F51AB"/>
    <w:rsid w:val="00136678"/>
    <w:rsid w:val="0014223F"/>
    <w:rsid w:val="00144C6A"/>
    <w:rsid w:val="00161734"/>
    <w:rsid w:val="001D51D8"/>
    <w:rsid w:val="001E00B7"/>
    <w:rsid w:val="001F5A28"/>
    <w:rsid w:val="00201BC1"/>
    <w:rsid w:val="0021331C"/>
    <w:rsid w:val="00230986"/>
    <w:rsid w:val="002448CC"/>
    <w:rsid w:val="0024604B"/>
    <w:rsid w:val="002562CC"/>
    <w:rsid w:val="002A0F95"/>
    <w:rsid w:val="002D1F1C"/>
    <w:rsid w:val="002D7652"/>
    <w:rsid w:val="003036EC"/>
    <w:rsid w:val="00303F01"/>
    <w:rsid w:val="00303F1D"/>
    <w:rsid w:val="003225AE"/>
    <w:rsid w:val="00335A56"/>
    <w:rsid w:val="00376191"/>
    <w:rsid w:val="003975DD"/>
    <w:rsid w:val="003C796A"/>
    <w:rsid w:val="003D01EE"/>
    <w:rsid w:val="003E7976"/>
    <w:rsid w:val="00432AA7"/>
    <w:rsid w:val="00436D3B"/>
    <w:rsid w:val="0044781D"/>
    <w:rsid w:val="00472B98"/>
    <w:rsid w:val="004843F6"/>
    <w:rsid w:val="00494C23"/>
    <w:rsid w:val="004B198B"/>
    <w:rsid w:val="004C65EB"/>
    <w:rsid w:val="004C7FBE"/>
    <w:rsid w:val="004D3DF7"/>
    <w:rsid w:val="004F03D6"/>
    <w:rsid w:val="00532AA5"/>
    <w:rsid w:val="00547EA4"/>
    <w:rsid w:val="005C6ADC"/>
    <w:rsid w:val="005C7687"/>
    <w:rsid w:val="005E3039"/>
    <w:rsid w:val="005E7843"/>
    <w:rsid w:val="00636A58"/>
    <w:rsid w:val="00643868"/>
    <w:rsid w:val="0065610B"/>
    <w:rsid w:val="0066395D"/>
    <w:rsid w:val="00690D05"/>
    <w:rsid w:val="006969CB"/>
    <w:rsid w:val="006A313F"/>
    <w:rsid w:val="006A713E"/>
    <w:rsid w:val="006B1FE9"/>
    <w:rsid w:val="006C71F1"/>
    <w:rsid w:val="00701CFE"/>
    <w:rsid w:val="007320D8"/>
    <w:rsid w:val="007524E8"/>
    <w:rsid w:val="007568F4"/>
    <w:rsid w:val="00756F5D"/>
    <w:rsid w:val="00777406"/>
    <w:rsid w:val="00791B37"/>
    <w:rsid w:val="007D07FC"/>
    <w:rsid w:val="007F5678"/>
    <w:rsid w:val="00822702"/>
    <w:rsid w:val="00864D7E"/>
    <w:rsid w:val="00871F0E"/>
    <w:rsid w:val="008933D5"/>
    <w:rsid w:val="008D184E"/>
    <w:rsid w:val="008D4935"/>
    <w:rsid w:val="008D666C"/>
    <w:rsid w:val="008E43BB"/>
    <w:rsid w:val="008E44A2"/>
    <w:rsid w:val="008F7F84"/>
    <w:rsid w:val="00905F08"/>
    <w:rsid w:val="009275C1"/>
    <w:rsid w:val="009E07F6"/>
    <w:rsid w:val="009E3B80"/>
    <w:rsid w:val="009F5A04"/>
    <w:rsid w:val="009F7C7D"/>
    <w:rsid w:val="00A00FE0"/>
    <w:rsid w:val="00A13760"/>
    <w:rsid w:val="00A344A1"/>
    <w:rsid w:val="00A52433"/>
    <w:rsid w:val="00A65B55"/>
    <w:rsid w:val="00A805AA"/>
    <w:rsid w:val="00AB4096"/>
    <w:rsid w:val="00AD010E"/>
    <w:rsid w:val="00AD04BB"/>
    <w:rsid w:val="00AE1304"/>
    <w:rsid w:val="00AF1AA1"/>
    <w:rsid w:val="00B336E2"/>
    <w:rsid w:val="00B741F4"/>
    <w:rsid w:val="00B9262C"/>
    <w:rsid w:val="00BB6D58"/>
    <w:rsid w:val="00BD08C5"/>
    <w:rsid w:val="00BD560D"/>
    <w:rsid w:val="00BD7D13"/>
    <w:rsid w:val="00BE7D4C"/>
    <w:rsid w:val="00BF2AD0"/>
    <w:rsid w:val="00C234F3"/>
    <w:rsid w:val="00C6591F"/>
    <w:rsid w:val="00CC0F8D"/>
    <w:rsid w:val="00CC3391"/>
    <w:rsid w:val="00CD4982"/>
    <w:rsid w:val="00CE162F"/>
    <w:rsid w:val="00CE73CA"/>
    <w:rsid w:val="00D001AA"/>
    <w:rsid w:val="00D01598"/>
    <w:rsid w:val="00D44ECB"/>
    <w:rsid w:val="00D51142"/>
    <w:rsid w:val="00D87192"/>
    <w:rsid w:val="00DA523A"/>
    <w:rsid w:val="00DB104B"/>
    <w:rsid w:val="00DB2420"/>
    <w:rsid w:val="00DC2EEC"/>
    <w:rsid w:val="00DC4830"/>
    <w:rsid w:val="00DD58CF"/>
    <w:rsid w:val="00DD7DEB"/>
    <w:rsid w:val="00E10042"/>
    <w:rsid w:val="00E10BCF"/>
    <w:rsid w:val="00E11AA7"/>
    <w:rsid w:val="00E20DD6"/>
    <w:rsid w:val="00E249EA"/>
    <w:rsid w:val="00E71137"/>
    <w:rsid w:val="00E80423"/>
    <w:rsid w:val="00E85479"/>
    <w:rsid w:val="00F40987"/>
    <w:rsid w:val="00F4635B"/>
    <w:rsid w:val="00F46DA3"/>
    <w:rsid w:val="00F532C7"/>
    <w:rsid w:val="00F61958"/>
    <w:rsid w:val="00F665CD"/>
    <w:rsid w:val="00F74C29"/>
    <w:rsid w:val="00F876E6"/>
    <w:rsid w:val="00FA67A8"/>
    <w:rsid w:val="00FC5C66"/>
    <w:rsid w:val="00FC7188"/>
    <w:rsid w:val="00FD59BF"/>
    <w:rsid w:val="00FE1AFE"/>
    <w:rsid w:val="00FE6383"/>
    <w:rsid w:val="01214236"/>
    <w:rsid w:val="017868B5"/>
    <w:rsid w:val="01832591"/>
    <w:rsid w:val="018856AF"/>
    <w:rsid w:val="029F7154"/>
    <w:rsid w:val="02A1447D"/>
    <w:rsid w:val="032F6920"/>
    <w:rsid w:val="03305FFE"/>
    <w:rsid w:val="03EA0F72"/>
    <w:rsid w:val="04506958"/>
    <w:rsid w:val="045126D0"/>
    <w:rsid w:val="04A70BB9"/>
    <w:rsid w:val="04DE437D"/>
    <w:rsid w:val="05340028"/>
    <w:rsid w:val="05C70041"/>
    <w:rsid w:val="060A308F"/>
    <w:rsid w:val="060F639F"/>
    <w:rsid w:val="06652463"/>
    <w:rsid w:val="066640B1"/>
    <w:rsid w:val="0790350F"/>
    <w:rsid w:val="08B74923"/>
    <w:rsid w:val="08BB636A"/>
    <w:rsid w:val="08F8039E"/>
    <w:rsid w:val="092263E9"/>
    <w:rsid w:val="093208FE"/>
    <w:rsid w:val="0A817662"/>
    <w:rsid w:val="0A8C6210"/>
    <w:rsid w:val="0AB319EF"/>
    <w:rsid w:val="0AF65BAA"/>
    <w:rsid w:val="0B0225D9"/>
    <w:rsid w:val="0B582B93"/>
    <w:rsid w:val="0BC41804"/>
    <w:rsid w:val="0DEB37EB"/>
    <w:rsid w:val="0E3E1F17"/>
    <w:rsid w:val="101051ED"/>
    <w:rsid w:val="106D4074"/>
    <w:rsid w:val="108E2A27"/>
    <w:rsid w:val="10AE6DBE"/>
    <w:rsid w:val="114A29CE"/>
    <w:rsid w:val="11A007F3"/>
    <w:rsid w:val="13AB75EB"/>
    <w:rsid w:val="141B4B0A"/>
    <w:rsid w:val="14B42A93"/>
    <w:rsid w:val="151C4634"/>
    <w:rsid w:val="15970404"/>
    <w:rsid w:val="15E20BAE"/>
    <w:rsid w:val="17286D0C"/>
    <w:rsid w:val="179764FD"/>
    <w:rsid w:val="17BE4DAF"/>
    <w:rsid w:val="194C3802"/>
    <w:rsid w:val="19CF6119"/>
    <w:rsid w:val="1A3567DD"/>
    <w:rsid w:val="1A4D7493"/>
    <w:rsid w:val="1A5B50CB"/>
    <w:rsid w:val="1AC33221"/>
    <w:rsid w:val="1AD55213"/>
    <w:rsid w:val="1B495D2A"/>
    <w:rsid w:val="1BAD248A"/>
    <w:rsid w:val="1BDC68CC"/>
    <w:rsid w:val="1CF60774"/>
    <w:rsid w:val="1E1E2DF0"/>
    <w:rsid w:val="1E731769"/>
    <w:rsid w:val="1F3053B8"/>
    <w:rsid w:val="20717F2A"/>
    <w:rsid w:val="21160150"/>
    <w:rsid w:val="223E5BEA"/>
    <w:rsid w:val="22643B2A"/>
    <w:rsid w:val="22884B9B"/>
    <w:rsid w:val="2299657C"/>
    <w:rsid w:val="247578BD"/>
    <w:rsid w:val="24A94139"/>
    <w:rsid w:val="24D35EFE"/>
    <w:rsid w:val="25C042C4"/>
    <w:rsid w:val="261F179D"/>
    <w:rsid w:val="26773DC1"/>
    <w:rsid w:val="27C56BA3"/>
    <w:rsid w:val="28093045"/>
    <w:rsid w:val="28D70B46"/>
    <w:rsid w:val="292A336C"/>
    <w:rsid w:val="298962E5"/>
    <w:rsid w:val="29961AB0"/>
    <w:rsid w:val="29B10281"/>
    <w:rsid w:val="29EB3B8F"/>
    <w:rsid w:val="2A8668B4"/>
    <w:rsid w:val="2AD40F00"/>
    <w:rsid w:val="2BAF1907"/>
    <w:rsid w:val="2BD90527"/>
    <w:rsid w:val="2BE94E19"/>
    <w:rsid w:val="2C0B2FE1"/>
    <w:rsid w:val="2D1934DC"/>
    <w:rsid w:val="2DA73BC9"/>
    <w:rsid w:val="2DD6587E"/>
    <w:rsid w:val="2E01126B"/>
    <w:rsid w:val="2E46510F"/>
    <w:rsid w:val="2ED93186"/>
    <w:rsid w:val="2F032695"/>
    <w:rsid w:val="2F4260D0"/>
    <w:rsid w:val="2FEF6701"/>
    <w:rsid w:val="302E54F0"/>
    <w:rsid w:val="30333103"/>
    <w:rsid w:val="317C228B"/>
    <w:rsid w:val="32070D49"/>
    <w:rsid w:val="32617BCD"/>
    <w:rsid w:val="32736AB8"/>
    <w:rsid w:val="342A2472"/>
    <w:rsid w:val="347418D4"/>
    <w:rsid w:val="35644951"/>
    <w:rsid w:val="360B02FF"/>
    <w:rsid w:val="36C10BB7"/>
    <w:rsid w:val="36DC6C68"/>
    <w:rsid w:val="37022674"/>
    <w:rsid w:val="373830F8"/>
    <w:rsid w:val="38713FD9"/>
    <w:rsid w:val="38743CBC"/>
    <w:rsid w:val="3976413E"/>
    <w:rsid w:val="3A3468B1"/>
    <w:rsid w:val="3A592270"/>
    <w:rsid w:val="3A896735"/>
    <w:rsid w:val="3B3F1AA5"/>
    <w:rsid w:val="3BA819AA"/>
    <w:rsid w:val="3BE84F25"/>
    <w:rsid w:val="3C5E4578"/>
    <w:rsid w:val="3D22462E"/>
    <w:rsid w:val="3D8B21D4"/>
    <w:rsid w:val="3DB334D8"/>
    <w:rsid w:val="3DB71F08"/>
    <w:rsid w:val="3DFB283E"/>
    <w:rsid w:val="3E10318A"/>
    <w:rsid w:val="3E3348BA"/>
    <w:rsid w:val="3EE53B65"/>
    <w:rsid w:val="3F454604"/>
    <w:rsid w:val="41526B64"/>
    <w:rsid w:val="418331C2"/>
    <w:rsid w:val="41BE5866"/>
    <w:rsid w:val="41C2398B"/>
    <w:rsid w:val="41D1217F"/>
    <w:rsid w:val="428E2D6F"/>
    <w:rsid w:val="43071F86"/>
    <w:rsid w:val="43D321DE"/>
    <w:rsid w:val="452669A6"/>
    <w:rsid w:val="46A81416"/>
    <w:rsid w:val="4700173E"/>
    <w:rsid w:val="476024E2"/>
    <w:rsid w:val="47D430B3"/>
    <w:rsid w:val="483E2513"/>
    <w:rsid w:val="488C6E00"/>
    <w:rsid w:val="4A02381D"/>
    <w:rsid w:val="4ABA40F8"/>
    <w:rsid w:val="4B4C343E"/>
    <w:rsid w:val="4C561BFF"/>
    <w:rsid w:val="4C577725"/>
    <w:rsid w:val="4CBB5F06"/>
    <w:rsid w:val="4CBC5798"/>
    <w:rsid w:val="4D0478AD"/>
    <w:rsid w:val="4D1A7B0D"/>
    <w:rsid w:val="4E326C84"/>
    <w:rsid w:val="4E520210"/>
    <w:rsid w:val="4E787F99"/>
    <w:rsid w:val="4EFE032C"/>
    <w:rsid w:val="4FDE1EEA"/>
    <w:rsid w:val="509E3B74"/>
    <w:rsid w:val="50F508CA"/>
    <w:rsid w:val="51D35A9F"/>
    <w:rsid w:val="51E918CF"/>
    <w:rsid w:val="52B458D1"/>
    <w:rsid w:val="532760A3"/>
    <w:rsid w:val="53B611D5"/>
    <w:rsid w:val="54BA402F"/>
    <w:rsid w:val="54F25B03"/>
    <w:rsid w:val="5511700B"/>
    <w:rsid w:val="55701CD9"/>
    <w:rsid w:val="56061EBA"/>
    <w:rsid w:val="56A30136"/>
    <w:rsid w:val="5961765F"/>
    <w:rsid w:val="59AF2BA5"/>
    <w:rsid w:val="5A56726E"/>
    <w:rsid w:val="5CA23B87"/>
    <w:rsid w:val="5D214166"/>
    <w:rsid w:val="5E1360BA"/>
    <w:rsid w:val="6066019C"/>
    <w:rsid w:val="60CA5C5B"/>
    <w:rsid w:val="61371BA7"/>
    <w:rsid w:val="61BD594B"/>
    <w:rsid w:val="61EB3214"/>
    <w:rsid w:val="63CF4045"/>
    <w:rsid w:val="63F665E2"/>
    <w:rsid w:val="64721148"/>
    <w:rsid w:val="64C32220"/>
    <w:rsid w:val="65B926B0"/>
    <w:rsid w:val="66291A75"/>
    <w:rsid w:val="66F64CB2"/>
    <w:rsid w:val="67D0597C"/>
    <w:rsid w:val="67E564E7"/>
    <w:rsid w:val="67E9663F"/>
    <w:rsid w:val="68867589"/>
    <w:rsid w:val="69C354F4"/>
    <w:rsid w:val="6A1A3E14"/>
    <w:rsid w:val="6A2429B1"/>
    <w:rsid w:val="6AC01691"/>
    <w:rsid w:val="6B2947D1"/>
    <w:rsid w:val="6C1D7DFE"/>
    <w:rsid w:val="6C6D0B73"/>
    <w:rsid w:val="6C702411"/>
    <w:rsid w:val="6C9E1130"/>
    <w:rsid w:val="6D65184A"/>
    <w:rsid w:val="6DC538B9"/>
    <w:rsid w:val="6E6C3E5F"/>
    <w:rsid w:val="6E7D0E15"/>
    <w:rsid w:val="6E8A25BC"/>
    <w:rsid w:val="6F39380E"/>
    <w:rsid w:val="6F6F5442"/>
    <w:rsid w:val="70C0732B"/>
    <w:rsid w:val="711E068D"/>
    <w:rsid w:val="71CE53FC"/>
    <w:rsid w:val="735D31EB"/>
    <w:rsid w:val="74736F42"/>
    <w:rsid w:val="74E51BC9"/>
    <w:rsid w:val="75531083"/>
    <w:rsid w:val="75795EB8"/>
    <w:rsid w:val="75BB0D44"/>
    <w:rsid w:val="76D17F2E"/>
    <w:rsid w:val="77055629"/>
    <w:rsid w:val="77CE623E"/>
    <w:rsid w:val="77D226FA"/>
    <w:rsid w:val="78A551F0"/>
    <w:rsid w:val="78DF07DD"/>
    <w:rsid w:val="78EE574A"/>
    <w:rsid w:val="793B41E9"/>
    <w:rsid w:val="798C7FDD"/>
    <w:rsid w:val="7D975515"/>
    <w:rsid w:val="7E835FD4"/>
    <w:rsid w:val="7F2B084F"/>
    <w:rsid w:val="7FA3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Lines="50" w:afterLines="50" w:line="360" w:lineRule="auto"/>
      <w:outlineLvl w:val="0"/>
    </w:pPr>
    <w:rPr>
      <w:b/>
      <w:kern w:val="44"/>
      <w:sz w:val="24"/>
    </w:rPr>
  </w:style>
  <w:style w:type="paragraph" w:styleId="3">
    <w:name w:val="heading 2"/>
    <w:basedOn w:val="1"/>
    <w:next w:val="1"/>
    <w:unhideWhenUsed/>
    <w:qFormat/>
    <w:uiPriority w:val="9"/>
    <w:pPr>
      <w:spacing w:before="50" w:beforeLines="50" w:after="50" w:afterLines="50" w:line="360" w:lineRule="auto"/>
      <w:ind w:firstLine="480" w:firstLineChars="200"/>
      <w:outlineLvl w:val="1"/>
    </w:pPr>
    <w:rPr>
      <w:rFonts w:ascii="宋体" w:hAnsi="宋体"/>
      <w:b/>
      <w:sz w:val="24"/>
    </w:rPr>
  </w:style>
  <w:style w:type="paragraph" w:styleId="4">
    <w:name w:val="heading 3"/>
    <w:basedOn w:val="1"/>
    <w:next w:val="1"/>
    <w:unhideWhenUsed/>
    <w:qFormat/>
    <w:uiPriority w:val="9"/>
    <w:pPr>
      <w:spacing w:before="50" w:beforeLines="50" w:after="50" w:afterLines="50" w:line="360" w:lineRule="auto"/>
      <w:ind w:firstLine="480" w:firstLineChars="200"/>
      <w:outlineLvl w:val="2"/>
    </w:pPr>
    <w:rPr>
      <w:rFonts w:ascii="宋体" w:hAnsi="宋体"/>
      <w:b/>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qFormat/>
    <w:uiPriority w:val="0"/>
    <w:pPr>
      <w:spacing w:before="50" w:beforeLines="50" w:line="360" w:lineRule="auto"/>
      <w:ind w:firstLine="200" w:firstLineChars="200"/>
      <w:jc w:val="both"/>
    </w:pPr>
    <w:rPr>
      <w:rFonts w:ascii="Times New Roman" w:hAnsi="Times New Roman" w:eastAsia="宋体" w:cs="Times New Roman"/>
      <w:kern w:val="2"/>
      <w:sz w:val="24"/>
      <w:szCs w:val="23"/>
      <w:lang w:val="en-US" w:eastAsia="zh-CN" w:bidi="ar-SA"/>
    </w:rPr>
  </w:style>
  <w:style w:type="paragraph" w:styleId="6">
    <w:name w:val="annotation text"/>
    <w:basedOn w:val="1"/>
    <w:semiHidden/>
    <w:unhideWhenUsed/>
    <w:qFormat/>
    <w:uiPriority w:val="99"/>
    <w:pPr>
      <w:jc w:val="left"/>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Hyperlink"/>
    <w:basedOn w:val="13"/>
    <w:semiHidden/>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页脚 字符"/>
    <w:link w:val="7"/>
    <w:qFormat/>
    <w:uiPriority w:val="99"/>
    <w:rPr>
      <w:sz w:val="18"/>
      <w:szCs w:val="18"/>
    </w:rPr>
  </w:style>
  <w:style w:type="character" w:customStyle="1" w:styleId="18">
    <w:name w:val="页眉 字符"/>
    <w:link w:val="8"/>
    <w:semiHidden/>
    <w:qFormat/>
    <w:uiPriority w:val="99"/>
    <w:rPr>
      <w:sz w:val="18"/>
      <w:szCs w:val="18"/>
    </w:rPr>
  </w:style>
  <w:style w:type="character" w:customStyle="1" w:styleId="19">
    <w:name w:val="HTML 预设格式 字符"/>
    <w:link w:val="9"/>
    <w:qFormat/>
    <w:uiPriority w:val="99"/>
    <w:rPr>
      <w:rFonts w:ascii="宋体" w:hAnsi="宋体" w:cs="宋体"/>
      <w:sz w:val="24"/>
      <w:szCs w:val="24"/>
    </w:rPr>
  </w:style>
  <w:style w:type="table" w:customStyle="1" w:styleId="20">
    <w:name w:val="网格型1"/>
    <w:basedOn w:val="1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1">
    <w:name w:val="fontstyle01"/>
    <w:qFormat/>
    <w:uiPriority w:val="0"/>
    <w:rPr>
      <w:rFonts w:hint="eastAsia" w:ascii="宋体" w:hAnsi="宋体" w:eastAsia="宋体"/>
      <w:color w:val="000000"/>
      <w:sz w:val="24"/>
      <w:szCs w:val="24"/>
    </w:rPr>
  </w:style>
  <w:style w:type="paragraph" w:customStyle="1" w:styleId="22">
    <w:name w:val="修订1"/>
    <w:hidden/>
    <w:unhideWhenUsed/>
    <w:qFormat/>
    <w:uiPriority w:val="99"/>
    <w:rPr>
      <w:rFonts w:ascii="Calibri" w:hAnsi="Calibri" w:eastAsia="宋体" w:cs="Times New Roman"/>
      <w:kern w:val="2"/>
      <w:sz w:val="21"/>
      <w:szCs w:val="22"/>
      <w:lang w:val="en-US" w:eastAsia="zh-CN" w:bidi="ar-SA"/>
    </w:rPr>
  </w:style>
  <w:style w:type="paragraph" w:styleId="23">
    <w:name w:val="List Paragraph"/>
    <w:basedOn w:val="1"/>
    <w:qFormat/>
    <w:uiPriority w:val="34"/>
    <w:pPr>
      <w:ind w:firstLine="420" w:firstLineChars="200"/>
    </w:pPr>
  </w:style>
  <w:style w:type="paragraph" w:customStyle="1" w:styleId="24">
    <w:name w:val="修订2"/>
    <w:hidden/>
    <w:unhideWhenUsed/>
    <w:qFormat/>
    <w:uiPriority w:val="99"/>
    <w:rPr>
      <w:rFonts w:ascii="Calibri" w:hAnsi="Calibri" w:eastAsia="宋体" w:cs="Times New Roman"/>
      <w:kern w:val="2"/>
      <w:sz w:val="21"/>
      <w:szCs w:val="22"/>
      <w:lang w:val="en-US" w:eastAsia="zh-CN" w:bidi="ar-SA"/>
    </w:rPr>
  </w:style>
  <w:style w:type="paragraph" w:customStyle="1" w:styleId="25">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12</Pages>
  <Words>8314</Words>
  <Characters>9262</Characters>
  <Lines>68</Lines>
  <Paragraphs>19</Paragraphs>
  <TotalTime>9</TotalTime>
  <ScaleCrop>false</ScaleCrop>
  <LinksUpToDate>false</LinksUpToDate>
  <CharactersWithSpaces>9308</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2014-02-19T09:25:00Z</dcterms:created>
  <dc:creator>王琴</dc:creator>
  <cp:lastModifiedBy>cdq</cp:lastModifiedBy>
  <cp:lastPrinted>2025-08-25T05:55:00Z</cp:lastPrinted>
  <dcterms:modified xsi:type="dcterms:W3CDTF">2025-09-01T09:12:27Z</dcterms:modified>
  <dc:title>证券代码:300436      证券简称：广生堂     公告编号：20170</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3635107A10AD48BB897AF5A23B68ED87_13</vt:lpwstr>
  </property>
  <property fmtid="{D5CDD505-2E9C-101B-9397-08002B2CF9AE}" pid="4" name="KSOTemplateDocerSaveRecord">
    <vt:lpwstr>eyJoZGlkIjoiY2Q4MDAzNjNiM2EwYjNjY2VkN2I2ZWY4OTg5YTA1ZWYiLCJ1c2VySWQiOiIxMzk5OTUwMzQxIn0=</vt:lpwstr>
  </property>
</Properties>
</file>