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83657">
      <w:pPr>
        <w:spacing w:line="360" w:lineRule="auto"/>
        <w:rPr>
          <w:rFonts w:hint="default" w:ascii="宋体" w:hAnsi="宋体" w:eastAsia="宋体" w:cs="宋体"/>
          <w:kern w:val="0"/>
          <w:sz w:val="24"/>
          <w:szCs w:val="24"/>
          <w:lang w:val="en-US" w:eastAsia="zh-CN"/>
        </w:rPr>
      </w:pPr>
      <w:r>
        <w:rPr>
          <w:rFonts w:hint="eastAsia" w:ascii="宋体" w:hAnsi="宋体" w:cs="宋体"/>
          <w:kern w:val="0"/>
          <w:sz w:val="24"/>
          <w:szCs w:val="24"/>
        </w:rPr>
        <w:t>证券代码：300436        证券简称：广生堂      公告编号：2025</w:t>
      </w:r>
      <w:r>
        <w:rPr>
          <w:rFonts w:hint="eastAsia" w:ascii="宋体" w:hAnsi="宋体" w:cs="宋体"/>
          <w:kern w:val="0"/>
          <w:sz w:val="24"/>
          <w:szCs w:val="24"/>
          <w:lang w:val="en-US" w:eastAsia="zh-CN"/>
        </w:rPr>
        <w:t>059</w:t>
      </w:r>
    </w:p>
    <w:p w14:paraId="0BD965E0">
      <w:pPr>
        <w:spacing w:before="156" w:beforeLines="50"/>
        <w:jc w:val="center"/>
        <w:rPr>
          <w:rFonts w:hint="eastAsia" w:ascii="宋体" w:hAnsi="宋体" w:cs="宋体"/>
          <w:b/>
          <w:kern w:val="0"/>
          <w:sz w:val="32"/>
          <w:szCs w:val="32"/>
        </w:rPr>
      </w:pPr>
      <w:r>
        <w:rPr>
          <w:rFonts w:hint="eastAsia" w:ascii="宋体" w:hAnsi="宋体" w:cs="宋体"/>
          <w:b/>
          <w:kern w:val="0"/>
          <w:sz w:val="32"/>
          <w:szCs w:val="32"/>
        </w:rPr>
        <w:t>福建广生堂药业股份有限公司</w:t>
      </w:r>
    </w:p>
    <w:p w14:paraId="2E25F3AE">
      <w:pPr>
        <w:jc w:val="center"/>
        <w:rPr>
          <w:rFonts w:hint="eastAsia" w:ascii="宋体" w:hAnsi="宋体" w:cs="宋体"/>
          <w:b/>
          <w:sz w:val="32"/>
          <w:szCs w:val="32"/>
        </w:rPr>
      </w:pPr>
      <w:r>
        <w:rPr>
          <w:rFonts w:hint="eastAsia" w:ascii="宋体" w:hAnsi="宋体" w:cs="宋体"/>
          <w:b/>
          <w:sz w:val="32"/>
          <w:szCs w:val="32"/>
        </w:rPr>
        <w:t>关于签署投资意向书的公告</w:t>
      </w:r>
    </w:p>
    <w:p w14:paraId="0102219F">
      <w:pPr>
        <w:jc w:val="center"/>
        <w:rPr>
          <w:rFonts w:hint="eastAsia" w:ascii="宋体" w:hAnsi="宋体" w:cs="宋体"/>
          <w:b/>
          <w:sz w:val="24"/>
          <w:szCs w:val="24"/>
        </w:rPr>
      </w:pPr>
    </w:p>
    <w:tbl>
      <w:tblPr>
        <w:tblStyle w:val="11"/>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8522"/>
      </w:tblGrid>
      <w:tr w14:paraId="600642F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457" w:hRule="atLeast"/>
        </w:trPr>
        <w:tc>
          <w:tcPr>
            <w:tcW w:w="8522" w:type="dxa"/>
            <w:vAlign w:val="center"/>
          </w:tcPr>
          <w:p w14:paraId="49D08835">
            <w:pPr>
              <w:widowControl/>
              <w:ind w:firstLine="600" w:firstLineChars="200"/>
              <w:rPr>
                <w:rFonts w:hint="eastAsia" w:ascii="宋体" w:hAnsi="宋体" w:cs="宋体"/>
                <w:b/>
                <w:sz w:val="30"/>
                <w:szCs w:val="30"/>
              </w:rPr>
            </w:pPr>
            <w:r>
              <w:rPr>
                <w:rFonts w:hint="eastAsia" w:ascii="宋体" w:hAnsi="宋体" w:cs="宋体"/>
                <w:kern w:val="0"/>
                <w:sz w:val="30"/>
                <w:szCs w:val="30"/>
              </w:rPr>
              <w:t>本公司及董事会全体成员保证信息披露的内容真实、准确、完整，没有虚假记载、误导性陈述或重大遗漏。</w:t>
            </w:r>
          </w:p>
        </w:tc>
      </w:tr>
    </w:tbl>
    <w:p w14:paraId="6B44616F">
      <w:pPr>
        <w:adjustRightInd w:val="0"/>
        <w:snapToGrid w:val="0"/>
        <w:spacing w:line="360" w:lineRule="auto"/>
        <w:ind w:firstLine="480" w:firstLineChars="200"/>
        <w:rPr>
          <w:rFonts w:hint="eastAsia" w:ascii="宋体" w:hAnsi="宋体" w:cs="宋体"/>
          <w:sz w:val="24"/>
          <w:szCs w:val="24"/>
        </w:rPr>
      </w:pPr>
    </w:p>
    <w:p w14:paraId="395ADFC1">
      <w:pPr>
        <w:adjustRightInd w:val="0"/>
        <w:snapToGrid w:val="0"/>
        <w:spacing w:line="360" w:lineRule="auto"/>
        <w:ind w:firstLine="482" w:firstLineChars="200"/>
        <w:rPr>
          <w:rFonts w:hint="eastAsia" w:ascii="宋体" w:hAnsi="宋体" w:cs="宋体"/>
          <w:sz w:val="24"/>
          <w:szCs w:val="24"/>
        </w:rPr>
      </w:pPr>
      <w:r>
        <w:rPr>
          <w:rFonts w:hint="eastAsia" w:ascii="宋体" w:hAnsi="宋体" w:cs="宋体"/>
          <w:b/>
          <w:bCs/>
          <w:sz w:val="24"/>
          <w:szCs w:val="24"/>
        </w:rPr>
        <w:t>特别提示：</w:t>
      </w:r>
    </w:p>
    <w:p w14:paraId="2FD07A5E">
      <w:pPr>
        <w:adjustRightInd w:val="0"/>
        <w:snapToGrid w:val="0"/>
        <w:spacing w:line="360" w:lineRule="auto"/>
        <w:ind w:firstLine="480" w:firstLineChars="20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1、本次签署的投资意向书系各方就本次交易达成的初步意向，属于各方基于合作意愿和基本合作原则、方向签署的意向性约定，最终交易协议仍需由交易各方进一步商谈并另行签订协议确定，能否达成最终交易存在不确定性，请广大投资者注意投资风险。</w:t>
      </w:r>
    </w:p>
    <w:p w14:paraId="2C8F9B21">
      <w:pPr>
        <w:adjustRightInd w:val="0"/>
        <w:snapToGrid w:val="0"/>
        <w:spacing w:line="360" w:lineRule="auto"/>
        <w:ind w:firstLine="480" w:firstLineChars="20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2、 根据《深圳证券交易所创业板股票上市规则》《深圳证券交易所上市公司自律监管指引第2号——创业板上市公司规范运作》等相关规定，本次交易预计不构成关联交易，也不构成《上市公司重大资产重组管理办法》规定的重大资产重组。</w:t>
      </w:r>
    </w:p>
    <w:p w14:paraId="65444397">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公司将根据交易事项后续进展情况，按照《中华人民共和国公司法》《深圳证券交易所股票上市规则》等有关法律、法规、规范性文件及《公司章程》的相关规定，及时履行相应决策审批程序和信息披露义务。</w:t>
      </w:r>
    </w:p>
    <w:p w14:paraId="7A55032A">
      <w:pPr>
        <w:pStyle w:val="2"/>
        <w:spacing w:before="156" w:after="156"/>
        <w:ind w:firstLine="482" w:firstLineChars="200"/>
      </w:pPr>
      <w:r>
        <w:rPr>
          <w:rFonts w:hint="eastAsia"/>
        </w:rPr>
        <w:t>一、交易概述</w:t>
      </w:r>
    </w:p>
    <w:p w14:paraId="4081DA20">
      <w:pPr>
        <w:adjustRightInd w:val="0"/>
        <w:snapToGrid w:val="0"/>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为进一步扩充营运资金，保障创新药研发投入，加快推动在研创新药研发进程，福建广生堂药业股份有限公司（以下简称“公司”）创新药控股子公司福建广生中霖生物科技有限公司（以下简称“广生中霖”）于2025年8月21日与华欣石恒科技创业投资基金（青岛）合伙企业（有限合伙）（以下简称“华欣创投”）及济南汇扬投资合伙企业（有限合伙）（以下简称“汇扬投资”）签署《投资意向书》，华欣创投、汇扬投资或其指定方以及其与</w:t>
      </w:r>
      <w:r>
        <w:rPr>
          <w:rFonts w:hint="eastAsia" w:ascii="宋体" w:hAnsi="宋体" w:cs="宋体"/>
          <w:sz w:val="24"/>
          <w:szCs w:val="24"/>
          <w:lang w:val="en-US" w:eastAsia="zh-CN"/>
        </w:rPr>
        <w:t>广生中霖</w:t>
      </w:r>
      <w:r>
        <w:rPr>
          <w:rFonts w:hint="eastAsia" w:ascii="宋体" w:hAnsi="宋体" w:cs="宋体"/>
          <w:sz w:val="24"/>
          <w:szCs w:val="24"/>
        </w:rPr>
        <w:t>共同</w:t>
      </w:r>
      <w:bookmarkStart w:id="1" w:name="_GoBack"/>
      <w:bookmarkEnd w:id="1"/>
      <w:r>
        <w:rPr>
          <w:rFonts w:hint="eastAsia" w:ascii="宋体" w:hAnsi="宋体" w:cs="宋体"/>
          <w:sz w:val="24"/>
          <w:szCs w:val="24"/>
        </w:rPr>
        <w:t>认可的跟投方拟按广生中霖本次投资的投前估值不低于人民币25亿元，以不超过2亿人民币现金认购广生中霖新增注册资本。本次交易完成后，广生中霖仍为公司控股子公司，不会导致公司合并报表范围发生变更。</w:t>
      </w:r>
    </w:p>
    <w:p w14:paraId="607C422A">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根据《深圳证券交易所创业板股票上市规则》《深圳证券交易所上市公司自律监管指引第2号——创业板上市公司规范运作》等相关规定，本次交易预计不构成关联交易，也不构成《上市公司重大资产重组管理办法》规定的重大资产重组。公司将根据后续实际进展情况，按照规定履行相应决策程序及信息披露义务。</w:t>
      </w:r>
    </w:p>
    <w:p w14:paraId="528AABD5">
      <w:pPr>
        <w:pStyle w:val="2"/>
        <w:spacing w:before="156" w:after="156"/>
        <w:ind w:firstLine="482" w:firstLineChars="200"/>
      </w:pPr>
      <w:r>
        <w:rPr>
          <w:rFonts w:hint="eastAsia"/>
        </w:rPr>
        <w:t>二、交易对方基本情况</w:t>
      </w:r>
    </w:p>
    <w:p w14:paraId="42F7C7A1">
      <w:pPr>
        <w:pStyle w:val="4"/>
        <w:spacing w:before="156" w:after="156"/>
        <w:ind w:firstLine="482"/>
        <w:rPr>
          <w:rFonts w:hint="eastAsia"/>
        </w:rPr>
      </w:pPr>
      <w:r>
        <w:rPr>
          <w:rFonts w:hint="eastAsia"/>
        </w:rPr>
        <w:t>（一）</w:t>
      </w:r>
      <w:r>
        <w:t>华欣石恒科技创业投资基金（青岛）合伙企业（有限合伙）</w:t>
      </w:r>
    </w:p>
    <w:p w14:paraId="36B24EEB">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华欣石恒科技创业投资基金（青岛）合伙企业（有限合伙）成立于2025年3月，地址：山东省青岛市市</w:t>
      </w:r>
      <w:r>
        <w:rPr>
          <w:rFonts w:hint="eastAsia" w:ascii="宋体" w:hAnsi="宋体" w:cs="宋体"/>
          <w:color w:val="000000"/>
          <w:sz w:val="24"/>
          <w:szCs w:val="24"/>
          <w:shd w:val="clear" w:color="auto" w:fill="FFFFFF"/>
        </w:rPr>
        <w:t>南区四川路52号-19-5</w:t>
      </w:r>
      <w:r>
        <w:rPr>
          <w:rFonts w:hint="eastAsia" w:ascii="宋体" w:hAnsi="宋体" w:cs="宋体"/>
          <w:sz w:val="24"/>
          <w:szCs w:val="24"/>
        </w:rPr>
        <w:t>号，经营范围：一般项目：以私募基金从事股权投资、投资管理、资产管理等活动（须在中国证券投资基金业协会完成登记备案后方可从事经营活动）。</w:t>
      </w:r>
    </w:p>
    <w:p w14:paraId="718A68A2">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华欣创投与公司及公司控股股东在产权、业务、资产、债权债务、人员等方面均无关系，亦不存在其他可能或已经造成公司对其利益倾斜的其他关系。</w:t>
      </w:r>
    </w:p>
    <w:p w14:paraId="65DCF1D4">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根据《深圳证券交易所创业板股票上市规则》等相关规定，华欣创投与公司不存在关联关系。经查询中国执行信息公开网，华欣创投不是失信被执行人。</w:t>
      </w:r>
    </w:p>
    <w:p w14:paraId="37C38939">
      <w:pPr>
        <w:pStyle w:val="4"/>
        <w:spacing w:before="156" w:after="156"/>
        <w:ind w:firstLine="482"/>
        <w:rPr>
          <w:rFonts w:hint="eastAsia"/>
        </w:rPr>
      </w:pPr>
      <w:r>
        <w:rPr>
          <w:rFonts w:hint="eastAsia"/>
        </w:rPr>
        <w:t>（二）</w:t>
      </w:r>
      <w:r>
        <w:t>济南汇扬投资合伙企业（有限合伙）</w:t>
      </w:r>
    </w:p>
    <w:p w14:paraId="50083663">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济南汇扬投资合伙企业（有限合伙）成立于2024年12月，地址：山东省济南市高新区舜华路街道经十路7000号汉峪金融商务中心五区，经营范围：一般项目：以自有资金从事投资活动；融资咨询服务。</w:t>
      </w:r>
    </w:p>
    <w:p w14:paraId="6DF70710">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汇扬投资与公司及公司控股股东在产权、业务、资产、债权债务、人员等方面均无关系，亦不存在其他可能或已经造成公司对其利益倾斜的其他关系。</w:t>
      </w:r>
    </w:p>
    <w:p w14:paraId="38D6D3A5">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根据《深圳证券交易所创业板股票上市规则》等相关规定，汇扬投资与公司不存在关联关系。经查询中国执行信息公开网，汇扬投资不是失信被执行人。</w:t>
      </w:r>
    </w:p>
    <w:p w14:paraId="12E76B83">
      <w:pPr>
        <w:pStyle w:val="2"/>
        <w:spacing w:before="156" w:after="156"/>
        <w:ind w:firstLine="482" w:firstLineChars="200"/>
      </w:pPr>
      <w:r>
        <w:rPr>
          <w:rFonts w:hint="eastAsia"/>
        </w:rPr>
        <w:t>三、交易标的基本情况</w:t>
      </w:r>
    </w:p>
    <w:p w14:paraId="531446B9">
      <w:pPr>
        <w:pStyle w:val="4"/>
        <w:spacing w:before="0" w:beforeLines="0" w:after="0" w:afterLines="0"/>
        <w:ind w:firstLine="482"/>
        <w:rPr>
          <w:rFonts w:hint="eastAsia"/>
        </w:rPr>
      </w:pPr>
      <w:r>
        <w:rPr>
          <w:rFonts w:hint="eastAsia"/>
        </w:rPr>
        <w:t>（一）基本信息</w:t>
      </w:r>
    </w:p>
    <w:p w14:paraId="4BEA01A5">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color w:val="000000"/>
          <w:sz w:val="24"/>
          <w:szCs w:val="24"/>
          <w:shd w:val="clear" w:color="auto" w:fill="FFFFFF"/>
        </w:rPr>
        <w:t>1、</w:t>
      </w:r>
      <w:r>
        <w:rPr>
          <w:rFonts w:hint="eastAsia" w:ascii="宋体" w:hAnsi="宋体" w:cs="宋体"/>
          <w:sz w:val="24"/>
          <w:szCs w:val="24"/>
        </w:rPr>
        <w:t>企业名称：福建广生中霖生物科技有限公司</w:t>
      </w:r>
    </w:p>
    <w:p w14:paraId="6B4DF9FF">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color w:val="000000"/>
          <w:sz w:val="24"/>
          <w:szCs w:val="24"/>
          <w:shd w:val="clear" w:color="auto" w:fill="FFFFFF"/>
        </w:rPr>
        <w:t>2、</w:t>
      </w:r>
      <w:r>
        <w:rPr>
          <w:rFonts w:hint="eastAsia" w:ascii="宋体" w:hAnsi="宋体" w:cs="宋体"/>
          <w:sz w:val="24"/>
          <w:szCs w:val="24"/>
        </w:rPr>
        <w:t>统一社会信用代码：91350926MA8UA4FT7T</w:t>
      </w:r>
    </w:p>
    <w:p w14:paraId="297C8A6C">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color w:val="000000"/>
          <w:sz w:val="24"/>
          <w:szCs w:val="24"/>
          <w:shd w:val="clear" w:color="auto" w:fill="FFFFFF"/>
        </w:rPr>
        <w:t>3、</w:t>
      </w:r>
      <w:r>
        <w:rPr>
          <w:rFonts w:hint="eastAsia" w:ascii="宋体" w:hAnsi="宋体" w:cs="宋体"/>
          <w:sz w:val="24"/>
          <w:szCs w:val="24"/>
        </w:rPr>
        <w:t>法定代表人：KE HU</w:t>
      </w:r>
    </w:p>
    <w:p w14:paraId="29D72289">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color w:val="000000"/>
          <w:sz w:val="24"/>
          <w:szCs w:val="24"/>
          <w:shd w:val="clear" w:color="auto" w:fill="FFFFFF"/>
        </w:rPr>
        <w:t>4、</w:t>
      </w:r>
      <w:r>
        <w:rPr>
          <w:rFonts w:hint="eastAsia" w:ascii="宋体" w:hAnsi="宋体" w:cs="宋体"/>
          <w:sz w:val="24"/>
          <w:szCs w:val="24"/>
        </w:rPr>
        <w:t>企业类型：其他有限责任公司</w:t>
      </w:r>
    </w:p>
    <w:p w14:paraId="3D549851">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color w:val="000000"/>
          <w:sz w:val="24"/>
          <w:szCs w:val="24"/>
          <w:shd w:val="clear" w:color="auto" w:fill="FFFFFF"/>
        </w:rPr>
        <w:t>5、</w:t>
      </w:r>
      <w:r>
        <w:rPr>
          <w:rFonts w:hint="eastAsia" w:ascii="宋体" w:hAnsi="宋体" w:cs="宋体"/>
          <w:sz w:val="24"/>
          <w:szCs w:val="24"/>
        </w:rPr>
        <w:t>成立日期：2021年11月22日</w:t>
      </w:r>
    </w:p>
    <w:p w14:paraId="71643E41">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color w:val="000000"/>
          <w:sz w:val="24"/>
          <w:szCs w:val="24"/>
          <w:shd w:val="clear" w:color="auto" w:fill="FFFFFF"/>
        </w:rPr>
        <w:t>6、</w:t>
      </w:r>
      <w:r>
        <w:rPr>
          <w:rFonts w:hint="eastAsia" w:ascii="宋体" w:hAnsi="宋体" w:cs="宋体"/>
          <w:sz w:val="24"/>
          <w:szCs w:val="24"/>
        </w:rPr>
        <w:t xml:space="preserve">注册资本：38850万元 </w:t>
      </w:r>
    </w:p>
    <w:p w14:paraId="2DB533DB">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color w:val="000000"/>
          <w:sz w:val="24"/>
          <w:szCs w:val="24"/>
          <w:shd w:val="clear" w:color="auto" w:fill="FFFFFF"/>
        </w:rPr>
        <w:t>7、</w:t>
      </w:r>
      <w:r>
        <w:rPr>
          <w:rFonts w:hint="eastAsia" w:ascii="宋体" w:hAnsi="宋体" w:cs="宋体"/>
          <w:sz w:val="24"/>
          <w:szCs w:val="24"/>
        </w:rPr>
        <w:t>注册地址：福建省宁德市柘荣县富源工业园区1-7幢综合办公楼2层</w:t>
      </w:r>
    </w:p>
    <w:p w14:paraId="1B93364C">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color w:val="000000"/>
          <w:sz w:val="24"/>
          <w:szCs w:val="24"/>
          <w:shd w:val="clear" w:color="auto" w:fill="FFFFFF"/>
        </w:rPr>
        <w:t>8、</w:t>
      </w:r>
      <w:r>
        <w:rPr>
          <w:rFonts w:hint="eastAsia" w:ascii="宋体" w:hAnsi="宋体" w:cs="宋体"/>
          <w:sz w:val="24"/>
          <w:szCs w:val="24"/>
        </w:rPr>
        <w:t>经营范围：一般项目：医学研究和试验发展；以自有资金从事投资活动；保健食品（预包装）销售；技术服务、技术开发、技术咨询、技术交流、技术转让、技术推广；技术进出口（除依法须经批准的项目外，凭营业执照依法自主开展经营活动）许可项目：药品生产；药品批发；药品零售；药品进出口；药品互联网信息服务（依法须经批准的项目，经相关部门批准后方可开展经营活动，具体经营项目以相关部门批准文件或许可证件为准）</w:t>
      </w:r>
    </w:p>
    <w:p w14:paraId="7996BE00">
      <w:pPr>
        <w:pStyle w:val="4"/>
        <w:spacing w:before="156" w:after="156"/>
        <w:ind w:firstLine="482"/>
        <w:rPr>
          <w:rFonts w:hint="eastAsia"/>
        </w:rPr>
      </w:pPr>
      <w:r>
        <w:rPr>
          <w:rFonts w:hint="eastAsia"/>
        </w:rPr>
        <w:t>（二）最近一年及一期的主要财务数据</w:t>
      </w:r>
    </w:p>
    <w:tbl>
      <w:tblPr>
        <w:tblStyle w:val="11"/>
        <w:tblW w:w="8360" w:type="dxa"/>
        <w:jc w:val="center"/>
        <w:tblLayout w:type="fixed"/>
        <w:tblCellMar>
          <w:top w:w="0" w:type="dxa"/>
          <w:left w:w="108" w:type="dxa"/>
          <w:bottom w:w="0" w:type="dxa"/>
          <w:right w:w="108" w:type="dxa"/>
        </w:tblCellMar>
      </w:tblPr>
      <w:tblGrid>
        <w:gridCol w:w="2435"/>
        <w:gridCol w:w="3034"/>
        <w:gridCol w:w="2891"/>
      </w:tblGrid>
      <w:tr w14:paraId="48048676">
        <w:tblPrEx>
          <w:tblCellMar>
            <w:top w:w="0" w:type="dxa"/>
            <w:left w:w="108" w:type="dxa"/>
            <w:bottom w:w="0" w:type="dxa"/>
            <w:right w:w="108" w:type="dxa"/>
          </w:tblCellMar>
        </w:tblPrEx>
        <w:trPr>
          <w:trHeight w:val="280" w:hRule="atLeast"/>
          <w:jc w:val="center"/>
        </w:trPr>
        <w:tc>
          <w:tcPr>
            <w:tcW w:w="2435" w:type="dxa"/>
            <w:tcBorders>
              <w:top w:val="nil"/>
              <w:left w:val="nil"/>
              <w:bottom w:val="nil"/>
              <w:right w:val="nil"/>
            </w:tcBorders>
            <w:noWrap/>
            <w:vAlign w:val="center"/>
          </w:tcPr>
          <w:p w14:paraId="2703EF47">
            <w:pPr>
              <w:rPr>
                <w:rFonts w:hint="eastAsia" w:ascii="宋体" w:hAnsi="宋体" w:cs="宋体"/>
                <w:color w:val="000000"/>
                <w:sz w:val="22"/>
              </w:rPr>
            </w:pPr>
          </w:p>
        </w:tc>
        <w:tc>
          <w:tcPr>
            <w:tcW w:w="3034" w:type="dxa"/>
            <w:tcBorders>
              <w:top w:val="nil"/>
              <w:left w:val="nil"/>
              <w:bottom w:val="nil"/>
              <w:right w:val="nil"/>
            </w:tcBorders>
            <w:noWrap/>
            <w:vAlign w:val="center"/>
          </w:tcPr>
          <w:p w14:paraId="5CFF3236">
            <w:pPr>
              <w:rPr>
                <w:rFonts w:hint="eastAsia" w:ascii="宋体" w:hAnsi="宋体" w:cs="宋体"/>
                <w:color w:val="000000"/>
                <w:sz w:val="22"/>
              </w:rPr>
            </w:pPr>
          </w:p>
        </w:tc>
        <w:tc>
          <w:tcPr>
            <w:tcW w:w="2891" w:type="dxa"/>
            <w:tcBorders>
              <w:top w:val="nil"/>
              <w:left w:val="nil"/>
              <w:bottom w:val="nil"/>
              <w:right w:val="nil"/>
            </w:tcBorders>
            <w:noWrap/>
            <w:vAlign w:val="center"/>
          </w:tcPr>
          <w:p w14:paraId="45361D08">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单位：万元</w:t>
            </w:r>
          </w:p>
        </w:tc>
      </w:tr>
      <w:tr w14:paraId="7B89A939">
        <w:tblPrEx>
          <w:tblCellMar>
            <w:top w:w="0" w:type="dxa"/>
            <w:left w:w="108" w:type="dxa"/>
            <w:bottom w:w="0" w:type="dxa"/>
            <w:right w:w="108" w:type="dxa"/>
          </w:tblCellMar>
        </w:tblPrEx>
        <w:trPr>
          <w:trHeight w:val="560" w:hRule="atLeast"/>
          <w:jc w:val="center"/>
        </w:trPr>
        <w:tc>
          <w:tcPr>
            <w:tcW w:w="243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70A72C70">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项目</w:t>
            </w:r>
          </w:p>
        </w:tc>
        <w:tc>
          <w:tcPr>
            <w:tcW w:w="3034"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5860C124">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2024年12月31日</w:t>
            </w:r>
            <w:r>
              <w:rPr>
                <w:rFonts w:hint="eastAsia" w:ascii="宋体" w:hAnsi="宋体" w:cs="宋体"/>
                <w:b/>
                <w:bCs/>
                <w:color w:val="000000"/>
                <w:kern w:val="0"/>
                <w:sz w:val="22"/>
                <w:lang w:bidi="ar"/>
              </w:rPr>
              <w:br w:type="textWrapping"/>
            </w:r>
            <w:r>
              <w:rPr>
                <w:rFonts w:hint="eastAsia" w:ascii="宋体" w:hAnsi="宋体" w:cs="宋体"/>
                <w:b/>
                <w:bCs/>
                <w:color w:val="000000"/>
                <w:kern w:val="0"/>
                <w:sz w:val="22"/>
                <w:lang w:bidi="ar"/>
              </w:rPr>
              <w:t>（经审计）</w:t>
            </w:r>
          </w:p>
        </w:tc>
        <w:tc>
          <w:tcPr>
            <w:tcW w:w="2891"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2DE770B">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2025年6月30日</w:t>
            </w:r>
            <w:r>
              <w:rPr>
                <w:rFonts w:hint="eastAsia" w:ascii="宋体" w:hAnsi="宋体" w:cs="宋体"/>
                <w:b/>
                <w:bCs/>
                <w:color w:val="000000"/>
                <w:kern w:val="0"/>
                <w:sz w:val="22"/>
                <w:lang w:bidi="ar"/>
              </w:rPr>
              <w:br w:type="textWrapping"/>
            </w:r>
            <w:r>
              <w:rPr>
                <w:rFonts w:hint="eastAsia" w:ascii="宋体" w:hAnsi="宋体" w:cs="宋体"/>
                <w:b/>
                <w:bCs/>
                <w:color w:val="000000"/>
                <w:kern w:val="0"/>
                <w:sz w:val="22"/>
                <w:lang w:bidi="ar"/>
              </w:rPr>
              <w:t>（未审计）</w:t>
            </w:r>
          </w:p>
        </w:tc>
      </w:tr>
      <w:tr w14:paraId="14558776">
        <w:tblPrEx>
          <w:tblCellMar>
            <w:top w:w="0" w:type="dxa"/>
            <w:left w:w="108" w:type="dxa"/>
            <w:bottom w:w="0" w:type="dxa"/>
            <w:right w:w="108" w:type="dxa"/>
          </w:tblCellMar>
        </w:tblPrEx>
        <w:trPr>
          <w:trHeight w:val="280" w:hRule="atLeast"/>
          <w:jc w:val="center"/>
        </w:trPr>
        <w:tc>
          <w:tcPr>
            <w:tcW w:w="2435" w:type="dxa"/>
            <w:tcBorders>
              <w:top w:val="single" w:color="000000" w:sz="4" w:space="0"/>
              <w:left w:val="single" w:color="000000" w:sz="4" w:space="0"/>
              <w:bottom w:val="single" w:color="000000" w:sz="4" w:space="0"/>
              <w:right w:val="single" w:color="000000" w:sz="4" w:space="0"/>
            </w:tcBorders>
            <w:noWrap/>
            <w:vAlign w:val="center"/>
          </w:tcPr>
          <w:p w14:paraId="6B2DF3C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资产总额</w:t>
            </w:r>
          </w:p>
        </w:tc>
        <w:tc>
          <w:tcPr>
            <w:tcW w:w="3034" w:type="dxa"/>
            <w:tcBorders>
              <w:top w:val="single" w:color="000000" w:sz="4" w:space="0"/>
              <w:left w:val="single" w:color="000000" w:sz="4" w:space="0"/>
              <w:bottom w:val="single" w:color="000000" w:sz="4" w:space="0"/>
              <w:right w:val="single" w:color="000000" w:sz="4" w:space="0"/>
            </w:tcBorders>
            <w:noWrap/>
            <w:vAlign w:val="center"/>
          </w:tcPr>
          <w:p w14:paraId="5CEF08AA">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 xml:space="preserve"> 51,334.60 </w:t>
            </w:r>
          </w:p>
        </w:tc>
        <w:tc>
          <w:tcPr>
            <w:tcW w:w="2891" w:type="dxa"/>
            <w:tcBorders>
              <w:top w:val="single" w:color="000000" w:sz="4" w:space="0"/>
              <w:left w:val="single" w:color="000000" w:sz="4" w:space="0"/>
              <w:bottom w:val="single" w:color="000000" w:sz="4" w:space="0"/>
              <w:right w:val="single" w:color="000000" w:sz="4" w:space="0"/>
            </w:tcBorders>
            <w:noWrap/>
            <w:vAlign w:val="center"/>
          </w:tcPr>
          <w:p w14:paraId="592C5213">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 xml:space="preserve"> 50,333.92 </w:t>
            </w:r>
          </w:p>
        </w:tc>
      </w:tr>
      <w:tr w14:paraId="19E7E596">
        <w:tblPrEx>
          <w:tblCellMar>
            <w:top w:w="0" w:type="dxa"/>
            <w:left w:w="108" w:type="dxa"/>
            <w:bottom w:w="0" w:type="dxa"/>
            <w:right w:w="108" w:type="dxa"/>
          </w:tblCellMar>
        </w:tblPrEx>
        <w:trPr>
          <w:trHeight w:val="280" w:hRule="atLeast"/>
          <w:jc w:val="center"/>
        </w:trPr>
        <w:tc>
          <w:tcPr>
            <w:tcW w:w="2435" w:type="dxa"/>
            <w:tcBorders>
              <w:top w:val="single" w:color="000000" w:sz="4" w:space="0"/>
              <w:left w:val="single" w:color="000000" w:sz="4" w:space="0"/>
              <w:bottom w:val="single" w:color="000000" w:sz="4" w:space="0"/>
              <w:right w:val="single" w:color="000000" w:sz="4" w:space="0"/>
            </w:tcBorders>
            <w:noWrap/>
            <w:vAlign w:val="center"/>
          </w:tcPr>
          <w:p w14:paraId="303A6434">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负债总额</w:t>
            </w:r>
          </w:p>
        </w:tc>
        <w:tc>
          <w:tcPr>
            <w:tcW w:w="3034" w:type="dxa"/>
            <w:tcBorders>
              <w:top w:val="single" w:color="000000" w:sz="4" w:space="0"/>
              <w:left w:val="single" w:color="000000" w:sz="4" w:space="0"/>
              <w:bottom w:val="single" w:color="000000" w:sz="4" w:space="0"/>
              <w:right w:val="single" w:color="000000" w:sz="4" w:space="0"/>
            </w:tcBorders>
            <w:noWrap/>
            <w:vAlign w:val="center"/>
          </w:tcPr>
          <w:p w14:paraId="4B22EA6B">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 xml:space="preserve"> 31,989.34 </w:t>
            </w:r>
          </w:p>
        </w:tc>
        <w:tc>
          <w:tcPr>
            <w:tcW w:w="2891" w:type="dxa"/>
            <w:tcBorders>
              <w:top w:val="single" w:color="000000" w:sz="4" w:space="0"/>
              <w:left w:val="single" w:color="000000" w:sz="4" w:space="0"/>
              <w:bottom w:val="single" w:color="000000" w:sz="4" w:space="0"/>
              <w:right w:val="single" w:color="000000" w:sz="4" w:space="0"/>
            </w:tcBorders>
            <w:noWrap/>
            <w:vAlign w:val="center"/>
          </w:tcPr>
          <w:p w14:paraId="1587E84F">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 xml:space="preserve"> 32,954.50 </w:t>
            </w:r>
          </w:p>
        </w:tc>
      </w:tr>
      <w:tr w14:paraId="5500E501">
        <w:tblPrEx>
          <w:tblCellMar>
            <w:top w:w="0" w:type="dxa"/>
            <w:left w:w="108" w:type="dxa"/>
            <w:bottom w:w="0" w:type="dxa"/>
            <w:right w:w="108" w:type="dxa"/>
          </w:tblCellMar>
        </w:tblPrEx>
        <w:trPr>
          <w:trHeight w:val="280" w:hRule="atLeast"/>
          <w:jc w:val="center"/>
        </w:trPr>
        <w:tc>
          <w:tcPr>
            <w:tcW w:w="2435" w:type="dxa"/>
            <w:tcBorders>
              <w:top w:val="single" w:color="000000" w:sz="4" w:space="0"/>
              <w:left w:val="single" w:color="000000" w:sz="4" w:space="0"/>
              <w:bottom w:val="single" w:color="000000" w:sz="4" w:space="0"/>
              <w:right w:val="single" w:color="000000" w:sz="4" w:space="0"/>
            </w:tcBorders>
            <w:noWrap/>
            <w:vAlign w:val="center"/>
          </w:tcPr>
          <w:p w14:paraId="705F588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净资产</w:t>
            </w:r>
          </w:p>
        </w:tc>
        <w:tc>
          <w:tcPr>
            <w:tcW w:w="3034" w:type="dxa"/>
            <w:tcBorders>
              <w:top w:val="single" w:color="000000" w:sz="4" w:space="0"/>
              <w:left w:val="single" w:color="000000" w:sz="4" w:space="0"/>
              <w:bottom w:val="single" w:color="000000" w:sz="4" w:space="0"/>
              <w:right w:val="single" w:color="000000" w:sz="4" w:space="0"/>
            </w:tcBorders>
            <w:noWrap/>
            <w:vAlign w:val="center"/>
          </w:tcPr>
          <w:p w14:paraId="14D3ECE4">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 xml:space="preserve"> 19,345.27 </w:t>
            </w:r>
          </w:p>
        </w:tc>
        <w:tc>
          <w:tcPr>
            <w:tcW w:w="2891" w:type="dxa"/>
            <w:tcBorders>
              <w:top w:val="single" w:color="000000" w:sz="4" w:space="0"/>
              <w:left w:val="single" w:color="000000" w:sz="4" w:space="0"/>
              <w:bottom w:val="single" w:color="000000" w:sz="4" w:space="0"/>
              <w:right w:val="single" w:color="000000" w:sz="4" w:space="0"/>
            </w:tcBorders>
            <w:noWrap/>
            <w:vAlign w:val="center"/>
          </w:tcPr>
          <w:p w14:paraId="2133A2FF">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 xml:space="preserve"> 17,379.42 </w:t>
            </w:r>
          </w:p>
        </w:tc>
      </w:tr>
      <w:tr w14:paraId="6F298BC7">
        <w:tblPrEx>
          <w:tblCellMar>
            <w:top w:w="0" w:type="dxa"/>
            <w:left w:w="108" w:type="dxa"/>
            <w:bottom w:w="0" w:type="dxa"/>
            <w:right w:w="108" w:type="dxa"/>
          </w:tblCellMar>
        </w:tblPrEx>
        <w:trPr>
          <w:trHeight w:val="560" w:hRule="atLeast"/>
          <w:jc w:val="center"/>
        </w:trPr>
        <w:tc>
          <w:tcPr>
            <w:tcW w:w="243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E5E456F">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项目</w:t>
            </w:r>
          </w:p>
        </w:tc>
        <w:tc>
          <w:tcPr>
            <w:tcW w:w="3034"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19A86A6">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2024年度</w:t>
            </w:r>
            <w:r>
              <w:rPr>
                <w:rFonts w:hint="eastAsia" w:ascii="宋体" w:hAnsi="宋体" w:cs="宋体"/>
                <w:b/>
                <w:bCs/>
                <w:color w:val="000000"/>
                <w:kern w:val="0"/>
                <w:sz w:val="22"/>
                <w:lang w:bidi="ar"/>
              </w:rPr>
              <w:br w:type="textWrapping"/>
            </w:r>
            <w:r>
              <w:rPr>
                <w:rFonts w:hint="eastAsia" w:ascii="宋体" w:hAnsi="宋体" w:cs="宋体"/>
                <w:b/>
                <w:bCs/>
                <w:color w:val="000000"/>
                <w:kern w:val="0"/>
                <w:sz w:val="22"/>
                <w:lang w:bidi="ar"/>
              </w:rPr>
              <w:t>（经审计）</w:t>
            </w:r>
          </w:p>
        </w:tc>
        <w:tc>
          <w:tcPr>
            <w:tcW w:w="2891"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02C412E">
            <w:pPr>
              <w:widowControl/>
              <w:jc w:val="center"/>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2025年上半年</w:t>
            </w:r>
          </w:p>
          <w:p w14:paraId="7CCD685C">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（未审计）</w:t>
            </w:r>
          </w:p>
        </w:tc>
      </w:tr>
      <w:tr w14:paraId="0B6CADA3">
        <w:tblPrEx>
          <w:tblCellMar>
            <w:top w:w="0" w:type="dxa"/>
            <w:left w:w="108" w:type="dxa"/>
            <w:bottom w:w="0" w:type="dxa"/>
            <w:right w:w="108" w:type="dxa"/>
          </w:tblCellMar>
        </w:tblPrEx>
        <w:trPr>
          <w:trHeight w:val="280" w:hRule="atLeast"/>
          <w:jc w:val="center"/>
        </w:trPr>
        <w:tc>
          <w:tcPr>
            <w:tcW w:w="2435" w:type="dxa"/>
            <w:tcBorders>
              <w:top w:val="single" w:color="000000" w:sz="4" w:space="0"/>
              <w:left w:val="single" w:color="000000" w:sz="4" w:space="0"/>
              <w:bottom w:val="single" w:color="000000" w:sz="4" w:space="0"/>
              <w:right w:val="single" w:color="000000" w:sz="4" w:space="0"/>
            </w:tcBorders>
            <w:noWrap/>
            <w:vAlign w:val="center"/>
          </w:tcPr>
          <w:p w14:paraId="27E442F6">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营业收入</w:t>
            </w:r>
          </w:p>
        </w:tc>
        <w:tc>
          <w:tcPr>
            <w:tcW w:w="3034" w:type="dxa"/>
            <w:tcBorders>
              <w:top w:val="single" w:color="000000" w:sz="4" w:space="0"/>
              <w:left w:val="single" w:color="000000" w:sz="4" w:space="0"/>
              <w:bottom w:val="single" w:color="000000" w:sz="4" w:space="0"/>
              <w:right w:val="single" w:color="000000" w:sz="4" w:space="0"/>
            </w:tcBorders>
            <w:noWrap/>
            <w:vAlign w:val="center"/>
          </w:tcPr>
          <w:p w14:paraId="7AE99FF8">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 xml:space="preserve"> 2,890.72 </w:t>
            </w:r>
          </w:p>
        </w:tc>
        <w:tc>
          <w:tcPr>
            <w:tcW w:w="2891" w:type="dxa"/>
            <w:tcBorders>
              <w:top w:val="single" w:color="000000" w:sz="4" w:space="0"/>
              <w:left w:val="single" w:color="000000" w:sz="4" w:space="0"/>
              <w:bottom w:val="single" w:color="000000" w:sz="4" w:space="0"/>
              <w:right w:val="single" w:color="000000" w:sz="4" w:space="0"/>
            </w:tcBorders>
            <w:noWrap/>
            <w:vAlign w:val="center"/>
          </w:tcPr>
          <w:p w14:paraId="6FAAEDAB">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 xml:space="preserve"> 801.62 </w:t>
            </w:r>
          </w:p>
        </w:tc>
      </w:tr>
      <w:tr w14:paraId="47D11319">
        <w:tblPrEx>
          <w:tblCellMar>
            <w:top w:w="0" w:type="dxa"/>
            <w:left w:w="108" w:type="dxa"/>
            <w:bottom w:w="0" w:type="dxa"/>
            <w:right w:w="108" w:type="dxa"/>
          </w:tblCellMar>
        </w:tblPrEx>
        <w:trPr>
          <w:trHeight w:val="280" w:hRule="atLeast"/>
          <w:jc w:val="center"/>
        </w:trPr>
        <w:tc>
          <w:tcPr>
            <w:tcW w:w="2435" w:type="dxa"/>
            <w:tcBorders>
              <w:top w:val="single" w:color="000000" w:sz="4" w:space="0"/>
              <w:left w:val="single" w:color="000000" w:sz="4" w:space="0"/>
              <w:bottom w:val="single" w:color="000000" w:sz="4" w:space="0"/>
              <w:right w:val="single" w:color="000000" w:sz="4" w:space="0"/>
            </w:tcBorders>
            <w:noWrap/>
            <w:vAlign w:val="center"/>
          </w:tcPr>
          <w:p w14:paraId="634E0B1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利润总额</w:t>
            </w:r>
          </w:p>
        </w:tc>
        <w:tc>
          <w:tcPr>
            <w:tcW w:w="3034" w:type="dxa"/>
            <w:tcBorders>
              <w:top w:val="single" w:color="000000" w:sz="4" w:space="0"/>
              <w:left w:val="single" w:color="000000" w:sz="4" w:space="0"/>
              <w:bottom w:val="single" w:color="000000" w:sz="4" w:space="0"/>
              <w:right w:val="single" w:color="000000" w:sz="4" w:space="0"/>
            </w:tcBorders>
            <w:noWrap/>
            <w:vAlign w:val="center"/>
          </w:tcPr>
          <w:p w14:paraId="440BAEF8">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 xml:space="preserve"> -8,247.19  </w:t>
            </w:r>
          </w:p>
        </w:tc>
        <w:tc>
          <w:tcPr>
            <w:tcW w:w="2891" w:type="dxa"/>
            <w:tcBorders>
              <w:top w:val="single" w:color="000000" w:sz="4" w:space="0"/>
              <w:left w:val="single" w:color="000000" w:sz="4" w:space="0"/>
              <w:bottom w:val="single" w:color="000000" w:sz="4" w:space="0"/>
              <w:right w:val="single" w:color="000000" w:sz="4" w:space="0"/>
            </w:tcBorders>
            <w:noWrap/>
            <w:vAlign w:val="center"/>
          </w:tcPr>
          <w:p w14:paraId="0F443C7C">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 xml:space="preserve"> -1,965.84 </w:t>
            </w:r>
          </w:p>
        </w:tc>
      </w:tr>
      <w:tr w14:paraId="4717FE16">
        <w:tblPrEx>
          <w:tblCellMar>
            <w:top w:w="0" w:type="dxa"/>
            <w:left w:w="108" w:type="dxa"/>
            <w:bottom w:w="0" w:type="dxa"/>
            <w:right w:w="108" w:type="dxa"/>
          </w:tblCellMar>
        </w:tblPrEx>
        <w:trPr>
          <w:trHeight w:val="280" w:hRule="atLeast"/>
          <w:jc w:val="center"/>
        </w:trPr>
        <w:tc>
          <w:tcPr>
            <w:tcW w:w="2435" w:type="dxa"/>
            <w:tcBorders>
              <w:top w:val="single" w:color="000000" w:sz="4" w:space="0"/>
              <w:left w:val="single" w:color="000000" w:sz="4" w:space="0"/>
              <w:bottom w:val="single" w:color="000000" w:sz="4" w:space="0"/>
              <w:right w:val="single" w:color="000000" w:sz="4" w:space="0"/>
            </w:tcBorders>
            <w:noWrap/>
            <w:vAlign w:val="center"/>
          </w:tcPr>
          <w:p w14:paraId="3AD68CC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净利润</w:t>
            </w:r>
          </w:p>
        </w:tc>
        <w:tc>
          <w:tcPr>
            <w:tcW w:w="3034" w:type="dxa"/>
            <w:tcBorders>
              <w:top w:val="single" w:color="000000" w:sz="4" w:space="0"/>
              <w:left w:val="single" w:color="000000" w:sz="4" w:space="0"/>
              <w:bottom w:val="single" w:color="000000" w:sz="4" w:space="0"/>
              <w:right w:val="single" w:color="000000" w:sz="4" w:space="0"/>
            </w:tcBorders>
            <w:noWrap/>
            <w:vAlign w:val="center"/>
          </w:tcPr>
          <w:p w14:paraId="53E4BC29">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 xml:space="preserve"> -8,543.13 </w:t>
            </w:r>
          </w:p>
        </w:tc>
        <w:tc>
          <w:tcPr>
            <w:tcW w:w="2891" w:type="dxa"/>
            <w:tcBorders>
              <w:top w:val="single" w:color="000000" w:sz="4" w:space="0"/>
              <w:left w:val="single" w:color="000000" w:sz="4" w:space="0"/>
              <w:bottom w:val="single" w:color="000000" w:sz="4" w:space="0"/>
              <w:right w:val="single" w:color="000000" w:sz="4" w:space="0"/>
            </w:tcBorders>
            <w:noWrap/>
            <w:vAlign w:val="center"/>
          </w:tcPr>
          <w:p w14:paraId="09135E5E">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 xml:space="preserve"> -1,965.84 </w:t>
            </w:r>
          </w:p>
        </w:tc>
      </w:tr>
    </w:tbl>
    <w:p w14:paraId="26D8BFA4">
      <w:pPr>
        <w:pStyle w:val="2"/>
        <w:spacing w:before="156" w:after="156"/>
        <w:ind w:firstLine="482" w:firstLineChars="200"/>
      </w:pPr>
      <w:r>
        <w:rPr>
          <w:rFonts w:hint="eastAsia"/>
        </w:rPr>
        <w:t>四、协议主要内容</w:t>
      </w:r>
    </w:p>
    <w:p w14:paraId="6E0D97E2">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鉴于看好福建广生中霖生物科技有限公司创新药研发和长期发展，因此拟对本公司进行投资。为确保投资事项顺利推进，经协商一致，特此签署本投资意向书。本章节下文出现的“公司”代指“广生中霖”。</w:t>
      </w:r>
    </w:p>
    <w:p w14:paraId="2B7E5BCF">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1、本轮投资人：华欣石恒科技创业投资基金（青岛）合伙企业（有限合伙）、济南汇扬投资合伙企业（有限合伙）或其指定方以及其与公司共同认可的跟投方。本轮投资人与前轮投资人合称“投资人”。</w:t>
      </w:r>
    </w:p>
    <w:p w14:paraId="170C73D6">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2、投资方式及投资金额：本轮投资人拟以不超过2亿人民币现金认购公司新增注册资本。</w:t>
      </w:r>
    </w:p>
    <w:p w14:paraId="47F827E9">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3、投资前估值：本次投资的投前估值为不低于人民币25亿元。</w:t>
      </w:r>
    </w:p>
    <w:p w14:paraId="6058EF0E">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4、投资资金用途：本次投资款将用作补充创新药研发及营运资金，推动在研创新药研发进程或公司董事会批准的其他用途。</w:t>
      </w:r>
    </w:p>
    <w:p w14:paraId="4AEA1791">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5、先决条件：本次投资的交割应满足惯常的先决条件。</w:t>
      </w:r>
    </w:p>
    <w:p w14:paraId="30F59C9C">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6、排他性：直到本意向书签署日后的第30日（“排他期”），公司及其各自的关联方应与本轮投资人在排他的基础上合作，并尽其各自最大努力在排他期结束前就本次投资的交易文件协商一致。</w:t>
      </w:r>
    </w:p>
    <w:p w14:paraId="6EB3F4F7">
      <w:pPr>
        <w:adjustRightInd w:val="0"/>
        <w:snapToGrid w:val="0"/>
        <w:spacing w:line="360" w:lineRule="auto"/>
        <w:ind w:firstLine="480" w:firstLineChars="200"/>
      </w:pPr>
      <w:r>
        <w:rPr>
          <w:rFonts w:hint="eastAsia" w:ascii="宋体" w:hAnsi="宋体" w:cs="宋体"/>
          <w:sz w:val="24"/>
          <w:szCs w:val="24"/>
        </w:rPr>
        <w:t>7、保密性：本意向书条款和内容，以及它的签订或存在均为秘密信息，各方均应承担保密义务，除非事先取得其他方的书面同意，不得向任何第三方泄露，但按法律要求披露或为了咨询法律意见而向法律顾问披露的除外。</w:t>
      </w:r>
    </w:p>
    <w:p w14:paraId="16932365">
      <w:pPr>
        <w:pStyle w:val="2"/>
        <w:spacing w:before="156" w:after="156"/>
        <w:ind w:firstLine="482" w:firstLineChars="200"/>
      </w:pPr>
      <w:r>
        <w:rPr>
          <w:rFonts w:hint="eastAsia"/>
        </w:rPr>
        <w:t>五、交易目的和对公司的影响</w:t>
      </w:r>
    </w:p>
    <w:p w14:paraId="6EFB03C6">
      <w:pPr>
        <w:adjustRightInd w:val="0"/>
        <w:snapToGrid w:val="0"/>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公司自上市以来，积极实施创新发展战略，持续研发投入，2016-2024年期间累计研发支出达9.99亿元，创新药也取得积极进展。广生中霖在研乙肝治疗一类创新药</w:t>
      </w:r>
      <w:bookmarkStart w:id="0" w:name="OLE_LINK7"/>
      <w:r>
        <w:rPr>
          <w:rFonts w:hint="eastAsia" w:ascii="宋体" w:hAnsi="宋体" w:cs="宋体"/>
          <w:sz w:val="24"/>
          <w:szCs w:val="24"/>
        </w:rPr>
        <w:t>GST-HG131和GST-HG141</w:t>
      </w:r>
      <w:bookmarkEnd w:id="0"/>
      <w:r>
        <w:rPr>
          <w:rFonts w:hint="eastAsia" w:ascii="宋体" w:hAnsi="宋体" w:cs="宋体"/>
          <w:sz w:val="24"/>
          <w:szCs w:val="24"/>
        </w:rPr>
        <w:t>均已被纳入突破性治疗品种名单，且GST-HG131联合GST-HG141用于慢性乙型肝炎治疗的II期临床试验项目挑战乙肝临床治愈，属于国家全链条支持创新药发展政策体系支持的具有明显临床价值的重点创新药，被纳入“优化创新药临床试验审评审批试点项目”，验证了广生中霖在肝病治疗领域的创新实力和药物临床潜力。目前， GST-HG141已进入III期临床试验并正持续入组受试者，GST-HG131联合GST-HG141的II期临床试验也已获得批准。</w:t>
      </w:r>
    </w:p>
    <w:p w14:paraId="25441EF2">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广生中霖作为公司的创新药研发平台，承担着高投入、长周期的创新药物开发任务。本次交易若能顺利实施，将有效增强其资本实力，及时补充运营所需资金，加速推进包括非酒精性脂肪性肝炎及肝纤维化治疗创新药GST-HG151在内的在研创新药的研发进程，助力核心创新药产品早日获批上市并实现商业化，但具体对公司本年度经营业绩和未来业绩的影响尚不确定。本次交易符合公司利益和战略发展目标，不存在损害公司及股东，特别是中小股东利益的情形。交易完成后，公司对广生中霖的控制权保持不变，其仍为公司控股子公司。</w:t>
      </w:r>
    </w:p>
    <w:p w14:paraId="7B63DA52">
      <w:pPr>
        <w:pStyle w:val="2"/>
        <w:spacing w:before="156" w:after="156"/>
        <w:ind w:firstLine="482" w:firstLineChars="200"/>
      </w:pPr>
      <w:r>
        <w:rPr>
          <w:rFonts w:hint="eastAsia"/>
        </w:rPr>
        <w:t>六、风险提示</w:t>
      </w:r>
    </w:p>
    <w:p w14:paraId="18656EFB">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本次签署的投资意向书系各方就本次交易达成的初步意向，属于各方基于合作意愿和基本合作原则、方向签署的意向性约定，最终交易协议仍需由交易各方进一步商谈并另行签订协议确定，能否达成最终交易存在不确定性，请广大投资者注意投资风险。</w:t>
      </w:r>
    </w:p>
    <w:p w14:paraId="56BFAA46">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最终交易协议及其实施尚待约定的前置条件全部获得满足，且尚需根据相关法律法规及《公司章程》规定，履行公司内部决策和审批程序，故本次交易最终能否实施并完成存在不确定性，请广大投资者注意投资风险。</w:t>
      </w:r>
    </w:p>
    <w:p w14:paraId="5B634076">
      <w:pPr>
        <w:pStyle w:val="2"/>
        <w:spacing w:before="156" w:after="156"/>
        <w:ind w:firstLine="482" w:firstLineChars="200"/>
      </w:pPr>
      <w:r>
        <w:rPr>
          <w:rFonts w:hint="eastAsia"/>
        </w:rPr>
        <w:t>七、其他</w:t>
      </w:r>
    </w:p>
    <w:p w14:paraId="1BB56B38">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1、截至本公告披露日，除本协议外，公司最近三年不存在其他已披露的战略合作框架协议。</w:t>
      </w:r>
    </w:p>
    <w:p w14:paraId="3F563B50">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2、本投资意向书签署前三个月内，公司控股股东、实际控制人、持股5%以上股东、董事、监事、高级管理人员持股情况未发生变动（指直接登记在各股东名下的股份）； 未来三个月内，公司控股股东、实际控制人、持股5%以上股东、董事、高级管理人员不存在所持限售股份解除限售的情况，且暂无明确的减持计划，后续如有相关减持计划，公司将按照相关规定及时履行信息披露义务。</w:t>
      </w:r>
    </w:p>
    <w:p w14:paraId="63664A34">
      <w:pPr>
        <w:pStyle w:val="2"/>
        <w:spacing w:before="156" w:after="156"/>
        <w:ind w:firstLine="482" w:firstLineChars="200"/>
      </w:pPr>
      <w:r>
        <w:rPr>
          <w:rFonts w:hint="eastAsia"/>
        </w:rPr>
        <w:t>八、备查</w:t>
      </w:r>
    </w:p>
    <w:p w14:paraId="1E1A5A28">
      <w:pPr>
        <w:pStyle w:val="3"/>
        <w:spacing w:before="156"/>
        <w:ind w:firstLine="480"/>
      </w:pPr>
      <w:r>
        <w:rPr>
          <w:rFonts w:hint="eastAsia"/>
        </w:rPr>
        <w:t>1、《投资意向书》</w:t>
      </w:r>
    </w:p>
    <w:p w14:paraId="74962553">
      <w:pPr>
        <w:pStyle w:val="10"/>
        <w:spacing w:before="312" w:beforeLines="100" w:beforeAutospacing="0" w:after="312" w:afterLines="100" w:afterAutospacing="0" w:line="360" w:lineRule="auto"/>
        <w:ind w:firstLine="480" w:firstLineChars="200"/>
        <w:rPr>
          <w:rFonts w:hint="eastAsia"/>
          <w:kern w:val="2"/>
          <w:szCs w:val="21"/>
        </w:rPr>
      </w:pPr>
      <w:r>
        <w:rPr>
          <w:rFonts w:hint="eastAsia"/>
        </w:rPr>
        <w:t>特此公告。</w:t>
      </w:r>
    </w:p>
    <w:p w14:paraId="3F22D118">
      <w:pPr>
        <w:spacing w:before="156" w:beforeLines="50" w:after="156" w:afterLines="50" w:line="360" w:lineRule="auto"/>
        <w:rPr>
          <w:rFonts w:hint="eastAsia" w:ascii="宋体" w:hAnsi="宋体" w:cs="宋体"/>
          <w:kern w:val="0"/>
          <w:sz w:val="24"/>
          <w:szCs w:val="24"/>
        </w:rPr>
      </w:pPr>
    </w:p>
    <w:p w14:paraId="35BC6DF2">
      <w:pPr>
        <w:spacing w:line="360" w:lineRule="auto"/>
        <w:ind w:firstLine="480" w:firstLineChars="200"/>
        <w:rPr>
          <w:rFonts w:hint="eastAsia" w:ascii="宋体" w:hAnsi="宋体" w:cs="宋体"/>
          <w:sz w:val="24"/>
          <w:szCs w:val="21"/>
        </w:rPr>
      </w:pPr>
    </w:p>
    <w:p w14:paraId="18D2A9CB">
      <w:pPr>
        <w:widowControl/>
        <w:adjustRightInd w:val="0"/>
        <w:snapToGrid w:val="0"/>
        <w:spacing w:line="360" w:lineRule="auto"/>
        <w:ind w:firstLine="480" w:firstLineChars="200"/>
        <w:jc w:val="right"/>
        <w:rPr>
          <w:rFonts w:hint="eastAsia" w:ascii="宋体" w:hAnsi="宋体" w:cs="宋体"/>
          <w:sz w:val="24"/>
          <w:szCs w:val="21"/>
        </w:rPr>
      </w:pPr>
      <w:r>
        <w:rPr>
          <w:rFonts w:hint="eastAsia" w:ascii="宋体" w:hAnsi="宋体" w:cs="宋体"/>
          <w:sz w:val="24"/>
          <w:szCs w:val="21"/>
        </w:rPr>
        <w:t>福建广生堂药业股份有限公司董事会</w:t>
      </w:r>
    </w:p>
    <w:p w14:paraId="64C89228">
      <w:pPr>
        <w:widowControl/>
        <w:adjustRightInd w:val="0"/>
        <w:snapToGrid w:val="0"/>
        <w:spacing w:line="360" w:lineRule="auto"/>
        <w:ind w:firstLine="5520" w:firstLineChars="2300"/>
        <w:jc w:val="left"/>
        <w:rPr>
          <w:rFonts w:hint="eastAsia" w:ascii="宋体" w:hAnsi="宋体" w:cs="宋体"/>
          <w:sz w:val="24"/>
          <w:szCs w:val="24"/>
        </w:rPr>
      </w:pPr>
      <w:r>
        <w:rPr>
          <w:rFonts w:hint="eastAsia" w:ascii="宋体" w:hAnsi="宋体" w:cs="宋体"/>
          <w:sz w:val="24"/>
          <w:szCs w:val="21"/>
        </w:rPr>
        <w:t>2025年8月21日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09CF4">
    <w:pPr>
      <w:pStyle w:val="7"/>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14B4B">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99C5A">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1C48B">
    <w:pPr>
      <w:pStyle w:val="8"/>
      <w:tabs>
        <w:tab w:val="right" w:pos="9214"/>
        <w:tab w:val="clear" w:pos="8306"/>
      </w:tabs>
      <w:ind w:left="-1277" w:leftChars="-608" w:right="-1331" w:rightChars="-634" w:firstLine="1"/>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7559040" cy="10692130"/>
          <wp:effectExtent l="0" t="0" r="3810" b="13970"/>
          <wp:wrapNone/>
          <wp:docPr id="3" name="WordPictureWatermark3069298"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069298"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91358">
    <w:pPr>
      <w:pStyle w:val="8"/>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9040" cy="10692130"/>
          <wp:effectExtent l="0" t="0" r="3810" b="13970"/>
          <wp:wrapNone/>
          <wp:docPr id="2" name="WordPictureWatermark3069297"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069297"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0F813">
    <w:pPr>
      <w:pStyle w:val="8"/>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59040" cy="10692130"/>
          <wp:effectExtent l="0" t="0" r="3810" b="13970"/>
          <wp:wrapNone/>
          <wp:docPr id="1" name="WordPictureWatermark3069296"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069296"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4MDAzNjNiM2EwYjNjY2VkN2I2ZWY4OTg5YTA1ZWYifQ=="/>
    <w:docVar w:name="metasota_documentID" w:val="8636605333724442624"/>
  </w:docVars>
  <w:rsids>
    <w:rsidRoot w:val="00082C74"/>
    <w:rsid w:val="000357DE"/>
    <w:rsid w:val="00043EA5"/>
    <w:rsid w:val="00055553"/>
    <w:rsid w:val="00062142"/>
    <w:rsid w:val="00071F80"/>
    <w:rsid w:val="00082C74"/>
    <w:rsid w:val="000C00B9"/>
    <w:rsid w:val="000E7E12"/>
    <w:rsid w:val="000F1437"/>
    <w:rsid w:val="000F2B72"/>
    <w:rsid w:val="000F51AB"/>
    <w:rsid w:val="00104747"/>
    <w:rsid w:val="00144C6A"/>
    <w:rsid w:val="00161734"/>
    <w:rsid w:val="00191D8D"/>
    <w:rsid w:val="001F5A28"/>
    <w:rsid w:val="0021331C"/>
    <w:rsid w:val="002448CC"/>
    <w:rsid w:val="0024604B"/>
    <w:rsid w:val="002562CC"/>
    <w:rsid w:val="002771DB"/>
    <w:rsid w:val="002D1F1C"/>
    <w:rsid w:val="00302ED9"/>
    <w:rsid w:val="00303F01"/>
    <w:rsid w:val="00303F1D"/>
    <w:rsid w:val="003225AE"/>
    <w:rsid w:val="0032278D"/>
    <w:rsid w:val="00330AD3"/>
    <w:rsid w:val="0035265D"/>
    <w:rsid w:val="00355018"/>
    <w:rsid w:val="00376191"/>
    <w:rsid w:val="00376B6E"/>
    <w:rsid w:val="003975DD"/>
    <w:rsid w:val="003A12D2"/>
    <w:rsid w:val="003C796A"/>
    <w:rsid w:val="003E7976"/>
    <w:rsid w:val="00432AA7"/>
    <w:rsid w:val="00472B98"/>
    <w:rsid w:val="00480AB8"/>
    <w:rsid w:val="00494C23"/>
    <w:rsid w:val="004C65EB"/>
    <w:rsid w:val="004C738A"/>
    <w:rsid w:val="004C7FBE"/>
    <w:rsid w:val="004D24CA"/>
    <w:rsid w:val="004D3DF7"/>
    <w:rsid w:val="004F03D6"/>
    <w:rsid w:val="00532AA5"/>
    <w:rsid w:val="00547EA4"/>
    <w:rsid w:val="00570473"/>
    <w:rsid w:val="005C6ADC"/>
    <w:rsid w:val="00615B8D"/>
    <w:rsid w:val="0066395D"/>
    <w:rsid w:val="00690D05"/>
    <w:rsid w:val="00696D83"/>
    <w:rsid w:val="006B1FE9"/>
    <w:rsid w:val="006C71F1"/>
    <w:rsid w:val="006E1059"/>
    <w:rsid w:val="006E683D"/>
    <w:rsid w:val="006F4E02"/>
    <w:rsid w:val="007074FF"/>
    <w:rsid w:val="007320D8"/>
    <w:rsid w:val="00737107"/>
    <w:rsid w:val="0074243F"/>
    <w:rsid w:val="007568F4"/>
    <w:rsid w:val="00756F5D"/>
    <w:rsid w:val="00791B37"/>
    <w:rsid w:val="007A6B7C"/>
    <w:rsid w:val="007B18D6"/>
    <w:rsid w:val="007D07FC"/>
    <w:rsid w:val="007F5678"/>
    <w:rsid w:val="008B6D42"/>
    <w:rsid w:val="008D4935"/>
    <w:rsid w:val="008D666C"/>
    <w:rsid w:val="008E44A2"/>
    <w:rsid w:val="008E5805"/>
    <w:rsid w:val="008F7F84"/>
    <w:rsid w:val="00956BB4"/>
    <w:rsid w:val="009E07F6"/>
    <w:rsid w:val="00A00FE0"/>
    <w:rsid w:val="00A301ED"/>
    <w:rsid w:val="00A31613"/>
    <w:rsid w:val="00A344A1"/>
    <w:rsid w:val="00A443DF"/>
    <w:rsid w:val="00A805AA"/>
    <w:rsid w:val="00AB3390"/>
    <w:rsid w:val="00AB4096"/>
    <w:rsid w:val="00AF1AA1"/>
    <w:rsid w:val="00B4554B"/>
    <w:rsid w:val="00BE7D4C"/>
    <w:rsid w:val="00C67F9A"/>
    <w:rsid w:val="00C8303B"/>
    <w:rsid w:val="00C85C57"/>
    <w:rsid w:val="00CC0F8D"/>
    <w:rsid w:val="00CC3391"/>
    <w:rsid w:val="00CC53A0"/>
    <w:rsid w:val="00CD4982"/>
    <w:rsid w:val="00CE50A5"/>
    <w:rsid w:val="00CF568C"/>
    <w:rsid w:val="00D001AA"/>
    <w:rsid w:val="00D233FC"/>
    <w:rsid w:val="00D44ECB"/>
    <w:rsid w:val="00D615A9"/>
    <w:rsid w:val="00D968DB"/>
    <w:rsid w:val="00DA523A"/>
    <w:rsid w:val="00DB2420"/>
    <w:rsid w:val="00DE1D4A"/>
    <w:rsid w:val="00DE7DE6"/>
    <w:rsid w:val="00E10BCF"/>
    <w:rsid w:val="00E47048"/>
    <w:rsid w:val="00E53413"/>
    <w:rsid w:val="00E669C2"/>
    <w:rsid w:val="00E71137"/>
    <w:rsid w:val="00E8447B"/>
    <w:rsid w:val="00E96EF0"/>
    <w:rsid w:val="00F07C13"/>
    <w:rsid w:val="00F40987"/>
    <w:rsid w:val="00F46DA3"/>
    <w:rsid w:val="00FC5C66"/>
    <w:rsid w:val="017868B5"/>
    <w:rsid w:val="01832591"/>
    <w:rsid w:val="01A12D13"/>
    <w:rsid w:val="02486A8E"/>
    <w:rsid w:val="029F7154"/>
    <w:rsid w:val="02A1447D"/>
    <w:rsid w:val="032F6920"/>
    <w:rsid w:val="04506958"/>
    <w:rsid w:val="04DE437D"/>
    <w:rsid w:val="05340028"/>
    <w:rsid w:val="05C70041"/>
    <w:rsid w:val="060A308F"/>
    <w:rsid w:val="060F639F"/>
    <w:rsid w:val="06652463"/>
    <w:rsid w:val="08B74923"/>
    <w:rsid w:val="092263E9"/>
    <w:rsid w:val="093208FE"/>
    <w:rsid w:val="0A817662"/>
    <w:rsid w:val="0AB319EF"/>
    <w:rsid w:val="0AF65BAA"/>
    <w:rsid w:val="0B0225D9"/>
    <w:rsid w:val="0B582B93"/>
    <w:rsid w:val="0BC41804"/>
    <w:rsid w:val="0E3E1F17"/>
    <w:rsid w:val="101051ED"/>
    <w:rsid w:val="106D4074"/>
    <w:rsid w:val="10AE6DBE"/>
    <w:rsid w:val="114A29CE"/>
    <w:rsid w:val="11A007F3"/>
    <w:rsid w:val="13AB75EB"/>
    <w:rsid w:val="141B4B0A"/>
    <w:rsid w:val="14B42A93"/>
    <w:rsid w:val="15970404"/>
    <w:rsid w:val="15E20BAE"/>
    <w:rsid w:val="17286D0C"/>
    <w:rsid w:val="179764FD"/>
    <w:rsid w:val="17BE4DAF"/>
    <w:rsid w:val="194C3802"/>
    <w:rsid w:val="1A4D7493"/>
    <w:rsid w:val="1A5B50CB"/>
    <w:rsid w:val="1AC33221"/>
    <w:rsid w:val="1AD55213"/>
    <w:rsid w:val="1B495D2A"/>
    <w:rsid w:val="1BAD248A"/>
    <w:rsid w:val="1BDC68CC"/>
    <w:rsid w:val="1E731769"/>
    <w:rsid w:val="1F3053B8"/>
    <w:rsid w:val="1FC73A85"/>
    <w:rsid w:val="20717F2A"/>
    <w:rsid w:val="21160150"/>
    <w:rsid w:val="22643B2A"/>
    <w:rsid w:val="22884B9B"/>
    <w:rsid w:val="2299657C"/>
    <w:rsid w:val="239B0E1A"/>
    <w:rsid w:val="24A94139"/>
    <w:rsid w:val="24D35EFE"/>
    <w:rsid w:val="25C042C4"/>
    <w:rsid w:val="261F179D"/>
    <w:rsid w:val="26773DC1"/>
    <w:rsid w:val="27C56BA3"/>
    <w:rsid w:val="28093045"/>
    <w:rsid w:val="28D70B46"/>
    <w:rsid w:val="292A336C"/>
    <w:rsid w:val="298962E5"/>
    <w:rsid w:val="29961AB0"/>
    <w:rsid w:val="29EB3B8F"/>
    <w:rsid w:val="2A8668B4"/>
    <w:rsid w:val="2AD40F00"/>
    <w:rsid w:val="2BD90527"/>
    <w:rsid w:val="2C0B2FE1"/>
    <w:rsid w:val="2D1934DC"/>
    <w:rsid w:val="2DA73BC9"/>
    <w:rsid w:val="2E46510F"/>
    <w:rsid w:val="2E801DEE"/>
    <w:rsid w:val="2F032695"/>
    <w:rsid w:val="2F4260D0"/>
    <w:rsid w:val="2FEF6701"/>
    <w:rsid w:val="30333103"/>
    <w:rsid w:val="30D047F9"/>
    <w:rsid w:val="30FA745A"/>
    <w:rsid w:val="32070D49"/>
    <w:rsid w:val="32736AB8"/>
    <w:rsid w:val="342A2472"/>
    <w:rsid w:val="35644951"/>
    <w:rsid w:val="36B613C6"/>
    <w:rsid w:val="36C10BB7"/>
    <w:rsid w:val="36DC6C68"/>
    <w:rsid w:val="37022674"/>
    <w:rsid w:val="373830F8"/>
    <w:rsid w:val="38713FD9"/>
    <w:rsid w:val="3976413E"/>
    <w:rsid w:val="3A3468B1"/>
    <w:rsid w:val="3A592270"/>
    <w:rsid w:val="3A896735"/>
    <w:rsid w:val="3B3F1AA5"/>
    <w:rsid w:val="3BA819AA"/>
    <w:rsid w:val="3BE84F25"/>
    <w:rsid w:val="3D22462E"/>
    <w:rsid w:val="3D6C7DD4"/>
    <w:rsid w:val="3DAF6DDA"/>
    <w:rsid w:val="3DB334D8"/>
    <w:rsid w:val="3DB71F08"/>
    <w:rsid w:val="3DFB283E"/>
    <w:rsid w:val="3E10318A"/>
    <w:rsid w:val="3E3348BA"/>
    <w:rsid w:val="3EE53B65"/>
    <w:rsid w:val="41526B64"/>
    <w:rsid w:val="41BE5866"/>
    <w:rsid w:val="41D1217F"/>
    <w:rsid w:val="428E2D6F"/>
    <w:rsid w:val="43071F86"/>
    <w:rsid w:val="452669A6"/>
    <w:rsid w:val="46A81416"/>
    <w:rsid w:val="4700173E"/>
    <w:rsid w:val="476024E2"/>
    <w:rsid w:val="47D430B3"/>
    <w:rsid w:val="483E2513"/>
    <w:rsid w:val="488C6E00"/>
    <w:rsid w:val="4CBC5798"/>
    <w:rsid w:val="4D1A7B0D"/>
    <w:rsid w:val="4E26398E"/>
    <w:rsid w:val="4E520210"/>
    <w:rsid w:val="4E787F99"/>
    <w:rsid w:val="4ED16D37"/>
    <w:rsid w:val="4FDE1EEA"/>
    <w:rsid w:val="50F508CA"/>
    <w:rsid w:val="51E918CF"/>
    <w:rsid w:val="54BA402F"/>
    <w:rsid w:val="54F25B03"/>
    <w:rsid w:val="5511700B"/>
    <w:rsid w:val="55701CD9"/>
    <w:rsid w:val="56A30136"/>
    <w:rsid w:val="5961765F"/>
    <w:rsid w:val="5CA23B87"/>
    <w:rsid w:val="5D214166"/>
    <w:rsid w:val="5E0E4007"/>
    <w:rsid w:val="5E1360BA"/>
    <w:rsid w:val="60CA5C5B"/>
    <w:rsid w:val="61371BA7"/>
    <w:rsid w:val="61BD594B"/>
    <w:rsid w:val="61EB3214"/>
    <w:rsid w:val="64721148"/>
    <w:rsid w:val="64C32220"/>
    <w:rsid w:val="65B926B0"/>
    <w:rsid w:val="66291A75"/>
    <w:rsid w:val="66F64CB2"/>
    <w:rsid w:val="67D0597C"/>
    <w:rsid w:val="67E564E7"/>
    <w:rsid w:val="68867589"/>
    <w:rsid w:val="69881DD0"/>
    <w:rsid w:val="69C354F4"/>
    <w:rsid w:val="6A1A3E14"/>
    <w:rsid w:val="6AC01691"/>
    <w:rsid w:val="6C1D7DFE"/>
    <w:rsid w:val="6C702411"/>
    <w:rsid w:val="6D65184A"/>
    <w:rsid w:val="6DC538B9"/>
    <w:rsid w:val="6E7D0E15"/>
    <w:rsid w:val="70C0732B"/>
    <w:rsid w:val="71CE53FC"/>
    <w:rsid w:val="735D31EB"/>
    <w:rsid w:val="74736F42"/>
    <w:rsid w:val="74E51BC9"/>
    <w:rsid w:val="75531083"/>
    <w:rsid w:val="75795EB8"/>
    <w:rsid w:val="75BB0D44"/>
    <w:rsid w:val="76D17F2E"/>
    <w:rsid w:val="77055629"/>
    <w:rsid w:val="77CE623E"/>
    <w:rsid w:val="77D226FA"/>
    <w:rsid w:val="78A551F0"/>
    <w:rsid w:val="78DF07DD"/>
    <w:rsid w:val="78EE574A"/>
    <w:rsid w:val="798C7FDD"/>
    <w:rsid w:val="7D975515"/>
    <w:rsid w:val="7FA36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qFormat/>
    <w:uiPriority w:val="9"/>
    <w:pPr>
      <w:keepNext/>
      <w:keepLines/>
      <w:spacing w:beforeLines="50" w:afterLines="50" w:line="360" w:lineRule="auto"/>
      <w:outlineLvl w:val="0"/>
    </w:pPr>
    <w:rPr>
      <w:b/>
      <w:kern w:val="44"/>
      <w:sz w:val="24"/>
    </w:rPr>
  </w:style>
  <w:style w:type="paragraph" w:styleId="4">
    <w:name w:val="heading 2"/>
    <w:basedOn w:val="1"/>
    <w:next w:val="1"/>
    <w:unhideWhenUsed/>
    <w:qFormat/>
    <w:uiPriority w:val="9"/>
    <w:pPr>
      <w:spacing w:before="50" w:beforeLines="50" w:after="50" w:afterLines="50" w:line="360" w:lineRule="auto"/>
      <w:ind w:firstLine="480" w:firstLineChars="200"/>
      <w:outlineLvl w:val="1"/>
    </w:pPr>
    <w:rPr>
      <w:rFonts w:ascii="宋体" w:hAnsi="宋体"/>
      <w:b/>
      <w:sz w:val="24"/>
    </w:rPr>
  </w:style>
  <w:style w:type="paragraph" w:styleId="5">
    <w:name w:val="heading 3"/>
    <w:basedOn w:val="1"/>
    <w:next w:val="1"/>
    <w:unhideWhenUsed/>
    <w:qFormat/>
    <w:uiPriority w:val="9"/>
    <w:pPr>
      <w:spacing w:line="360" w:lineRule="auto"/>
      <w:ind w:firstLine="480" w:firstLineChars="200"/>
      <w:outlineLvl w:val="2"/>
    </w:pPr>
    <w:rPr>
      <w:rFonts w:ascii="宋体" w:hAnsi="宋体"/>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qFormat/>
    <w:uiPriority w:val="0"/>
    <w:pPr>
      <w:spacing w:before="50" w:beforeLines="50" w:line="360" w:lineRule="auto"/>
      <w:ind w:firstLine="200" w:firstLineChars="200"/>
      <w:jc w:val="both"/>
    </w:pPr>
    <w:rPr>
      <w:rFonts w:ascii="Times New Roman" w:hAnsi="Times New Roman" w:eastAsia="宋体" w:cs="Times New Roman"/>
      <w:kern w:val="2"/>
      <w:sz w:val="24"/>
      <w:szCs w:val="23"/>
      <w:lang w:val="en-US" w:eastAsia="zh-CN" w:bidi="ar-SA"/>
    </w:rPr>
  </w:style>
  <w:style w:type="paragraph" w:styleId="6">
    <w:name w:val="annotation text"/>
    <w:basedOn w:val="1"/>
    <w:semiHidden/>
    <w:unhideWhenUsed/>
    <w:qFormat/>
    <w:uiPriority w:val="99"/>
    <w:pPr>
      <w:jc w:val="left"/>
    </w:p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1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styleId="15">
    <w:name w:val="Hyperlink"/>
    <w:basedOn w:val="13"/>
    <w:semiHidden/>
    <w:unhideWhenUsed/>
    <w:qFormat/>
    <w:uiPriority w:val="99"/>
    <w:rPr>
      <w:color w:val="0000FF"/>
      <w:u w:val="single"/>
    </w:rPr>
  </w:style>
  <w:style w:type="character" w:customStyle="1" w:styleId="16">
    <w:name w:val="页脚 字符"/>
    <w:link w:val="7"/>
    <w:qFormat/>
    <w:uiPriority w:val="99"/>
    <w:rPr>
      <w:sz w:val="18"/>
      <w:szCs w:val="18"/>
    </w:rPr>
  </w:style>
  <w:style w:type="character" w:customStyle="1" w:styleId="17">
    <w:name w:val="页眉 字符"/>
    <w:link w:val="8"/>
    <w:semiHidden/>
    <w:qFormat/>
    <w:uiPriority w:val="99"/>
    <w:rPr>
      <w:sz w:val="18"/>
      <w:szCs w:val="18"/>
    </w:rPr>
  </w:style>
  <w:style w:type="character" w:customStyle="1" w:styleId="18">
    <w:name w:val="HTML 预设格式 字符"/>
    <w:link w:val="9"/>
    <w:qFormat/>
    <w:uiPriority w:val="99"/>
    <w:rPr>
      <w:rFonts w:ascii="宋体" w:hAnsi="宋体" w:cs="宋体"/>
      <w:sz w:val="24"/>
      <w:szCs w:val="24"/>
    </w:rPr>
  </w:style>
  <w:style w:type="table" w:customStyle="1" w:styleId="19">
    <w:name w:val="网格型1"/>
    <w:basedOn w:val="11"/>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0">
    <w:name w:val="fontstyle01"/>
    <w:qFormat/>
    <w:uiPriority w:val="0"/>
    <w:rPr>
      <w:rFonts w:hint="eastAsia" w:ascii="宋体" w:hAnsi="宋体" w:eastAsia="宋体"/>
      <w:color w:val="000000"/>
      <w:sz w:val="24"/>
      <w:szCs w:val="24"/>
    </w:rPr>
  </w:style>
  <w:style w:type="paragraph" w:customStyle="1" w:styleId="21">
    <w:name w:val="修订1"/>
    <w:hidden/>
    <w:unhideWhenUsed/>
    <w:qFormat/>
    <w:uiPriority w:val="99"/>
    <w:rPr>
      <w:rFonts w:ascii="Calibri" w:hAnsi="Calibri" w:eastAsia="宋体" w:cs="Times New Roman"/>
      <w:kern w:val="2"/>
      <w:sz w:val="21"/>
      <w:szCs w:val="22"/>
      <w:lang w:val="en-US" w:eastAsia="zh-CN" w:bidi="ar-SA"/>
    </w:rPr>
  </w:style>
  <w:style w:type="paragraph" w:styleId="22">
    <w:name w:val="List Paragraph"/>
    <w:basedOn w:val="1"/>
    <w:unhideWhenUsed/>
    <w:uiPriority w:val="99"/>
    <w:pPr>
      <w:ind w:firstLine="420" w:firstLineChars="200"/>
    </w:pPr>
  </w:style>
  <w:style w:type="paragraph" w:customStyle="1" w:styleId="23">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company</Company>
  <Pages>5</Pages>
  <Words>3266</Words>
  <Characters>3521</Characters>
  <Lines>25</Lines>
  <Paragraphs>7</Paragraphs>
  <TotalTime>4</TotalTime>
  <ScaleCrop>false</ScaleCrop>
  <LinksUpToDate>false</LinksUpToDate>
  <CharactersWithSpaces>3565</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2014-02-19T09:25:00Z</dcterms:created>
  <dc:creator>王琴</dc:creator>
  <cp:lastModifiedBy>cdq</cp:lastModifiedBy>
  <cp:lastPrinted>2025-03-17T09:27:00Z</cp:lastPrinted>
  <dcterms:modified xsi:type="dcterms:W3CDTF">2025-08-21T10:09:54Z</dcterms:modified>
  <dc:title>证券代码:300436      证券简称：广生堂     公告编号：20170</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AA7FC7C7664E468FBD22A6CC66A61750</vt:lpwstr>
  </property>
  <property fmtid="{D5CDD505-2E9C-101B-9397-08002B2CF9AE}" pid="4" name="KSOTemplateDocerSaveRecord">
    <vt:lpwstr>eyJoZGlkIjoiY2Q4MDAzNjNiM2EwYjNjY2VkN2I2ZWY4OTg5YTA1ZWYiLCJ1c2VySWQiOiIxMzk5OTUwMzQxIn0=</vt:lpwstr>
  </property>
</Properties>
</file>