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BF591" w14:textId="77777777" w:rsidR="009940F6" w:rsidRDefault="00000000">
      <w:pPr>
        <w:spacing w:line="360" w:lineRule="auto"/>
        <w:rPr>
          <w:rFonts w:ascii="宋体" w:hAnsi="宋体" w:cs="宋体" w:hint="eastAsia"/>
          <w:kern w:val="0"/>
          <w:sz w:val="24"/>
          <w:szCs w:val="24"/>
        </w:rPr>
      </w:pPr>
      <w:r>
        <w:rPr>
          <w:rFonts w:ascii="宋体" w:hAnsi="宋体" w:cs="宋体" w:hint="eastAsia"/>
          <w:kern w:val="0"/>
          <w:sz w:val="24"/>
          <w:szCs w:val="24"/>
        </w:rPr>
        <w:t>证券代码：300436         证券简称：广生堂       公告编号：2025068</w:t>
      </w:r>
    </w:p>
    <w:p w14:paraId="3578A660" w14:textId="77777777" w:rsidR="009940F6" w:rsidRDefault="00000000">
      <w:pPr>
        <w:spacing w:beforeLines="50" w:before="156"/>
        <w:jc w:val="center"/>
        <w:rPr>
          <w:rFonts w:ascii="宋体" w:hAnsi="宋体" w:cs="宋体" w:hint="eastAsia"/>
          <w:b/>
          <w:kern w:val="0"/>
          <w:sz w:val="32"/>
          <w:szCs w:val="32"/>
        </w:rPr>
      </w:pPr>
      <w:r>
        <w:rPr>
          <w:rFonts w:ascii="宋体" w:hAnsi="宋体" w:cs="宋体" w:hint="eastAsia"/>
          <w:b/>
          <w:kern w:val="0"/>
          <w:sz w:val="32"/>
          <w:szCs w:val="32"/>
        </w:rPr>
        <w:t>福建广生堂药业股份有限公司</w:t>
      </w:r>
    </w:p>
    <w:p w14:paraId="70937D86" w14:textId="77777777" w:rsidR="009940F6" w:rsidRDefault="00000000">
      <w:pPr>
        <w:jc w:val="center"/>
        <w:rPr>
          <w:rFonts w:ascii="宋体" w:hAnsi="宋体" w:cs="宋体" w:hint="eastAsia"/>
          <w:b/>
          <w:sz w:val="32"/>
          <w:szCs w:val="32"/>
        </w:rPr>
      </w:pPr>
      <w:r>
        <w:rPr>
          <w:rFonts w:ascii="宋体" w:hAnsi="宋体" w:cs="宋体" w:hint="eastAsia"/>
          <w:b/>
          <w:sz w:val="32"/>
          <w:szCs w:val="32"/>
        </w:rPr>
        <w:t>关于控股子公司股权转让及增资扩股暨</w:t>
      </w:r>
    </w:p>
    <w:p w14:paraId="654376E9" w14:textId="77777777" w:rsidR="009940F6" w:rsidRDefault="00000000">
      <w:pPr>
        <w:jc w:val="center"/>
        <w:rPr>
          <w:rFonts w:ascii="宋体" w:hAnsi="宋体" w:cs="宋体" w:hint="eastAsia"/>
          <w:b/>
          <w:sz w:val="32"/>
          <w:szCs w:val="32"/>
        </w:rPr>
      </w:pPr>
      <w:r>
        <w:rPr>
          <w:rFonts w:ascii="宋体" w:hAnsi="宋体" w:cs="宋体" w:hint="eastAsia"/>
          <w:b/>
          <w:sz w:val="32"/>
          <w:szCs w:val="32"/>
        </w:rPr>
        <w:t>公司放弃优先权的进展公告</w:t>
      </w:r>
    </w:p>
    <w:p w14:paraId="6835C4F3" w14:textId="77777777" w:rsidR="009940F6" w:rsidRDefault="009940F6">
      <w:pPr>
        <w:jc w:val="center"/>
        <w:rPr>
          <w:rFonts w:ascii="宋体" w:hAnsi="宋体" w:cs="宋体" w:hint="eastAsia"/>
          <w:b/>
          <w:sz w:val="24"/>
          <w:szCs w:val="24"/>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522"/>
      </w:tblGrid>
      <w:tr w:rsidR="009940F6" w14:paraId="0DF0F1F1" w14:textId="77777777">
        <w:trPr>
          <w:trHeight w:val="1457"/>
        </w:trPr>
        <w:tc>
          <w:tcPr>
            <w:tcW w:w="8522" w:type="dxa"/>
            <w:vAlign w:val="center"/>
          </w:tcPr>
          <w:p w14:paraId="71D1853A" w14:textId="77777777" w:rsidR="009940F6" w:rsidRDefault="00000000">
            <w:pPr>
              <w:widowControl/>
              <w:ind w:firstLineChars="200" w:firstLine="600"/>
              <w:rPr>
                <w:rFonts w:ascii="宋体" w:hAnsi="宋体" w:cs="宋体" w:hint="eastAsia"/>
                <w:b/>
                <w:sz w:val="30"/>
                <w:szCs w:val="30"/>
              </w:rPr>
            </w:pPr>
            <w:r>
              <w:rPr>
                <w:rFonts w:ascii="宋体" w:hAnsi="宋体" w:cs="宋体" w:hint="eastAsia"/>
                <w:kern w:val="0"/>
                <w:sz w:val="30"/>
                <w:szCs w:val="30"/>
              </w:rPr>
              <w:t>本公司及董事会全体成员保证信息披露的内容真实、准确、完整，没有虚假记载、误导性陈述或重大遗漏。</w:t>
            </w:r>
          </w:p>
        </w:tc>
      </w:tr>
    </w:tbl>
    <w:p w14:paraId="6F7E655E" w14:textId="77777777" w:rsidR="009940F6" w:rsidRDefault="009940F6">
      <w:pPr>
        <w:adjustRightInd w:val="0"/>
        <w:snapToGrid w:val="0"/>
        <w:spacing w:line="360" w:lineRule="auto"/>
        <w:ind w:firstLineChars="200" w:firstLine="480"/>
        <w:rPr>
          <w:rFonts w:ascii="宋体" w:hAnsi="宋体" w:cs="宋体" w:hint="eastAsia"/>
          <w:sz w:val="24"/>
          <w:szCs w:val="24"/>
        </w:rPr>
      </w:pPr>
    </w:p>
    <w:p w14:paraId="5F03B78A" w14:textId="77777777" w:rsidR="009940F6" w:rsidRDefault="00000000">
      <w:pPr>
        <w:pStyle w:val="1"/>
        <w:spacing w:before="156" w:after="156"/>
      </w:pPr>
      <w:r>
        <w:rPr>
          <w:rFonts w:hint="eastAsia"/>
        </w:rPr>
        <w:t>一、交易概述</w:t>
      </w:r>
    </w:p>
    <w:p w14:paraId="2CA514A8" w14:textId="6A2485DE" w:rsidR="009940F6" w:rsidRDefault="00000000">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福建广生堂药业股份有限公司（以下简称“公司”）于2025年9月1日召开第五届董事会第十一次会议</w:t>
      </w:r>
      <w:r w:rsidR="00097255">
        <w:rPr>
          <w:rFonts w:ascii="宋体" w:hAnsi="宋体" w:cs="宋体" w:hint="eastAsia"/>
          <w:sz w:val="24"/>
          <w:szCs w:val="24"/>
        </w:rPr>
        <w:t>审议</w:t>
      </w:r>
      <w:r>
        <w:rPr>
          <w:rFonts w:ascii="宋体" w:hAnsi="宋体" w:cs="宋体" w:hint="eastAsia"/>
          <w:sz w:val="24"/>
          <w:szCs w:val="24"/>
        </w:rPr>
        <w:t>通过了</w:t>
      </w:r>
      <w:bookmarkStart w:id="0" w:name="OLE_LINK2"/>
      <w:r>
        <w:rPr>
          <w:rFonts w:ascii="宋体" w:hAnsi="宋体" w:cs="宋体" w:hint="eastAsia"/>
          <w:sz w:val="24"/>
          <w:szCs w:val="24"/>
        </w:rPr>
        <w:t>《关于控股子公司股权转让及增资扩股暨公司放弃优先权的议案》</w:t>
      </w:r>
      <w:bookmarkEnd w:id="0"/>
      <w:r>
        <w:rPr>
          <w:rFonts w:ascii="宋体" w:hAnsi="宋体" w:cs="宋体" w:hint="eastAsia"/>
          <w:sz w:val="24"/>
          <w:szCs w:val="24"/>
        </w:rPr>
        <w:t>，同意公司创新药控股子公司福建广生中</w:t>
      </w:r>
      <w:proofErr w:type="gramStart"/>
      <w:r>
        <w:rPr>
          <w:rFonts w:ascii="宋体" w:hAnsi="宋体" w:cs="宋体" w:hint="eastAsia"/>
          <w:sz w:val="24"/>
          <w:szCs w:val="24"/>
        </w:rPr>
        <w:t>霖</w:t>
      </w:r>
      <w:proofErr w:type="gramEnd"/>
      <w:r>
        <w:rPr>
          <w:rFonts w:ascii="宋体" w:hAnsi="宋体" w:cs="宋体" w:hint="eastAsia"/>
          <w:sz w:val="24"/>
          <w:szCs w:val="24"/>
        </w:rPr>
        <w:t>生物科技有限公司（简称“广生中</w:t>
      </w:r>
      <w:proofErr w:type="gramStart"/>
      <w:r>
        <w:rPr>
          <w:rFonts w:ascii="宋体" w:hAnsi="宋体" w:cs="宋体" w:hint="eastAsia"/>
          <w:sz w:val="24"/>
          <w:szCs w:val="24"/>
        </w:rPr>
        <w:t>霖</w:t>
      </w:r>
      <w:proofErr w:type="gramEnd"/>
      <w:r>
        <w:rPr>
          <w:rFonts w:ascii="宋体" w:hAnsi="宋体" w:cs="宋体" w:hint="eastAsia"/>
          <w:sz w:val="24"/>
          <w:szCs w:val="24"/>
        </w:rPr>
        <w:t>”）少数股东股权对外转让及广生中</w:t>
      </w:r>
      <w:proofErr w:type="gramStart"/>
      <w:r>
        <w:rPr>
          <w:rFonts w:ascii="宋体" w:hAnsi="宋体" w:cs="宋体" w:hint="eastAsia"/>
          <w:sz w:val="24"/>
          <w:szCs w:val="24"/>
        </w:rPr>
        <w:t>霖</w:t>
      </w:r>
      <w:proofErr w:type="gramEnd"/>
      <w:r>
        <w:rPr>
          <w:rFonts w:ascii="宋体" w:hAnsi="宋体" w:cs="宋体" w:hint="eastAsia"/>
          <w:sz w:val="24"/>
          <w:szCs w:val="24"/>
        </w:rPr>
        <w:t>增资扩股引入重要投资者，公司放弃优先购买权和优先认缴出资权事项</w:t>
      </w:r>
      <w:r w:rsidR="0083199D">
        <w:rPr>
          <w:rFonts w:ascii="宋体" w:hAnsi="宋体" w:cs="宋体" w:hint="eastAsia"/>
          <w:sz w:val="24"/>
          <w:szCs w:val="24"/>
        </w:rPr>
        <w:t>，同意提请股东大会</w:t>
      </w:r>
      <w:r w:rsidR="0083199D" w:rsidRPr="0083199D">
        <w:rPr>
          <w:rFonts w:ascii="宋体" w:hAnsi="宋体" w:cs="宋体" w:hint="eastAsia"/>
          <w:sz w:val="24"/>
          <w:szCs w:val="24"/>
        </w:rPr>
        <w:t>授权管理层全权办理本次增资的后续事项，包括但不限于在权限范围内确认本次交易相关协议的具体内容、签订协议以及具体履行协议的相关事宜</w:t>
      </w:r>
      <w:r>
        <w:rPr>
          <w:rFonts w:ascii="宋体" w:hAnsi="宋体" w:cs="宋体" w:hint="eastAsia"/>
          <w:sz w:val="24"/>
          <w:szCs w:val="24"/>
        </w:rPr>
        <w:t>。济南</w:t>
      </w:r>
      <w:proofErr w:type="gramStart"/>
      <w:r>
        <w:rPr>
          <w:rFonts w:ascii="宋体" w:hAnsi="宋体" w:cs="宋体" w:hint="eastAsia"/>
          <w:sz w:val="24"/>
          <w:szCs w:val="24"/>
        </w:rPr>
        <w:t>泰神投资</w:t>
      </w:r>
      <w:proofErr w:type="gramEnd"/>
      <w:r>
        <w:rPr>
          <w:rFonts w:ascii="宋体" w:hAnsi="宋体" w:cs="宋体" w:hint="eastAsia"/>
          <w:sz w:val="24"/>
          <w:szCs w:val="24"/>
        </w:rPr>
        <w:t>合伙企业（有限合伙）（以下简称“济南泰神”）和华欣石</w:t>
      </w:r>
      <w:proofErr w:type="gramStart"/>
      <w:r>
        <w:rPr>
          <w:rFonts w:ascii="宋体" w:hAnsi="宋体" w:cs="宋体" w:hint="eastAsia"/>
          <w:sz w:val="24"/>
          <w:szCs w:val="24"/>
        </w:rPr>
        <w:t>恒</w:t>
      </w:r>
      <w:proofErr w:type="gramEnd"/>
      <w:r>
        <w:rPr>
          <w:rFonts w:ascii="宋体" w:hAnsi="宋体" w:cs="宋体" w:hint="eastAsia"/>
          <w:sz w:val="24"/>
          <w:szCs w:val="24"/>
        </w:rPr>
        <w:t>科技创业投资基金（青岛）合伙企业（有限合伙）（简称“华欣石恒”）</w:t>
      </w:r>
      <w:proofErr w:type="gramStart"/>
      <w:r>
        <w:rPr>
          <w:rFonts w:ascii="宋体" w:hAnsi="宋体" w:cs="宋体" w:hint="eastAsia"/>
          <w:sz w:val="24"/>
          <w:szCs w:val="24"/>
        </w:rPr>
        <w:t>拟按照</w:t>
      </w:r>
      <w:proofErr w:type="gramEnd"/>
      <w:r>
        <w:rPr>
          <w:rFonts w:ascii="宋体" w:hAnsi="宋体" w:cs="宋体" w:hint="eastAsia"/>
          <w:sz w:val="24"/>
          <w:szCs w:val="24"/>
        </w:rPr>
        <w:t>广生中</w:t>
      </w:r>
      <w:proofErr w:type="gramStart"/>
      <w:r>
        <w:rPr>
          <w:rFonts w:ascii="宋体" w:hAnsi="宋体" w:cs="宋体" w:hint="eastAsia"/>
          <w:sz w:val="24"/>
          <w:szCs w:val="24"/>
        </w:rPr>
        <w:t>霖</w:t>
      </w:r>
      <w:proofErr w:type="gramEnd"/>
      <w:r>
        <w:rPr>
          <w:rFonts w:ascii="宋体" w:hAnsi="宋体" w:cs="宋体" w:hint="eastAsia"/>
          <w:sz w:val="24"/>
          <w:szCs w:val="24"/>
        </w:rPr>
        <w:t>投</w:t>
      </w:r>
      <w:proofErr w:type="gramStart"/>
      <w:r>
        <w:rPr>
          <w:rFonts w:ascii="宋体" w:hAnsi="宋体" w:cs="宋体" w:hint="eastAsia"/>
          <w:sz w:val="24"/>
          <w:szCs w:val="24"/>
        </w:rPr>
        <w:t>前整体</w:t>
      </w:r>
      <w:proofErr w:type="gramEnd"/>
      <w:r>
        <w:rPr>
          <w:rFonts w:ascii="宋体" w:hAnsi="宋体" w:cs="宋体" w:hint="eastAsia"/>
          <w:sz w:val="24"/>
          <w:szCs w:val="24"/>
        </w:rPr>
        <w:t>估值25亿元合计增资19,135.1351万元认购广生中</w:t>
      </w:r>
      <w:proofErr w:type="gramStart"/>
      <w:r>
        <w:rPr>
          <w:rFonts w:ascii="宋体" w:hAnsi="宋体" w:cs="宋体" w:hint="eastAsia"/>
          <w:sz w:val="24"/>
          <w:szCs w:val="24"/>
        </w:rPr>
        <w:t>霖</w:t>
      </w:r>
      <w:proofErr w:type="gramEnd"/>
      <w:r>
        <w:rPr>
          <w:rFonts w:ascii="宋体" w:hAnsi="宋体" w:cs="宋体" w:hint="eastAsia"/>
          <w:sz w:val="24"/>
          <w:szCs w:val="24"/>
        </w:rPr>
        <w:t>新增注册资本2,973.60万元，同时广生中</w:t>
      </w:r>
      <w:proofErr w:type="gramStart"/>
      <w:r>
        <w:rPr>
          <w:rFonts w:ascii="宋体" w:hAnsi="宋体" w:cs="宋体" w:hint="eastAsia"/>
          <w:sz w:val="24"/>
          <w:szCs w:val="24"/>
        </w:rPr>
        <w:t>霖</w:t>
      </w:r>
      <w:proofErr w:type="gramEnd"/>
      <w:r>
        <w:rPr>
          <w:rFonts w:ascii="宋体" w:hAnsi="宋体" w:cs="宋体" w:hint="eastAsia"/>
          <w:sz w:val="24"/>
          <w:szCs w:val="24"/>
        </w:rPr>
        <w:t>股东福州奥泰五期投资合伙企业（有限合伙）、福州奥泰六期投资合伙企业（有限合伙）拟以广生中</w:t>
      </w:r>
      <w:proofErr w:type="gramStart"/>
      <w:r>
        <w:rPr>
          <w:rFonts w:ascii="宋体" w:hAnsi="宋体" w:cs="宋体" w:hint="eastAsia"/>
          <w:sz w:val="24"/>
          <w:szCs w:val="24"/>
        </w:rPr>
        <w:t>霖</w:t>
      </w:r>
      <w:proofErr w:type="gramEnd"/>
      <w:r>
        <w:rPr>
          <w:rFonts w:ascii="宋体" w:hAnsi="宋体" w:cs="宋体" w:hint="eastAsia"/>
          <w:sz w:val="24"/>
          <w:szCs w:val="24"/>
        </w:rPr>
        <w:t>投</w:t>
      </w:r>
      <w:proofErr w:type="gramStart"/>
      <w:r>
        <w:rPr>
          <w:rFonts w:ascii="宋体" w:hAnsi="宋体" w:cs="宋体" w:hint="eastAsia"/>
          <w:sz w:val="24"/>
          <w:szCs w:val="24"/>
        </w:rPr>
        <w:t>前整体</w:t>
      </w:r>
      <w:proofErr w:type="gramEnd"/>
      <w:r>
        <w:rPr>
          <w:rFonts w:ascii="宋体" w:hAnsi="宋体" w:cs="宋体" w:hint="eastAsia"/>
          <w:sz w:val="24"/>
          <w:szCs w:val="24"/>
        </w:rPr>
        <w:t>估值17.5亿元将各自持有的部分广生中</w:t>
      </w:r>
      <w:proofErr w:type="gramStart"/>
      <w:r>
        <w:rPr>
          <w:rFonts w:ascii="宋体" w:hAnsi="宋体" w:cs="宋体" w:hint="eastAsia"/>
          <w:sz w:val="24"/>
          <w:szCs w:val="24"/>
        </w:rPr>
        <w:t>霖</w:t>
      </w:r>
      <w:proofErr w:type="gramEnd"/>
      <w:r>
        <w:rPr>
          <w:rFonts w:ascii="宋体" w:hAnsi="宋体" w:cs="宋体" w:hint="eastAsia"/>
          <w:sz w:val="24"/>
          <w:szCs w:val="24"/>
        </w:rPr>
        <w:t>股权以合计5,864.8649万元进行转让。本次交易</w:t>
      </w:r>
      <w:r>
        <w:rPr>
          <w:rFonts w:ascii="宋体" w:hAnsi="宋体" w:cs="宋体" w:hint="eastAsia"/>
          <w:color w:val="000000"/>
          <w:sz w:val="24"/>
          <w:szCs w:val="24"/>
          <w:shd w:val="clear" w:color="auto" w:fill="FFFFFF"/>
        </w:rPr>
        <w:t>完</w:t>
      </w:r>
      <w:r>
        <w:rPr>
          <w:rFonts w:ascii="宋体" w:hAnsi="宋体" w:cs="宋体" w:hint="eastAsia"/>
          <w:sz w:val="24"/>
          <w:szCs w:val="24"/>
        </w:rPr>
        <w:t>成后，广生中</w:t>
      </w:r>
      <w:proofErr w:type="gramStart"/>
      <w:r>
        <w:rPr>
          <w:rFonts w:ascii="宋体" w:hAnsi="宋体" w:cs="宋体" w:hint="eastAsia"/>
          <w:sz w:val="24"/>
          <w:szCs w:val="24"/>
        </w:rPr>
        <w:t>霖</w:t>
      </w:r>
      <w:proofErr w:type="gramEnd"/>
      <w:r>
        <w:rPr>
          <w:rFonts w:ascii="宋体" w:hAnsi="宋体" w:cs="宋体" w:hint="eastAsia"/>
          <w:sz w:val="24"/>
          <w:szCs w:val="24"/>
        </w:rPr>
        <w:t>注册资本由38</w:t>
      </w:r>
      <w:r>
        <w:rPr>
          <w:rFonts w:ascii="宋体" w:hAnsi="宋体" w:cs="宋体" w:hint="eastAsia"/>
          <w:color w:val="000000"/>
          <w:sz w:val="24"/>
          <w:szCs w:val="24"/>
          <w:shd w:val="clear" w:color="auto" w:fill="FFFFFF"/>
        </w:rPr>
        <w:t>,</w:t>
      </w:r>
      <w:r>
        <w:rPr>
          <w:rFonts w:ascii="宋体" w:hAnsi="宋体" w:cs="宋体" w:hint="eastAsia"/>
          <w:sz w:val="24"/>
          <w:szCs w:val="24"/>
        </w:rPr>
        <w:t>850万元增加至41,823.60万元，公司对广生中</w:t>
      </w:r>
      <w:proofErr w:type="gramStart"/>
      <w:r>
        <w:rPr>
          <w:rFonts w:ascii="宋体" w:hAnsi="宋体" w:cs="宋体" w:hint="eastAsia"/>
          <w:sz w:val="24"/>
          <w:szCs w:val="24"/>
        </w:rPr>
        <w:t>霖</w:t>
      </w:r>
      <w:proofErr w:type="gramEnd"/>
      <w:r>
        <w:rPr>
          <w:rFonts w:ascii="宋体" w:hAnsi="宋体" w:cs="宋体" w:hint="eastAsia"/>
          <w:sz w:val="24"/>
          <w:szCs w:val="24"/>
        </w:rPr>
        <w:t>持股比例由81.</w:t>
      </w:r>
      <w:r>
        <w:rPr>
          <w:rFonts w:ascii="宋体" w:hAnsi="宋体" w:cs="宋体" w:hint="eastAsia"/>
          <w:color w:val="000000"/>
          <w:sz w:val="24"/>
          <w:szCs w:val="24"/>
          <w:shd w:val="clear" w:color="auto" w:fill="FFFFFF"/>
        </w:rPr>
        <w:t>0811%变</w:t>
      </w:r>
      <w:r>
        <w:rPr>
          <w:rFonts w:ascii="宋体" w:hAnsi="宋体" w:cs="宋体" w:hint="eastAsia"/>
          <w:sz w:val="24"/>
          <w:szCs w:val="24"/>
        </w:rPr>
        <w:t>为75.3163%，广生中</w:t>
      </w:r>
      <w:proofErr w:type="gramStart"/>
      <w:r>
        <w:rPr>
          <w:rFonts w:ascii="宋体" w:hAnsi="宋体" w:cs="宋体" w:hint="eastAsia"/>
          <w:sz w:val="24"/>
          <w:szCs w:val="24"/>
        </w:rPr>
        <w:t>霖</w:t>
      </w:r>
      <w:proofErr w:type="gramEnd"/>
      <w:r>
        <w:rPr>
          <w:rFonts w:ascii="宋体" w:hAnsi="宋体" w:cs="宋体" w:hint="eastAsia"/>
          <w:sz w:val="24"/>
          <w:szCs w:val="24"/>
        </w:rPr>
        <w:t>仍为公司控股子公司，不会导致公司合并报表范围发生变更。具体内容详见公司披露的《关于控股子公司股权转让及增资扩股暨公司放弃优先权的公告》（公告编号：2025062）。</w:t>
      </w:r>
    </w:p>
    <w:p w14:paraId="73D6FDA9" w14:textId="2B03E1CA" w:rsidR="0083199D" w:rsidRPr="0083199D" w:rsidRDefault="0083199D">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2025年9月17日，公司召开</w:t>
      </w:r>
      <w:r w:rsidRPr="00097255">
        <w:rPr>
          <w:rFonts w:ascii="宋体" w:hAnsi="宋体" w:cs="宋体" w:hint="eastAsia"/>
          <w:sz w:val="24"/>
          <w:szCs w:val="24"/>
        </w:rPr>
        <w:t>2025年第二次临时股东大会</w:t>
      </w:r>
      <w:r>
        <w:rPr>
          <w:rFonts w:ascii="宋体" w:hAnsi="宋体" w:cs="宋体" w:hint="eastAsia"/>
          <w:sz w:val="24"/>
          <w:szCs w:val="24"/>
        </w:rPr>
        <w:t>审议通过了</w:t>
      </w:r>
      <w:r w:rsidRPr="0083199D">
        <w:rPr>
          <w:rFonts w:ascii="宋体" w:hAnsi="宋体" w:cs="宋体" w:hint="eastAsia"/>
          <w:sz w:val="24"/>
          <w:szCs w:val="24"/>
        </w:rPr>
        <w:t>《关</w:t>
      </w:r>
      <w:r w:rsidRPr="0083199D">
        <w:rPr>
          <w:rFonts w:ascii="宋体" w:hAnsi="宋体" w:cs="宋体" w:hint="eastAsia"/>
          <w:sz w:val="24"/>
          <w:szCs w:val="24"/>
        </w:rPr>
        <w:lastRenderedPageBreak/>
        <w:t>于控股子公司股权转让及增资扩股暨公司放弃优先权的议案》</w:t>
      </w:r>
      <w:r>
        <w:rPr>
          <w:rFonts w:ascii="宋体" w:hAnsi="宋体" w:cs="宋体" w:hint="eastAsia"/>
          <w:sz w:val="24"/>
          <w:szCs w:val="24"/>
        </w:rPr>
        <w:t>。</w:t>
      </w:r>
    </w:p>
    <w:p w14:paraId="54163D9B" w14:textId="77777777" w:rsidR="009940F6" w:rsidRDefault="00000000">
      <w:pPr>
        <w:pStyle w:val="1"/>
        <w:spacing w:before="156" w:after="156"/>
      </w:pPr>
      <w:r>
        <w:rPr>
          <w:rFonts w:hint="eastAsia"/>
        </w:rPr>
        <w:t>二、进展情况</w:t>
      </w:r>
    </w:p>
    <w:p w14:paraId="74465592" w14:textId="6DC8D58D" w:rsidR="009940F6" w:rsidRDefault="00000000">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2025年9月</w:t>
      </w:r>
      <w:r w:rsidR="00097255">
        <w:rPr>
          <w:rFonts w:ascii="宋体" w:hAnsi="宋体" w:cs="宋体" w:hint="eastAsia"/>
          <w:sz w:val="24"/>
          <w:szCs w:val="24"/>
        </w:rPr>
        <w:t>24</w:t>
      </w:r>
      <w:r>
        <w:rPr>
          <w:rFonts w:ascii="宋体" w:hAnsi="宋体" w:cs="宋体" w:hint="eastAsia"/>
          <w:sz w:val="24"/>
          <w:szCs w:val="24"/>
        </w:rPr>
        <w:t>日，</w:t>
      </w:r>
      <w:r w:rsidR="0083199D">
        <w:rPr>
          <w:rFonts w:ascii="宋体" w:hAnsi="宋体" w:cs="宋体" w:hint="eastAsia"/>
          <w:sz w:val="24"/>
          <w:szCs w:val="24"/>
        </w:rPr>
        <w:t>公司、广生中</w:t>
      </w:r>
      <w:proofErr w:type="gramStart"/>
      <w:r w:rsidR="0083199D">
        <w:rPr>
          <w:rFonts w:ascii="宋体" w:hAnsi="宋体" w:cs="宋体" w:hint="eastAsia"/>
          <w:sz w:val="24"/>
          <w:szCs w:val="24"/>
        </w:rPr>
        <w:t>霖</w:t>
      </w:r>
      <w:proofErr w:type="gramEnd"/>
      <w:r w:rsidR="0083199D">
        <w:rPr>
          <w:rFonts w:ascii="宋体" w:hAnsi="宋体" w:cs="宋体" w:hint="eastAsia"/>
          <w:sz w:val="24"/>
          <w:szCs w:val="24"/>
        </w:rPr>
        <w:t>与</w:t>
      </w:r>
      <w:r w:rsidR="00EF144A">
        <w:rPr>
          <w:rFonts w:ascii="宋体" w:hAnsi="宋体" w:cs="宋体" w:hint="eastAsia"/>
          <w:sz w:val="24"/>
          <w:szCs w:val="24"/>
        </w:rPr>
        <w:t>其他交易各方</w:t>
      </w:r>
      <w:r w:rsidR="0083199D">
        <w:rPr>
          <w:rFonts w:ascii="宋体" w:hAnsi="宋体" w:cs="宋体" w:hint="eastAsia"/>
          <w:sz w:val="24"/>
          <w:szCs w:val="24"/>
        </w:rPr>
        <w:t>均已</w:t>
      </w:r>
      <w:r w:rsidR="0083199D" w:rsidRPr="0083199D">
        <w:rPr>
          <w:rFonts w:ascii="宋体" w:hAnsi="宋体" w:cs="宋体" w:hint="eastAsia"/>
          <w:sz w:val="24"/>
          <w:szCs w:val="24"/>
        </w:rPr>
        <w:t>履行</w:t>
      </w:r>
      <w:r w:rsidR="0083199D">
        <w:rPr>
          <w:rFonts w:ascii="宋体" w:hAnsi="宋体" w:cs="宋体" w:hint="eastAsia"/>
          <w:sz w:val="24"/>
          <w:szCs w:val="24"/>
        </w:rPr>
        <w:t>完成各自</w:t>
      </w:r>
      <w:r w:rsidR="0083199D" w:rsidRPr="0083199D">
        <w:rPr>
          <w:rFonts w:ascii="宋体" w:hAnsi="宋体" w:cs="宋体" w:hint="eastAsia"/>
          <w:sz w:val="24"/>
          <w:szCs w:val="24"/>
        </w:rPr>
        <w:t>内部决策程序审批</w:t>
      </w:r>
      <w:r w:rsidR="0083199D">
        <w:rPr>
          <w:rFonts w:ascii="宋体" w:hAnsi="宋体" w:cs="宋体" w:hint="eastAsia"/>
          <w:sz w:val="24"/>
          <w:szCs w:val="24"/>
        </w:rPr>
        <w:t>，并</w:t>
      </w:r>
      <w:r>
        <w:rPr>
          <w:rFonts w:ascii="宋体" w:hAnsi="宋体" w:cs="宋体" w:hint="eastAsia"/>
          <w:sz w:val="24"/>
          <w:szCs w:val="24"/>
        </w:rPr>
        <w:t>共同签署了本次交易相关协议。</w:t>
      </w:r>
    </w:p>
    <w:p w14:paraId="494DC251" w14:textId="77777777" w:rsidR="009940F6" w:rsidRDefault="00000000">
      <w:pPr>
        <w:pStyle w:val="1"/>
        <w:spacing w:before="156" w:after="156"/>
      </w:pPr>
      <w:r>
        <w:rPr>
          <w:rFonts w:hint="eastAsia"/>
        </w:rPr>
        <w:t>三、交易协议的主要内容</w:t>
      </w:r>
    </w:p>
    <w:p w14:paraId="47247611" w14:textId="77777777" w:rsidR="009940F6" w:rsidRDefault="00000000">
      <w:pPr>
        <w:pStyle w:val="2"/>
        <w:spacing w:beforeLines="0" w:before="0" w:after="156"/>
        <w:ind w:firstLine="482"/>
        <w:rPr>
          <w:rFonts w:hint="eastAsia"/>
        </w:rPr>
      </w:pPr>
      <w:r>
        <w:rPr>
          <w:rFonts w:hint="eastAsia"/>
        </w:rPr>
        <w:t>（一）协议相关方</w:t>
      </w:r>
    </w:p>
    <w:p w14:paraId="5CD23F71" w14:textId="77777777" w:rsidR="009940F6" w:rsidRDefault="00000000">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1、目标公司：福建广生中</w:t>
      </w:r>
      <w:proofErr w:type="gramStart"/>
      <w:r>
        <w:rPr>
          <w:rFonts w:ascii="宋体" w:hAnsi="宋体" w:cs="宋体" w:hint="eastAsia"/>
          <w:sz w:val="24"/>
          <w:szCs w:val="24"/>
        </w:rPr>
        <w:t>霖</w:t>
      </w:r>
      <w:proofErr w:type="gramEnd"/>
      <w:r>
        <w:rPr>
          <w:rFonts w:ascii="宋体" w:hAnsi="宋体" w:cs="宋体" w:hint="eastAsia"/>
          <w:sz w:val="24"/>
          <w:szCs w:val="24"/>
        </w:rPr>
        <w:t>生物科技有限公司</w:t>
      </w:r>
    </w:p>
    <w:p w14:paraId="08D8C704" w14:textId="77777777" w:rsidR="009940F6" w:rsidRDefault="00000000">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2、广生中</w:t>
      </w:r>
      <w:proofErr w:type="gramStart"/>
      <w:r>
        <w:rPr>
          <w:rFonts w:ascii="宋体" w:hAnsi="宋体" w:cs="宋体" w:hint="eastAsia"/>
          <w:sz w:val="24"/>
          <w:szCs w:val="24"/>
        </w:rPr>
        <w:t>霖</w:t>
      </w:r>
      <w:proofErr w:type="gramEnd"/>
      <w:r>
        <w:rPr>
          <w:rFonts w:ascii="宋体" w:hAnsi="宋体" w:cs="宋体" w:hint="eastAsia"/>
          <w:sz w:val="24"/>
          <w:szCs w:val="24"/>
        </w:rPr>
        <w:t>控股股东：福建广生堂药业股份有限公司</w:t>
      </w:r>
    </w:p>
    <w:p w14:paraId="7F57ACAE" w14:textId="77777777" w:rsidR="009940F6" w:rsidRDefault="00000000">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3、广生中</w:t>
      </w:r>
      <w:proofErr w:type="gramStart"/>
      <w:r>
        <w:rPr>
          <w:rFonts w:ascii="宋体" w:hAnsi="宋体" w:cs="宋体" w:hint="eastAsia"/>
          <w:sz w:val="24"/>
          <w:szCs w:val="24"/>
        </w:rPr>
        <w:t>霖</w:t>
      </w:r>
      <w:proofErr w:type="gramEnd"/>
      <w:r>
        <w:rPr>
          <w:rFonts w:ascii="宋体" w:hAnsi="宋体" w:cs="宋体" w:hint="eastAsia"/>
          <w:sz w:val="24"/>
          <w:szCs w:val="24"/>
        </w:rPr>
        <w:t>现有股东：福建广生堂药业股份有限公司、福州奥泰五期投资合伙企业（有限合伙）、福州奥泰六期投资合伙企业（有限合伙）、宁德市汇聚一号股权投资合伙企业（有限合伙）、福州</w:t>
      </w:r>
      <w:proofErr w:type="gramStart"/>
      <w:r>
        <w:rPr>
          <w:rFonts w:ascii="宋体" w:hAnsi="宋体" w:cs="宋体" w:hint="eastAsia"/>
          <w:sz w:val="24"/>
          <w:szCs w:val="24"/>
        </w:rPr>
        <w:t>创新创科投资</w:t>
      </w:r>
      <w:proofErr w:type="gramEnd"/>
      <w:r>
        <w:rPr>
          <w:rFonts w:ascii="宋体" w:hAnsi="宋体" w:cs="宋体" w:hint="eastAsia"/>
          <w:sz w:val="24"/>
          <w:szCs w:val="24"/>
        </w:rPr>
        <w:t>合伙企业（有限合伙）、杭州泰</w:t>
      </w:r>
      <w:proofErr w:type="gramStart"/>
      <w:r>
        <w:rPr>
          <w:rFonts w:ascii="宋体" w:hAnsi="宋体" w:cs="宋体" w:hint="eastAsia"/>
          <w:sz w:val="24"/>
          <w:szCs w:val="24"/>
        </w:rPr>
        <w:t>鲲</w:t>
      </w:r>
      <w:proofErr w:type="gramEnd"/>
      <w:r>
        <w:rPr>
          <w:rFonts w:ascii="宋体" w:hAnsi="宋体" w:cs="宋体" w:hint="eastAsia"/>
          <w:sz w:val="24"/>
          <w:szCs w:val="24"/>
        </w:rPr>
        <w:t>股权投资基金合伙企业（有限合伙）、</w:t>
      </w:r>
      <w:proofErr w:type="gramStart"/>
      <w:r>
        <w:rPr>
          <w:rFonts w:ascii="宋体" w:hAnsi="宋体" w:cs="宋体" w:hint="eastAsia"/>
          <w:sz w:val="24"/>
          <w:szCs w:val="24"/>
        </w:rPr>
        <w:t>杭州泰誉四期</w:t>
      </w:r>
      <w:proofErr w:type="gramEnd"/>
      <w:r>
        <w:rPr>
          <w:rFonts w:ascii="宋体" w:hAnsi="宋体" w:cs="宋体" w:hint="eastAsia"/>
          <w:sz w:val="24"/>
          <w:szCs w:val="24"/>
        </w:rPr>
        <w:t>创业投资合伙企业（有限合伙）</w:t>
      </w:r>
    </w:p>
    <w:p w14:paraId="6188934F" w14:textId="77777777" w:rsidR="009940F6" w:rsidRDefault="00000000">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4、实际控制人：本协议中，“实际控制人”指代李国平</w:t>
      </w:r>
    </w:p>
    <w:p w14:paraId="4F882087" w14:textId="77777777" w:rsidR="009940F6" w:rsidRDefault="00000000">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5、投资方：济南</w:t>
      </w:r>
      <w:proofErr w:type="gramStart"/>
      <w:r>
        <w:rPr>
          <w:rFonts w:ascii="宋体" w:hAnsi="宋体" w:cs="宋体" w:hint="eastAsia"/>
          <w:sz w:val="24"/>
          <w:szCs w:val="24"/>
        </w:rPr>
        <w:t>泰神投资</w:t>
      </w:r>
      <w:proofErr w:type="gramEnd"/>
      <w:r>
        <w:rPr>
          <w:rFonts w:ascii="宋体" w:hAnsi="宋体" w:cs="宋体" w:hint="eastAsia"/>
          <w:sz w:val="24"/>
          <w:szCs w:val="24"/>
        </w:rPr>
        <w:t>合伙企业（有限合伙）、华欣石</w:t>
      </w:r>
      <w:proofErr w:type="gramStart"/>
      <w:r>
        <w:rPr>
          <w:rFonts w:ascii="宋体" w:hAnsi="宋体" w:cs="宋体" w:hint="eastAsia"/>
          <w:sz w:val="24"/>
          <w:szCs w:val="24"/>
        </w:rPr>
        <w:t>恒</w:t>
      </w:r>
      <w:proofErr w:type="gramEnd"/>
      <w:r>
        <w:rPr>
          <w:rFonts w:ascii="宋体" w:hAnsi="宋体" w:cs="宋体" w:hint="eastAsia"/>
          <w:sz w:val="24"/>
          <w:szCs w:val="24"/>
        </w:rPr>
        <w:t>科技创业投资基金（青岛）合伙企业（有限合伙）。《股东特别权利约定的协议》及其补充协议中，投资方还包括以下主体：宁德市汇聚一号股权投资合伙企业（有限合伙）、福州</w:t>
      </w:r>
      <w:proofErr w:type="gramStart"/>
      <w:r>
        <w:rPr>
          <w:rFonts w:ascii="宋体" w:hAnsi="宋体" w:cs="宋体" w:hint="eastAsia"/>
          <w:sz w:val="24"/>
          <w:szCs w:val="24"/>
        </w:rPr>
        <w:t>创新创科投资</w:t>
      </w:r>
      <w:proofErr w:type="gramEnd"/>
      <w:r>
        <w:rPr>
          <w:rFonts w:ascii="宋体" w:hAnsi="宋体" w:cs="宋体" w:hint="eastAsia"/>
          <w:sz w:val="24"/>
          <w:szCs w:val="24"/>
        </w:rPr>
        <w:t>合伙企业（有限合伙）、杭州泰</w:t>
      </w:r>
      <w:proofErr w:type="gramStart"/>
      <w:r>
        <w:rPr>
          <w:rFonts w:ascii="宋体" w:hAnsi="宋体" w:cs="宋体" w:hint="eastAsia"/>
          <w:sz w:val="24"/>
          <w:szCs w:val="24"/>
        </w:rPr>
        <w:t>鲲</w:t>
      </w:r>
      <w:proofErr w:type="gramEnd"/>
      <w:r>
        <w:rPr>
          <w:rFonts w:ascii="宋体" w:hAnsi="宋体" w:cs="宋体" w:hint="eastAsia"/>
          <w:sz w:val="24"/>
          <w:szCs w:val="24"/>
        </w:rPr>
        <w:t>股权投资基金合伙企业（有限合伙）、</w:t>
      </w:r>
      <w:proofErr w:type="gramStart"/>
      <w:r>
        <w:rPr>
          <w:rFonts w:ascii="宋体" w:hAnsi="宋体" w:cs="宋体" w:hint="eastAsia"/>
          <w:sz w:val="24"/>
          <w:szCs w:val="24"/>
        </w:rPr>
        <w:t>杭州泰誉四期</w:t>
      </w:r>
      <w:proofErr w:type="gramEnd"/>
      <w:r>
        <w:rPr>
          <w:rFonts w:ascii="宋体" w:hAnsi="宋体" w:cs="宋体" w:hint="eastAsia"/>
          <w:sz w:val="24"/>
          <w:szCs w:val="24"/>
        </w:rPr>
        <w:t>创业投资合伙企业（有限合伙）。</w:t>
      </w:r>
    </w:p>
    <w:p w14:paraId="3454CB49" w14:textId="77777777" w:rsidR="009940F6" w:rsidRDefault="00000000">
      <w:pPr>
        <w:pStyle w:val="2"/>
        <w:spacing w:beforeLines="0" w:before="0" w:after="156"/>
        <w:ind w:firstLine="482"/>
        <w:rPr>
          <w:rFonts w:hint="eastAsia"/>
        </w:rPr>
      </w:pPr>
      <w:r>
        <w:rPr>
          <w:rFonts w:hint="eastAsia"/>
        </w:rPr>
        <w:t>（二）投资协议主要内容</w:t>
      </w:r>
    </w:p>
    <w:p w14:paraId="34078D1B" w14:textId="77777777" w:rsidR="009940F6" w:rsidRDefault="00000000">
      <w:pPr>
        <w:pStyle w:val="3"/>
        <w:spacing w:before="156" w:after="156"/>
        <w:ind w:firstLine="482"/>
        <w:rPr>
          <w:rFonts w:hint="eastAsia"/>
        </w:rPr>
      </w:pPr>
      <w:r>
        <w:rPr>
          <w:rFonts w:hint="eastAsia"/>
        </w:rPr>
        <w:t>1、目标公司估值</w:t>
      </w:r>
    </w:p>
    <w:p w14:paraId="20BD19A1" w14:textId="77777777" w:rsidR="009940F6" w:rsidRDefault="00000000">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各方确认并一致同意，本次投资目标公司投前估值和老股转让投前估值分别为人民币250,000万元和175,000万元，目标公司在本次交易后的整体估值为投前估值与本轮增资价款之和，即人民币269,135.1351万元。</w:t>
      </w:r>
    </w:p>
    <w:p w14:paraId="118D00A5" w14:textId="77777777" w:rsidR="009940F6" w:rsidRDefault="00000000">
      <w:pPr>
        <w:pStyle w:val="3"/>
        <w:spacing w:before="156" w:after="156"/>
        <w:ind w:firstLine="482"/>
        <w:rPr>
          <w:rFonts w:hint="eastAsia"/>
        </w:rPr>
      </w:pPr>
      <w:r>
        <w:rPr>
          <w:rFonts w:hint="eastAsia"/>
        </w:rPr>
        <w:t>2、交易安排</w:t>
      </w:r>
    </w:p>
    <w:p w14:paraId="695E7488" w14:textId="77777777" w:rsidR="009940F6" w:rsidRDefault="00000000">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各方一致同意，本次投资方向目标公司增资及受让目标公司股权合计人民币25,000万元，按照如下方式安排：在满足本协议及其他就本次交易安排已签署</w:t>
      </w:r>
      <w:r>
        <w:rPr>
          <w:rFonts w:ascii="宋体" w:hAnsi="宋体" w:cs="宋体" w:hint="eastAsia"/>
          <w:sz w:val="24"/>
          <w:szCs w:val="24"/>
        </w:rPr>
        <w:lastRenderedPageBreak/>
        <w:t>的交易文件的前提下，（1）</w:t>
      </w:r>
      <w:proofErr w:type="gramStart"/>
      <w:r>
        <w:rPr>
          <w:rFonts w:ascii="宋体" w:hAnsi="宋体" w:cs="宋体" w:hint="eastAsia"/>
          <w:sz w:val="24"/>
          <w:szCs w:val="24"/>
        </w:rPr>
        <w:t>济南泰神从</w:t>
      </w:r>
      <w:proofErr w:type="gramEnd"/>
      <w:r>
        <w:rPr>
          <w:rFonts w:ascii="宋体" w:hAnsi="宋体" w:cs="宋体" w:hint="eastAsia"/>
          <w:sz w:val="24"/>
          <w:szCs w:val="24"/>
        </w:rPr>
        <w:t>奥泰五期和奥泰六期合计受让1,302万股共计人民币5,864.8649万元。（2）济南</w:t>
      </w:r>
      <w:proofErr w:type="gramStart"/>
      <w:r>
        <w:rPr>
          <w:rFonts w:ascii="宋体" w:hAnsi="宋体" w:cs="宋体" w:hint="eastAsia"/>
          <w:sz w:val="24"/>
          <w:szCs w:val="24"/>
        </w:rPr>
        <w:t>泰神同意</w:t>
      </w:r>
      <w:proofErr w:type="gramEnd"/>
      <w:r>
        <w:rPr>
          <w:rFonts w:ascii="宋体" w:hAnsi="宋体" w:cs="宋体" w:hint="eastAsia"/>
          <w:sz w:val="24"/>
          <w:szCs w:val="24"/>
        </w:rPr>
        <w:t>以人民币14,135.1351万元认购新增注册资本人民币2,196.6万元。（3）华欣石</w:t>
      </w:r>
      <w:proofErr w:type="gramStart"/>
      <w:r>
        <w:rPr>
          <w:rFonts w:ascii="宋体" w:hAnsi="宋体" w:cs="宋体" w:hint="eastAsia"/>
          <w:sz w:val="24"/>
          <w:szCs w:val="24"/>
        </w:rPr>
        <w:t>恒</w:t>
      </w:r>
      <w:proofErr w:type="gramEnd"/>
      <w:r>
        <w:rPr>
          <w:rFonts w:ascii="宋体" w:hAnsi="宋体" w:cs="宋体" w:hint="eastAsia"/>
          <w:sz w:val="24"/>
          <w:szCs w:val="24"/>
        </w:rPr>
        <w:t>同意以人民币5,000万元认购新增注册资本人民币777万元。</w:t>
      </w:r>
    </w:p>
    <w:p w14:paraId="67A98741" w14:textId="77777777" w:rsidR="009940F6" w:rsidRDefault="00000000">
      <w:pPr>
        <w:pStyle w:val="3"/>
        <w:spacing w:before="156" w:after="156"/>
        <w:ind w:firstLine="482"/>
        <w:rPr>
          <w:rFonts w:hint="eastAsia"/>
        </w:rPr>
      </w:pPr>
      <w:r>
        <w:rPr>
          <w:rFonts w:hint="eastAsia"/>
        </w:rPr>
        <w:t>3、投资款的缴付</w:t>
      </w:r>
    </w:p>
    <w:p w14:paraId="6DB6C07F" w14:textId="77777777" w:rsidR="009940F6" w:rsidRDefault="00000000">
      <w:pPr>
        <w:adjustRightInd w:val="0"/>
        <w:snapToGrid w:val="0"/>
        <w:spacing w:line="360" w:lineRule="auto"/>
        <w:ind w:firstLineChars="200" w:firstLine="480"/>
        <w:rPr>
          <w:rFonts w:ascii="宋体" w:hAnsi="宋体" w:cs="宋体" w:hint="eastAsia"/>
          <w:sz w:val="24"/>
          <w:szCs w:val="24"/>
        </w:rPr>
      </w:pPr>
      <w:proofErr w:type="gramStart"/>
      <w:r>
        <w:rPr>
          <w:rFonts w:ascii="宋体" w:hAnsi="宋体" w:cs="宋体" w:hint="eastAsia"/>
          <w:sz w:val="24"/>
          <w:szCs w:val="24"/>
        </w:rPr>
        <w:t>自满足</w:t>
      </w:r>
      <w:proofErr w:type="gramEnd"/>
      <w:r>
        <w:rPr>
          <w:rFonts w:ascii="宋体" w:hAnsi="宋体" w:cs="宋体" w:hint="eastAsia"/>
          <w:sz w:val="24"/>
          <w:szCs w:val="24"/>
        </w:rPr>
        <w:t>本协议约定的投资先决条件之日起十五（15）</w:t>
      </w:r>
      <w:proofErr w:type="gramStart"/>
      <w:r>
        <w:rPr>
          <w:rFonts w:ascii="宋体" w:hAnsi="宋体" w:cs="宋体" w:hint="eastAsia"/>
          <w:sz w:val="24"/>
          <w:szCs w:val="24"/>
        </w:rPr>
        <w:t>个</w:t>
      </w:r>
      <w:proofErr w:type="gramEnd"/>
      <w:r>
        <w:rPr>
          <w:rFonts w:ascii="宋体" w:hAnsi="宋体" w:cs="宋体" w:hint="eastAsia"/>
          <w:sz w:val="24"/>
          <w:szCs w:val="24"/>
        </w:rPr>
        <w:t>工作日内，济南</w:t>
      </w:r>
      <w:proofErr w:type="gramStart"/>
      <w:r>
        <w:rPr>
          <w:rFonts w:ascii="宋体" w:hAnsi="宋体" w:cs="宋体" w:hint="eastAsia"/>
          <w:sz w:val="24"/>
          <w:szCs w:val="24"/>
        </w:rPr>
        <w:t>泰神应</w:t>
      </w:r>
      <w:proofErr w:type="gramEnd"/>
      <w:r>
        <w:rPr>
          <w:rFonts w:ascii="宋体" w:hAnsi="宋体" w:cs="宋体" w:hint="eastAsia"/>
          <w:sz w:val="24"/>
          <w:szCs w:val="24"/>
        </w:rPr>
        <w:t>缴付第一期增资款，共计人民币5,600.00万元，并向奥泰五期及奥泰六期账户一次性缴付约定的全部股权转让款，</w:t>
      </w:r>
      <w:proofErr w:type="gramStart"/>
      <w:r>
        <w:rPr>
          <w:rFonts w:ascii="宋体" w:hAnsi="宋体" w:cs="宋体" w:hint="eastAsia"/>
          <w:sz w:val="24"/>
          <w:szCs w:val="24"/>
        </w:rPr>
        <w:t>华欣石恒应向</w:t>
      </w:r>
      <w:proofErr w:type="gramEnd"/>
      <w:r>
        <w:rPr>
          <w:rFonts w:ascii="宋体" w:hAnsi="宋体" w:cs="宋体" w:hint="eastAsia"/>
          <w:sz w:val="24"/>
          <w:szCs w:val="24"/>
        </w:rPr>
        <w:t>目标公司指定账户缴付第一期增资款，共计人民币3,000.00万元；</w:t>
      </w:r>
      <w:proofErr w:type="gramStart"/>
      <w:r>
        <w:rPr>
          <w:rFonts w:ascii="宋体" w:hAnsi="宋体" w:cs="宋体" w:hint="eastAsia"/>
          <w:sz w:val="24"/>
          <w:szCs w:val="24"/>
        </w:rPr>
        <w:t>自目标</w:t>
      </w:r>
      <w:proofErr w:type="gramEnd"/>
      <w:r>
        <w:rPr>
          <w:rFonts w:ascii="宋体" w:hAnsi="宋体" w:cs="宋体" w:hint="eastAsia"/>
          <w:sz w:val="24"/>
          <w:szCs w:val="24"/>
        </w:rPr>
        <w:t>公司取得创新创科、宁德汇聚、杭州泰</w:t>
      </w:r>
      <w:proofErr w:type="gramStart"/>
      <w:r>
        <w:rPr>
          <w:rFonts w:ascii="宋体" w:hAnsi="宋体" w:cs="宋体" w:hint="eastAsia"/>
          <w:sz w:val="24"/>
          <w:szCs w:val="24"/>
        </w:rPr>
        <w:t>鲲</w:t>
      </w:r>
      <w:proofErr w:type="gramEnd"/>
      <w:r>
        <w:rPr>
          <w:rFonts w:ascii="宋体" w:hAnsi="宋体" w:cs="宋体" w:hint="eastAsia"/>
          <w:sz w:val="24"/>
          <w:szCs w:val="24"/>
        </w:rPr>
        <w:t>、</w:t>
      </w:r>
      <w:proofErr w:type="gramStart"/>
      <w:r>
        <w:rPr>
          <w:rFonts w:ascii="宋体" w:hAnsi="宋体" w:cs="宋体" w:hint="eastAsia"/>
          <w:sz w:val="24"/>
          <w:szCs w:val="24"/>
        </w:rPr>
        <w:t>杭州泰誉出具</w:t>
      </w:r>
      <w:proofErr w:type="gramEnd"/>
      <w:r>
        <w:rPr>
          <w:rFonts w:ascii="宋体" w:hAnsi="宋体" w:cs="宋体" w:hint="eastAsia"/>
          <w:sz w:val="24"/>
          <w:szCs w:val="24"/>
        </w:rPr>
        <w:t>的回购权利展期确认函（或其他类似文件，以最终出具的文件名称为准）且控股股东完成公告之日起10个工作日内，</w:t>
      </w:r>
      <w:proofErr w:type="gramStart"/>
      <w:r>
        <w:rPr>
          <w:rFonts w:ascii="宋体" w:hAnsi="宋体" w:cs="宋体" w:hint="eastAsia"/>
          <w:sz w:val="24"/>
          <w:szCs w:val="24"/>
        </w:rPr>
        <w:t>济南泰神和</w:t>
      </w:r>
      <w:proofErr w:type="gramEnd"/>
      <w:r>
        <w:rPr>
          <w:rFonts w:ascii="宋体" w:hAnsi="宋体" w:cs="宋体" w:hint="eastAsia"/>
          <w:sz w:val="24"/>
          <w:szCs w:val="24"/>
        </w:rPr>
        <w:t>华欣石</w:t>
      </w:r>
      <w:proofErr w:type="gramStart"/>
      <w:r>
        <w:rPr>
          <w:rFonts w:ascii="宋体" w:hAnsi="宋体" w:cs="宋体" w:hint="eastAsia"/>
          <w:sz w:val="24"/>
          <w:szCs w:val="24"/>
        </w:rPr>
        <w:t>恒</w:t>
      </w:r>
      <w:proofErr w:type="gramEnd"/>
      <w:r>
        <w:rPr>
          <w:rFonts w:ascii="宋体" w:hAnsi="宋体" w:cs="宋体" w:hint="eastAsia"/>
          <w:sz w:val="24"/>
          <w:szCs w:val="24"/>
        </w:rPr>
        <w:t>分别向目标公司账户缴付剩余增资款人民币8,535.1351万元和2,000万元。</w:t>
      </w:r>
    </w:p>
    <w:p w14:paraId="1703B9F5" w14:textId="77777777" w:rsidR="009940F6" w:rsidRDefault="00000000">
      <w:pPr>
        <w:pStyle w:val="3"/>
        <w:spacing w:before="156" w:after="156"/>
        <w:ind w:firstLine="482"/>
        <w:rPr>
          <w:rFonts w:hint="eastAsia"/>
        </w:rPr>
      </w:pPr>
      <w:r>
        <w:rPr>
          <w:rFonts w:hint="eastAsia"/>
        </w:rPr>
        <w:t>4、投资的先决条件</w:t>
      </w:r>
    </w:p>
    <w:p w14:paraId="05019C30" w14:textId="77777777" w:rsidR="009940F6" w:rsidRDefault="00000000">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除非投资方</w:t>
      </w:r>
      <w:proofErr w:type="gramStart"/>
      <w:r>
        <w:rPr>
          <w:rFonts w:ascii="宋体" w:hAnsi="宋体" w:cs="宋体" w:hint="eastAsia"/>
          <w:sz w:val="24"/>
          <w:szCs w:val="24"/>
        </w:rPr>
        <w:t>作出</w:t>
      </w:r>
      <w:proofErr w:type="gramEnd"/>
      <w:r>
        <w:rPr>
          <w:rFonts w:ascii="宋体" w:hAnsi="宋体" w:cs="宋体" w:hint="eastAsia"/>
          <w:sz w:val="24"/>
          <w:szCs w:val="24"/>
        </w:rPr>
        <w:t>书面豁免，投资方履行支付投资款义务应以本条所列的先决条件为前提：</w:t>
      </w:r>
    </w:p>
    <w:p w14:paraId="29D1890C" w14:textId="77777777" w:rsidR="009940F6" w:rsidRDefault="00000000">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（1）</w:t>
      </w:r>
      <w:r>
        <w:rPr>
          <w:rFonts w:ascii="Times New Roman" w:hAnsi="Times New Roman" w:hint="eastAsia"/>
          <w:sz w:val="24"/>
        </w:rPr>
        <w:t>现有股东、目标公司及投资方均</w:t>
      </w:r>
      <w:proofErr w:type="gramStart"/>
      <w:r>
        <w:rPr>
          <w:rFonts w:ascii="Times New Roman" w:hAnsi="Times New Roman" w:hint="eastAsia"/>
          <w:sz w:val="24"/>
        </w:rPr>
        <w:t>已适当</w:t>
      </w:r>
      <w:proofErr w:type="gramEnd"/>
      <w:r>
        <w:rPr>
          <w:rFonts w:ascii="Times New Roman" w:hAnsi="Times New Roman" w:hint="eastAsia"/>
          <w:sz w:val="24"/>
        </w:rPr>
        <w:t>签署并向投资方交付了全部最终交易文件</w:t>
      </w:r>
      <w:r>
        <w:rPr>
          <w:rFonts w:ascii="宋体" w:hAnsi="宋体" w:cs="宋体" w:hint="eastAsia"/>
          <w:sz w:val="24"/>
          <w:szCs w:val="24"/>
        </w:rPr>
        <w:t>。</w:t>
      </w:r>
    </w:p>
    <w:p w14:paraId="66836042" w14:textId="77777777" w:rsidR="009940F6" w:rsidRDefault="00000000">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（2）</w:t>
      </w:r>
      <w:r>
        <w:rPr>
          <w:rFonts w:ascii="Times New Roman" w:hAnsi="Times New Roman" w:hint="eastAsia"/>
          <w:sz w:val="24"/>
        </w:rPr>
        <w:t>目标公司及控股股东已经由有权决策机构</w:t>
      </w:r>
      <w:proofErr w:type="gramStart"/>
      <w:r>
        <w:rPr>
          <w:rFonts w:ascii="Times New Roman" w:hAnsi="Times New Roman" w:hint="eastAsia"/>
          <w:sz w:val="24"/>
        </w:rPr>
        <w:t>作出</w:t>
      </w:r>
      <w:proofErr w:type="gramEnd"/>
      <w:r>
        <w:rPr>
          <w:rFonts w:ascii="Times New Roman" w:hAnsi="Times New Roman" w:hint="eastAsia"/>
          <w:sz w:val="24"/>
        </w:rPr>
        <w:t>了生效的</w:t>
      </w:r>
      <w:r>
        <w:rPr>
          <w:rFonts w:ascii="Times New Roman" w:hAnsi="Times New Roman"/>
          <w:sz w:val="24"/>
        </w:rPr>
        <w:t>决议</w:t>
      </w:r>
      <w:r>
        <w:rPr>
          <w:rFonts w:ascii="Times New Roman" w:hAnsi="Times New Roman" w:hint="eastAsia"/>
          <w:sz w:val="24"/>
        </w:rPr>
        <w:t>，批准和授权订立交易文件和完成本次交易、修改公司章程、公司现有股东同意放弃对于本次交易的优先购买权、优先认购权等</w:t>
      </w:r>
      <w:r>
        <w:rPr>
          <w:rFonts w:ascii="宋体" w:hAnsi="宋体" w:cs="宋体" w:hint="eastAsia"/>
          <w:sz w:val="24"/>
          <w:szCs w:val="24"/>
        </w:rPr>
        <w:t>。</w:t>
      </w:r>
    </w:p>
    <w:p w14:paraId="5910A814" w14:textId="77777777" w:rsidR="009940F6" w:rsidRDefault="00000000">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（3）</w:t>
      </w:r>
      <w:r>
        <w:rPr>
          <w:rFonts w:ascii="Times New Roman" w:hAnsi="Times New Roman"/>
          <w:sz w:val="24"/>
        </w:rPr>
        <w:t>不存在限制、禁止或取消本次交易的中国法律、法院、仲裁机构或有关政府主管部门的判决、裁决、裁定或禁令，也不存在任何已经提起的或者威胁将要提起的质疑本次交易的有效性或者对本次交易产生重大不利影响的悬而未决或潜在的诉讼、仲裁、判决、裁决、裁定</w:t>
      </w:r>
      <w:r>
        <w:rPr>
          <w:rFonts w:ascii="Times New Roman" w:hAnsi="Times New Roman" w:hint="eastAsia"/>
          <w:sz w:val="24"/>
        </w:rPr>
        <w:t>、</w:t>
      </w:r>
      <w:r>
        <w:rPr>
          <w:rFonts w:ascii="Times New Roman" w:hAnsi="Times New Roman"/>
          <w:sz w:val="24"/>
        </w:rPr>
        <w:t>禁令</w:t>
      </w:r>
      <w:r>
        <w:rPr>
          <w:rFonts w:ascii="Times New Roman" w:hAnsi="Times New Roman" w:hint="eastAsia"/>
          <w:sz w:val="24"/>
        </w:rPr>
        <w:t>、法律行动、政府调查</w:t>
      </w:r>
      <w:r>
        <w:rPr>
          <w:rFonts w:ascii="宋体" w:hAnsi="宋体" w:cs="宋体" w:hint="eastAsia"/>
          <w:sz w:val="24"/>
          <w:szCs w:val="24"/>
        </w:rPr>
        <w:t>。</w:t>
      </w:r>
    </w:p>
    <w:p w14:paraId="6F0CFAE1" w14:textId="77777777" w:rsidR="009940F6" w:rsidRDefault="00000000">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4）自本协议签署日起，目标公司相关股东和公司方在本协议第四条所作的陈述、保证持续保持是完全真实、完整、准确的，并且履行了交易文件规定的应于交割日或之前履行的或需遵守的所有约定、义务、承诺和条件，没有任何违反交易文件的约定的行为。</w:t>
      </w:r>
    </w:p>
    <w:p w14:paraId="60016DFE" w14:textId="77777777" w:rsidR="009940F6" w:rsidRDefault="00000000">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lastRenderedPageBreak/>
        <w:t>（5）</w:t>
      </w:r>
      <w:r>
        <w:rPr>
          <w:rFonts w:ascii="Times New Roman" w:hAnsi="Times New Roman" w:hint="eastAsia"/>
          <w:sz w:val="24"/>
        </w:rPr>
        <w:t>截至投资方付款日，目标公司在经营、效益、财务、资产状况及人事调整等方面没有且不会发生任何重大不利变化，承诺人未发生单独或共同造成重大不利影响的一项或多项事件、或合理预期可能单独或共同造成重大不利影响的事件</w:t>
      </w:r>
      <w:r>
        <w:rPr>
          <w:rFonts w:ascii="宋体" w:hAnsi="宋体" w:cs="宋体" w:hint="eastAsia"/>
          <w:sz w:val="24"/>
          <w:szCs w:val="24"/>
        </w:rPr>
        <w:t>。</w:t>
      </w:r>
    </w:p>
    <w:p w14:paraId="31E5849D" w14:textId="2139E3EB" w:rsidR="009940F6" w:rsidRDefault="00000000">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公司方承诺将尽最大商业努力满足投资付款先决条件，如本协议约定的任何先决条件在本协议签署之日起20个工作日未能实现，则投资方有权以书面通知形式单方解除本协议，本协议应自前述书面通知送达目标公司之日起自始终止。</w:t>
      </w:r>
    </w:p>
    <w:p w14:paraId="4D1D3E9F" w14:textId="77777777" w:rsidR="009940F6" w:rsidRDefault="00000000">
      <w:pPr>
        <w:pStyle w:val="3"/>
        <w:spacing w:before="156" w:after="156"/>
        <w:ind w:firstLine="482"/>
        <w:rPr>
          <w:rFonts w:hint="eastAsia"/>
        </w:rPr>
      </w:pPr>
      <w:r>
        <w:rPr>
          <w:rFonts w:hint="eastAsia"/>
        </w:rPr>
        <w:t>5、协议生效</w:t>
      </w:r>
    </w:p>
    <w:p w14:paraId="75F82D74" w14:textId="77777777" w:rsidR="009940F6" w:rsidRDefault="00000000">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本协议自协议各方签署之日起成立，并在控股股东有权决策机构已</w:t>
      </w:r>
      <w:proofErr w:type="gramStart"/>
      <w:r>
        <w:rPr>
          <w:rFonts w:ascii="宋体" w:hAnsi="宋体" w:cs="宋体" w:hint="eastAsia"/>
          <w:sz w:val="24"/>
          <w:szCs w:val="24"/>
        </w:rPr>
        <w:t>作出</w:t>
      </w:r>
      <w:proofErr w:type="gramEnd"/>
      <w:r>
        <w:rPr>
          <w:rFonts w:ascii="宋体" w:hAnsi="宋体" w:cs="宋体" w:hint="eastAsia"/>
          <w:sz w:val="24"/>
          <w:szCs w:val="24"/>
        </w:rPr>
        <w:t>关于本次交易的决议或批准后生效。</w:t>
      </w:r>
    </w:p>
    <w:p w14:paraId="4CF4B739" w14:textId="77777777" w:rsidR="009940F6" w:rsidRDefault="00000000">
      <w:pPr>
        <w:pStyle w:val="2"/>
        <w:spacing w:before="156" w:after="156"/>
        <w:ind w:firstLine="482"/>
        <w:rPr>
          <w:rFonts w:hint="eastAsia"/>
        </w:rPr>
      </w:pPr>
      <w:r>
        <w:rPr>
          <w:rFonts w:hint="eastAsia"/>
        </w:rPr>
        <w:t>（三）投资协议之补充协议主要内容</w:t>
      </w:r>
    </w:p>
    <w:p w14:paraId="6325D7C0" w14:textId="6B08FC24" w:rsidR="009940F6" w:rsidRDefault="00000000">
      <w:pPr>
        <w:adjustRightInd w:val="0"/>
        <w:snapToGrid w:val="0"/>
        <w:spacing w:line="360" w:lineRule="auto"/>
        <w:ind w:firstLineChars="200" w:firstLine="480"/>
        <w:rPr>
          <w:rFonts w:ascii="宋体" w:hAnsi="宋体" w:cs="宋体" w:hint="eastAsia"/>
          <w:sz w:val="24"/>
          <w:szCs w:val="24"/>
        </w:rPr>
      </w:pPr>
      <w:bookmarkStart w:id="1" w:name="OLE_LINK1"/>
      <w:r>
        <w:rPr>
          <w:rFonts w:ascii="宋体" w:hAnsi="宋体" w:cs="宋体" w:hint="eastAsia"/>
          <w:sz w:val="24"/>
          <w:szCs w:val="24"/>
        </w:rPr>
        <w:t>主要内容详见公司</w:t>
      </w:r>
      <w:r w:rsidR="001B03D3">
        <w:rPr>
          <w:rFonts w:ascii="宋体" w:hAnsi="宋体" w:cs="宋体" w:hint="eastAsia"/>
          <w:sz w:val="24"/>
          <w:szCs w:val="24"/>
        </w:rPr>
        <w:t>于2025年9月2日</w:t>
      </w:r>
      <w:r>
        <w:rPr>
          <w:rFonts w:ascii="宋体" w:hAnsi="宋体" w:cs="宋体" w:hint="eastAsia"/>
          <w:sz w:val="24"/>
          <w:szCs w:val="24"/>
        </w:rPr>
        <w:t>披露的《关于控股子公司股权转让及增资扩股暨公司放弃优先权的公告》（公告编号：2025062）。</w:t>
      </w:r>
    </w:p>
    <w:bookmarkEnd w:id="1"/>
    <w:p w14:paraId="3DD2DCFB" w14:textId="77777777" w:rsidR="009940F6" w:rsidRDefault="00000000">
      <w:pPr>
        <w:pStyle w:val="2"/>
        <w:spacing w:before="156" w:after="156"/>
        <w:ind w:firstLine="482"/>
        <w:rPr>
          <w:rFonts w:hint="eastAsia"/>
        </w:rPr>
      </w:pPr>
      <w:r>
        <w:rPr>
          <w:rFonts w:hint="eastAsia"/>
        </w:rPr>
        <w:t>（四）A、B两轮融资股东特别权利约定的协议及其补充协议主要内容</w:t>
      </w:r>
    </w:p>
    <w:p w14:paraId="5D74692A" w14:textId="16474E91" w:rsidR="009940F6" w:rsidRDefault="00000000">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1、广生中</w:t>
      </w:r>
      <w:proofErr w:type="gramStart"/>
      <w:r>
        <w:rPr>
          <w:rFonts w:ascii="宋体" w:hAnsi="宋体" w:cs="宋体" w:hint="eastAsia"/>
          <w:sz w:val="24"/>
          <w:szCs w:val="24"/>
        </w:rPr>
        <w:t>霖</w:t>
      </w:r>
      <w:proofErr w:type="gramEnd"/>
      <w:r>
        <w:rPr>
          <w:rFonts w:ascii="宋体" w:hAnsi="宋体" w:cs="宋体" w:hint="eastAsia"/>
          <w:sz w:val="24"/>
          <w:szCs w:val="24"/>
        </w:rPr>
        <w:t>股东会会议</w:t>
      </w:r>
      <w:proofErr w:type="gramStart"/>
      <w:r>
        <w:rPr>
          <w:rFonts w:ascii="宋体" w:hAnsi="宋体" w:cs="宋体" w:hint="eastAsia"/>
          <w:sz w:val="24"/>
          <w:szCs w:val="24"/>
        </w:rPr>
        <w:t>作出</w:t>
      </w:r>
      <w:proofErr w:type="gramEnd"/>
      <w:r>
        <w:rPr>
          <w:rFonts w:ascii="宋体" w:hAnsi="宋体" w:cs="宋体" w:hint="eastAsia"/>
          <w:sz w:val="24"/>
          <w:szCs w:val="24"/>
        </w:rPr>
        <w:t>协议约定的特殊事项的决议，须经代表三分之二以上表决权的股东通过（如有股东因关联关系需回避表决的，决议需经全体非关联股东一致表决通过）。广生中</w:t>
      </w:r>
      <w:proofErr w:type="gramStart"/>
      <w:r>
        <w:rPr>
          <w:rFonts w:ascii="宋体" w:hAnsi="宋体" w:cs="宋体" w:hint="eastAsia"/>
          <w:sz w:val="24"/>
          <w:szCs w:val="24"/>
        </w:rPr>
        <w:t>霖</w:t>
      </w:r>
      <w:proofErr w:type="gramEnd"/>
      <w:r w:rsidR="00BA5557">
        <w:rPr>
          <w:rFonts w:ascii="宋体" w:hAnsi="宋体" w:cs="宋体" w:hint="eastAsia"/>
          <w:sz w:val="24"/>
          <w:szCs w:val="24"/>
        </w:rPr>
        <w:t>向</w:t>
      </w:r>
      <w:r>
        <w:rPr>
          <w:rFonts w:ascii="宋体" w:hAnsi="宋体" w:cs="宋体" w:hint="eastAsia"/>
          <w:sz w:val="24"/>
          <w:szCs w:val="24"/>
        </w:rPr>
        <w:t>任何第三方出借款项</w:t>
      </w:r>
      <w:r w:rsidR="002834F6">
        <w:rPr>
          <w:rFonts w:ascii="宋体" w:hAnsi="宋体" w:cs="宋体" w:hint="eastAsia"/>
          <w:sz w:val="24"/>
          <w:szCs w:val="24"/>
        </w:rPr>
        <w:t>（员工业务借款等约定金额范围内除外）</w:t>
      </w:r>
      <w:r>
        <w:rPr>
          <w:rFonts w:ascii="宋体" w:hAnsi="宋体" w:cs="宋体" w:hint="eastAsia"/>
          <w:sz w:val="24"/>
          <w:szCs w:val="24"/>
        </w:rPr>
        <w:t>和对发行股票及上市的事宜做出决议须经全体股东一致同意。</w:t>
      </w:r>
    </w:p>
    <w:p w14:paraId="55F3643F" w14:textId="77777777" w:rsidR="009940F6" w:rsidRDefault="00000000">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2、优先购买权和</w:t>
      </w:r>
      <w:proofErr w:type="gramStart"/>
      <w:r>
        <w:rPr>
          <w:rFonts w:ascii="宋体" w:hAnsi="宋体" w:cs="宋体" w:hint="eastAsia"/>
          <w:sz w:val="24"/>
          <w:szCs w:val="24"/>
        </w:rPr>
        <w:t>随售权</w:t>
      </w:r>
      <w:proofErr w:type="gramEnd"/>
      <w:r>
        <w:rPr>
          <w:rFonts w:ascii="宋体" w:hAnsi="宋体" w:cs="宋体" w:hint="eastAsia"/>
          <w:sz w:val="24"/>
          <w:szCs w:val="24"/>
        </w:rPr>
        <w:t>。各方同意，投资方按照各自持股比例享有优先购买权和</w:t>
      </w:r>
      <w:proofErr w:type="gramStart"/>
      <w:r>
        <w:rPr>
          <w:rFonts w:ascii="宋体" w:hAnsi="宋体" w:cs="宋体" w:hint="eastAsia"/>
          <w:sz w:val="24"/>
          <w:szCs w:val="24"/>
        </w:rPr>
        <w:t>随售权</w:t>
      </w:r>
      <w:proofErr w:type="gramEnd"/>
      <w:r>
        <w:rPr>
          <w:rFonts w:ascii="宋体" w:hAnsi="宋体" w:cs="宋体" w:hint="eastAsia"/>
          <w:sz w:val="24"/>
          <w:szCs w:val="24"/>
        </w:rPr>
        <w:t>，即有意向任何第三方出售部分或全部目标公司股权的控股股东，必须保证投资方具有如下选择:(</w:t>
      </w:r>
      <w:proofErr w:type="spellStart"/>
      <w:r>
        <w:rPr>
          <w:rFonts w:ascii="宋体" w:hAnsi="宋体" w:cs="宋体" w:hint="eastAsia"/>
          <w:sz w:val="24"/>
          <w:szCs w:val="24"/>
        </w:rPr>
        <w:t>i</w:t>
      </w:r>
      <w:proofErr w:type="spellEnd"/>
      <w:r>
        <w:rPr>
          <w:rFonts w:ascii="宋体" w:hAnsi="宋体" w:cs="宋体" w:hint="eastAsia"/>
          <w:sz w:val="24"/>
          <w:szCs w:val="24"/>
        </w:rPr>
        <w:t>)投资方可以以意向受让人同样的条件购买控股股东拟出售的股份，或(ii)以意向受让人提供的同样条件向其出售相应比例的股份。但控股股东向任何第三方转让目标公司股权的价格不得</w:t>
      </w:r>
      <w:proofErr w:type="gramStart"/>
      <w:r>
        <w:rPr>
          <w:rFonts w:ascii="宋体" w:hAnsi="宋体" w:cs="宋体" w:hint="eastAsia"/>
          <w:sz w:val="24"/>
          <w:szCs w:val="24"/>
        </w:rPr>
        <w:t>低于回</w:t>
      </w:r>
      <w:proofErr w:type="gramEnd"/>
      <w:r>
        <w:rPr>
          <w:rFonts w:ascii="宋体" w:hAnsi="宋体" w:cs="宋体" w:hint="eastAsia"/>
          <w:sz w:val="24"/>
          <w:szCs w:val="24"/>
        </w:rPr>
        <w:t>购价格(以A、B轮约定的计算价格孰高)，否则不得转让。</w:t>
      </w:r>
    </w:p>
    <w:p w14:paraId="7559A59E" w14:textId="489DC5A6" w:rsidR="009940F6" w:rsidRDefault="00000000">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3、反稀释条款。若目标公司于本协议签署后进行任何其他增资（或发行可转换为股权的证券票据，但经全体投资方同意的情形或根据合格员工股权激励计划进行的增资或增发的情形除外），且该等增资的每股购买价格（“新低价格”）低于该轮投资方的每股购买价格（A、B轮投资方按照各自投资时的价格确定），</w:t>
      </w:r>
      <w:r>
        <w:rPr>
          <w:rFonts w:ascii="宋体" w:hAnsi="宋体" w:cs="宋体" w:hint="eastAsia"/>
          <w:sz w:val="24"/>
          <w:szCs w:val="24"/>
        </w:rPr>
        <w:lastRenderedPageBreak/>
        <w:t>则该轮投资方有权享有通行的“简单基础加权平均价”反稀释保护，使得该轮投资方无偿或以其认可之名义价格获得足够的股权补偿。</w:t>
      </w:r>
    </w:p>
    <w:p w14:paraId="0B338B59" w14:textId="1EAD645A" w:rsidR="009940F6" w:rsidRDefault="00000000">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4、优先清算权。投资方有权优先于目标公司其他任何股东获得其向公司支付的投资本金。按照协议约定清算财产分配完之后，若仍不足以偿付A轮投资方的优先清偿额，扣除其所持股权上已累计收到的股息，不足部分由控股股东补足。如在目标公司清算或售出前，出现《关于福建广生中霖生物科技有限公司增资协议之补充协议》相关约定的情形的，A轮投资方有权选择提出回购或直接清算或售出。</w:t>
      </w:r>
    </w:p>
    <w:p w14:paraId="53758D01" w14:textId="77777777" w:rsidR="009940F6" w:rsidRDefault="00000000">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5、最优惠待遇。各方同意，若目标公司给予B轮融资其他股东的权利优于目标公司给予B轮投资方的权利，B轮投资方有权自动享有该等更优惠的权利。各方同意，本次投资完成后，如目标公司给予任</w:t>
      </w:r>
      <w:proofErr w:type="gramStart"/>
      <w:r>
        <w:rPr>
          <w:rFonts w:ascii="宋体" w:hAnsi="宋体" w:cs="宋体" w:hint="eastAsia"/>
          <w:sz w:val="24"/>
          <w:szCs w:val="24"/>
        </w:rPr>
        <w:t>一</w:t>
      </w:r>
      <w:proofErr w:type="gramEnd"/>
      <w:r>
        <w:rPr>
          <w:rFonts w:ascii="宋体" w:hAnsi="宋体" w:cs="宋体" w:hint="eastAsia"/>
          <w:sz w:val="24"/>
          <w:szCs w:val="24"/>
        </w:rPr>
        <w:t>股东（包括引进的新投资者）的权利优于投资方享有的权利，则投资方将自动享有该等权利。</w:t>
      </w:r>
    </w:p>
    <w:p w14:paraId="5FAF37A1" w14:textId="77777777" w:rsidR="009940F6" w:rsidRDefault="00000000">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6、若目标公司提交上市申请、控股股东发行股份或可转换债券收购标的公司股权并获得受理的，则</w:t>
      </w:r>
      <w:proofErr w:type="gramStart"/>
      <w:r>
        <w:rPr>
          <w:rFonts w:ascii="宋体" w:hAnsi="宋体" w:cs="宋体" w:hint="eastAsia"/>
          <w:sz w:val="24"/>
          <w:szCs w:val="24"/>
        </w:rPr>
        <w:t>自目标</w:t>
      </w:r>
      <w:proofErr w:type="gramEnd"/>
      <w:r>
        <w:rPr>
          <w:rFonts w:ascii="宋体" w:hAnsi="宋体" w:cs="宋体" w:hint="eastAsia"/>
          <w:sz w:val="24"/>
          <w:szCs w:val="24"/>
        </w:rPr>
        <w:t>公司前述申请材料受理之日起，本协议应终止不符合届时上市板块相应监管部门或法律规定要求的条款，不影响其余条款的法律效力。但是若目标公司最终未能完成上市并流通的（包括但不限于目标公司向有权部门提交上市申请后申请撤回或者中国证监会或其它有权部门不予核准标的公司上市申请等），则各方同意本协议</w:t>
      </w:r>
      <w:proofErr w:type="gramStart"/>
      <w:r>
        <w:rPr>
          <w:rFonts w:ascii="宋体" w:hAnsi="宋体" w:cs="宋体" w:hint="eastAsia"/>
          <w:sz w:val="24"/>
          <w:szCs w:val="24"/>
        </w:rPr>
        <w:t>自目标</w:t>
      </w:r>
      <w:proofErr w:type="gramEnd"/>
      <w:r>
        <w:rPr>
          <w:rFonts w:ascii="宋体" w:hAnsi="宋体" w:cs="宋体" w:hint="eastAsia"/>
          <w:sz w:val="24"/>
          <w:szCs w:val="24"/>
        </w:rPr>
        <w:t>公司申请撤回之日或者中国证监会或其它有权部门不予核准标的公司上市申请之日自动恢复法律效力，并对各方自</w:t>
      </w:r>
      <w:proofErr w:type="gramStart"/>
      <w:r>
        <w:rPr>
          <w:rFonts w:ascii="宋体" w:hAnsi="宋体" w:cs="宋体" w:hint="eastAsia"/>
          <w:sz w:val="24"/>
          <w:szCs w:val="24"/>
        </w:rPr>
        <w:t>始具有</w:t>
      </w:r>
      <w:proofErr w:type="gramEnd"/>
      <w:r>
        <w:rPr>
          <w:rFonts w:ascii="宋体" w:hAnsi="宋体" w:cs="宋体" w:hint="eastAsia"/>
          <w:sz w:val="24"/>
          <w:szCs w:val="24"/>
        </w:rPr>
        <w:t>约束力。</w:t>
      </w:r>
    </w:p>
    <w:p w14:paraId="75C1C792" w14:textId="73F13D9F" w:rsidR="00A62697" w:rsidRPr="00A62697" w:rsidRDefault="00A62697" w:rsidP="00A62697">
      <w:pPr>
        <w:pStyle w:val="1"/>
        <w:spacing w:before="156" w:after="156"/>
      </w:pPr>
      <w:r w:rsidRPr="00A62697">
        <w:rPr>
          <w:rFonts w:hint="eastAsia"/>
        </w:rPr>
        <w:t>四、交易对公司的影响和风险</w:t>
      </w:r>
      <w:r>
        <w:rPr>
          <w:rFonts w:hint="eastAsia"/>
        </w:rPr>
        <w:t>提示</w:t>
      </w:r>
    </w:p>
    <w:p w14:paraId="48A150B1" w14:textId="41B75AC9" w:rsidR="00A62697" w:rsidRDefault="00D0285E" w:rsidP="00D0285E">
      <w:pPr>
        <w:adjustRightInd w:val="0"/>
        <w:snapToGrid w:val="0"/>
        <w:spacing w:line="360" w:lineRule="auto"/>
        <w:ind w:firstLineChars="200" w:firstLine="480"/>
        <w:rPr>
          <w:rFonts w:ascii="宋体" w:hAnsi="宋体" w:cs="宋体" w:hint="eastAsia"/>
          <w:sz w:val="24"/>
          <w:szCs w:val="24"/>
        </w:rPr>
      </w:pPr>
      <w:r w:rsidRPr="00D0285E">
        <w:rPr>
          <w:rFonts w:ascii="宋体" w:hAnsi="宋体" w:cs="宋体" w:hint="eastAsia"/>
          <w:sz w:val="24"/>
          <w:szCs w:val="24"/>
        </w:rPr>
        <w:t>广生中</w:t>
      </w:r>
      <w:proofErr w:type="gramStart"/>
      <w:r w:rsidRPr="00D0285E">
        <w:rPr>
          <w:rFonts w:ascii="宋体" w:hAnsi="宋体" w:cs="宋体" w:hint="eastAsia"/>
          <w:sz w:val="24"/>
          <w:szCs w:val="24"/>
        </w:rPr>
        <w:t>霖</w:t>
      </w:r>
      <w:proofErr w:type="gramEnd"/>
      <w:r w:rsidRPr="00D0285E">
        <w:rPr>
          <w:rFonts w:ascii="宋体" w:hAnsi="宋体" w:cs="宋体" w:hint="eastAsia"/>
          <w:sz w:val="24"/>
          <w:szCs w:val="24"/>
        </w:rPr>
        <w:t>作为公司的创新药研发平台，承担着高投入、长周期的创新药物开发任务。通过本次交易，广生中</w:t>
      </w:r>
      <w:proofErr w:type="gramStart"/>
      <w:r w:rsidRPr="00D0285E">
        <w:rPr>
          <w:rFonts w:ascii="宋体" w:hAnsi="宋体" w:cs="宋体" w:hint="eastAsia"/>
          <w:sz w:val="24"/>
          <w:szCs w:val="24"/>
        </w:rPr>
        <w:t>霖</w:t>
      </w:r>
      <w:proofErr w:type="gramEnd"/>
      <w:r w:rsidRPr="00D0285E">
        <w:rPr>
          <w:rFonts w:ascii="宋体" w:hAnsi="宋体" w:cs="宋体" w:hint="eastAsia"/>
          <w:sz w:val="24"/>
          <w:szCs w:val="24"/>
        </w:rPr>
        <w:t>将增强资本实力，及时补充运营所需资金，加速推进包括非酒精性脂肪性肝炎及肝纤维化治疗创新药GST-HG151在内的在</w:t>
      </w:r>
      <w:proofErr w:type="gramStart"/>
      <w:r w:rsidRPr="00D0285E">
        <w:rPr>
          <w:rFonts w:ascii="宋体" w:hAnsi="宋体" w:cs="宋体" w:hint="eastAsia"/>
          <w:sz w:val="24"/>
          <w:szCs w:val="24"/>
        </w:rPr>
        <w:t>研</w:t>
      </w:r>
      <w:proofErr w:type="gramEnd"/>
      <w:r w:rsidRPr="00D0285E">
        <w:rPr>
          <w:rFonts w:ascii="宋体" w:hAnsi="宋体" w:cs="宋体" w:hint="eastAsia"/>
          <w:sz w:val="24"/>
          <w:szCs w:val="24"/>
        </w:rPr>
        <w:t>创新药的研发进程，提升人才吸引力和研发效能，助力核心创新药产品早日获批上市并实现商业化，从而创造更大研发价值，但具体对公司本年度经营业绩和未来业绩的影响尚不确定。广生中</w:t>
      </w:r>
      <w:proofErr w:type="gramStart"/>
      <w:r w:rsidRPr="00D0285E">
        <w:rPr>
          <w:rFonts w:ascii="宋体" w:hAnsi="宋体" w:cs="宋体" w:hint="eastAsia"/>
          <w:sz w:val="24"/>
          <w:szCs w:val="24"/>
        </w:rPr>
        <w:t>霖</w:t>
      </w:r>
      <w:proofErr w:type="gramEnd"/>
      <w:r w:rsidRPr="00D0285E">
        <w:rPr>
          <w:rFonts w:ascii="宋体" w:hAnsi="宋体" w:cs="宋体" w:hint="eastAsia"/>
          <w:sz w:val="24"/>
          <w:szCs w:val="24"/>
        </w:rPr>
        <w:t>将抓住中国创新药发展机遇，推动在</w:t>
      </w:r>
      <w:proofErr w:type="gramStart"/>
      <w:r w:rsidRPr="00D0285E">
        <w:rPr>
          <w:rFonts w:ascii="宋体" w:hAnsi="宋体" w:cs="宋体" w:hint="eastAsia"/>
          <w:sz w:val="24"/>
          <w:szCs w:val="24"/>
        </w:rPr>
        <w:t>研</w:t>
      </w:r>
      <w:proofErr w:type="gramEnd"/>
      <w:r w:rsidRPr="00D0285E">
        <w:rPr>
          <w:rFonts w:ascii="宋体" w:hAnsi="宋体" w:cs="宋体" w:hint="eastAsia"/>
          <w:sz w:val="24"/>
          <w:szCs w:val="24"/>
        </w:rPr>
        <w:t>药物早日上市。</w:t>
      </w:r>
    </w:p>
    <w:p w14:paraId="534AC027" w14:textId="00083CE8" w:rsidR="00D0285E" w:rsidRPr="00D0285E" w:rsidRDefault="006F72CA" w:rsidP="00D0285E">
      <w:pPr>
        <w:adjustRightInd w:val="0"/>
        <w:snapToGrid w:val="0"/>
        <w:spacing w:line="360" w:lineRule="auto"/>
        <w:ind w:firstLineChars="200" w:firstLine="480"/>
        <w:rPr>
          <w:rFonts w:ascii="宋体" w:hAnsi="宋体" w:cs="宋体" w:hint="eastAsia"/>
          <w:sz w:val="24"/>
          <w:szCs w:val="24"/>
        </w:rPr>
      </w:pPr>
      <w:r w:rsidRPr="006F72CA">
        <w:rPr>
          <w:rFonts w:ascii="宋体" w:hAnsi="宋体" w:cs="宋体" w:hint="eastAsia"/>
          <w:sz w:val="24"/>
          <w:szCs w:val="24"/>
        </w:rPr>
        <w:t>交易相关协议虽已签署，但仍存在因相关方</w:t>
      </w:r>
      <w:r w:rsidR="009556FA">
        <w:rPr>
          <w:rFonts w:ascii="宋体" w:hAnsi="宋体" w:cs="宋体" w:hint="eastAsia"/>
          <w:sz w:val="24"/>
          <w:szCs w:val="24"/>
        </w:rPr>
        <w:t>未</w:t>
      </w:r>
      <w:r w:rsidRPr="006F72CA">
        <w:rPr>
          <w:rFonts w:ascii="宋体" w:hAnsi="宋体" w:cs="宋体" w:hint="eastAsia"/>
          <w:sz w:val="24"/>
          <w:szCs w:val="24"/>
        </w:rPr>
        <w:t>及时履约而导致</w:t>
      </w:r>
      <w:r w:rsidR="009556FA">
        <w:rPr>
          <w:rFonts w:ascii="宋体" w:hAnsi="宋体" w:cs="宋体" w:hint="eastAsia"/>
          <w:sz w:val="24"/>
          <w:szCs w:val="24"/>
        </w:rPr>
        <w:t>实施进展</w:t>
      </w:r>
      <w:r w:rsidRPr="006F72CA">
        <w:rPr>
          <w:rFonts w:ascii="宋体" w:hAnsi="宋体" w:cs="宋体" w:hint="eastAsia"/>
          <w:sz w:val="24"/>
          <w:szCs w:val="24"/>
        </w:rPr>
        <w:t>延迟</w:t>
      </w:r>
      <w:r w:rsidRPr="006F72CA">
        <w:rPr>
          <w:rFonts w:ascii="宋体" w:hAnsi="宋体" w:cs="宋体" w:hint="eastAsia"/>
          <w:sz w:val="24"/>
          <w:szCs w:val="24"/>
        </w:rPr>
        <w:lastRenderedPageBreak/>
        <w:t>或无法顺利推进的风险。同时，创新药研发</w:t>
      </w:r>
      <w:r>
        <w:rPr>
          <w:rFonts w:ascii="宋体" w:hAnsi="宋体" w:cs="宋体" w:hint="eastAsia"/>
          <w:sz w:val="24"/>
          <w:szCs w:val="24"/>
        </w:rPr>
        <w:t>容易</w:t>
      </w:r>
      <w:r w:rsidRPr="006F72CA">
        <w:rPr>
          <w:rFonts w:ascii="宋体" w:hAnsi="宋体" w:cs="宋体" w:hint="eastAsia"/>
          <w:sz w:val="24"/>
          <w:szCs w:val="24"/>
        </w:rPr>
        <w:t>受多种因素影响，临床研究存在结果不及预期甚至失败的可能，后续能否获得上市批准存在不确定性。</w:t>
      </w:r>
      <w:r w:rsidR="00D0285E" w:rsidRPr="00D0285E">
        <w:rPr>
          <w:rFonts w:ascii="宋体" w:hAnsi="宋体" w:cs="宋体" w:hint="eastAsia"/>
          <w:sz w:val="24"/>
          <w:szCs w:val="24"/>
        </w:rPr>
        <w:t>敬请广大投资者谨慎决策，注意防范投资风险。</w:t>
      </w:r>
    </w:p>
    <w:p w14:paraId="5FF5F447" w14:textId="54363775" w:rsidR="009940F6" w:rsidRDefault="00A62697">
      <w:pPr>
        <w:pStyle w:val="1"/>
        <w:spacing w:before="156" w:after="156"/>
      </w:pPr>
      <w:r>
        <w:rPr>
          <w:rFonts w:hint="eastAsia"/>
        </w:rPr>
        <w:t>五、备查文件</w:t>
      </w:r>
    </w:p>
    <w:p w14:paraId="79A92AFF" w14:textId="77777777" w:rsidR="009940F6" w:rsidRDefault="00000000">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color w:val="000000"/>
          <w:sz w:val="24"/>
          <w:szCs w:val="24"/>
          <w:shd w:val="clear" w:color="auto" w:fill="FFFFFF"/>
        </w:rPr>
        <w:t>1、</w:t>
      </w:r>
      <w:r>
        <w:rPr>
          <w:rFonts w:ascii="宋体" w:hAnsi="宋体" w:cs="宋体" w:hint="eastAsia"/>
          <w:sz w:val="24"/>
          <w:szCs w:val="24"/>
        </w:rPr>
        <w:t>《关于福建广生中霖生物科技有限公司之投资协议》；</w:t>
      </w:r>
    </w:p>
    <w:p w14:paraId="69E3655B" w14:textId="77777777" w:rsidR="009940F6" w:rsidRDefault="00000000">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2、《关于福建广生中霖生物科技有限公司投资协议之补充协议》；</w:t>
      </w:r>
    </w:p>
    <w:p w14:paraId="53B4437A" w14:textId="77777777" w:rsidR="009940F6" w:rsidRDefault="00000000">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3、《关于福建广生中霖生物科技有限公司A、B两轮融资股东特别权利约定的协议》及其补充协议。</w:t>
      </w:r>
    </w:p>
    <w:p w14:paraId="458D7CFB" w14:textId="77777777" w:rsidR="009940F6" w:rsidRDefault="00000000">
      <w:pPr>
        <w:pStyle w:val="a9"/>
        <w:spacing w:beforeLines="100" w:before="312" w:beforeAutospacing="0" w:afterLines="100" w:after="312" w:afterAutospacing="0" w:line="360" w:lineRule="auto"/>
        <w:ind w:firstLineChars="200" w:firstLine="480"/>
        <w:rPr>
          <w:rFonts w:hint="eastAsia"/>
          <w:kern w:val="2"/>
          <w:szCs w:val="21"/>
        </w:rPr>
      </w:pPr>
      <w:r>
        <w:rPr>
          <w:rFonts w:hint="eastAsia"/>
        </w:rPr>
        <w:t>特此公告。</w:t>
      </w:r>
    </w:p>
    <w:p w14:paraId="600084F8" w14:textId="77777777" w:rsidR="009940F6" w:rsidRDefault="009940F6">
      <w:pPr>
        <w:widowControl/>
        <w:adjustRightInd w:val="0"/>
        <w:snapToGrid w:val="0"/>
        <w:spacing w:line="360" w:lineRule="auto"/>
        <w:ind w:firstLineChars="200" w:firstLine="480"/>
        <w:jc w:val="right"/>
        <w:rPr>
          <w:rFonts w:ascii="宋体" w:hAnsi="宋体" w:cs="宋体" w:hint="eastAsia"/>
          <w:sz w:val="24"/>
          <w:szCs w:val="21"/>
        </w:rPr>
      </w:pPr>
    </w:p>
    <w:p w14:paraId="0EFA0B7E" w14:textId="77777777" w:rsidR="009940F6" w:rsidRDefault="00000000">
      <w:pPr>
        <w:widowControl/>
        <w:adjustRightInd w:val="0"/>
        <w:snapToGrid w:val="0"/>
        <w:spacing w:line="360" w:lineRule="auto"/>
        <w:ind w:firstLineChars="200" w:firstLine="480"/>
        <w:jc w:val="right"/>
        <w:rPr>
          <w:rFonts w:ascii="宋体" w:hAnsi="宋体" w:cs="宋体" w:hint="eastAsia"/>
          <w:sz w:val="24"/>
          <w:szCs w:val="21"/>
        </w:rPr>
      </w:pPr>
      <w:r>
        <w:rPr>
          <w:rFonts w:ascii="宋体" w:hAnsi="宋体" w:cs="宋体" w:hint="eastAsia"/>
          <w:sz w:val="24"/>
          <w:szCs w:val="21"/>
        </w:rPr>
        <w:t>福建广生堂药业股份有限公司董事会</w:t>
      </w:r>
    </w:p>
    <w:p w14:paraId="29979BBE" w14:textId="355C4D44" w:rsidR="009940F6" w:rsidRDefault="00000000">
      <w:pPr>
        <w:widowControl/>
        <w:adjustRightInd w:val="0"/>
        <w:snapToGrid w:val="0"/>
        <w:spacing w:line="360" w:lineRule="auto"/>
        <w:ind w:firstLineChars="2300" w:firstLine="5520"/>
        <w:jc w:val="left"/>
        <w:rPr>
          <w:rFonts w:ascii="宋体" w:hAnsi="宋体" w:cs="宋体" w:hint="eastAsia"/>
          <w:sz w:val="24"/>
          <w:szCs w:val="24"/>
        </w:rPr>
      </w:pPr>
      <w:r>
        <w:rPr>
          <w:rFonts w:ascii="宋体" w:hAnsi="宋体" w:cs="宋体" w:hint="eastAsia"/>
          <w:sz w:val="24"/>
          <w:szCs w:val="21"/>
        </w:rPr>
        <w:t>2025年9月</w:t>
      </w:r>
      <w:r w:rsidR="00097255">
        <w:rPr>
          <w:rFonts w:ascii="宋体" w:hAnsi="宋体" w:cs="宋体" w:hint="eastAsia"/>
          <w:sz w:val="24"/>
          <w:szCs w:val="21"/>
        </w:rPr>
        <w:t>24</w:t>
      </w:r>
      <w:r>
        <w:rPr>
          <w:rFonts w:ascii="宋体" w:hAnsi="宋体" w:cs="宋体" w:hint="eastAsia"/>
          <w:sz w:val="24"/>
          <w:szCs w:val="21"/>
        </w:rPr>
        <w:t>日</w:t>
      </w:r>
    </w:p>
    <w:sectPr w:rsidR="009940F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7090B" w14:textId="77777777" w:rsidR="00AD4096" w:rsidRDefault="00AD4096">
      <w:r>
        <w:separator/>
      </w:r>
    </w:p>
  </w:endnote>
  <w:endnote w:type="continuationSeparator" w:id="0">
    <w:p w14:paraId="6FAECDBA" w14:textId="77777777" w:rsidR="00AD4096" w:rsidRDefault="00AD4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91D27" w14:textId="77777777" w:rsidR="009940F6" w:rsidRDefault="009940F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7EBE" w14:textId="77777777" w:rsidR="009940F6" w:rsidRDefault="00000000">
    <w:pPr>
      <w:pStyle w:val="a5"/>
      <w:jc w:val="center"/>
    </w:pPr>
    <w:r>
      <w:fldChar w:fldCharType="begin"/>
    </w:r>
    <w:r>
      <w:instrText>PAGE   \* MERGEFORMAT</w:instrText>
    </w:r>
    <w:r>
      <w:fldChar w:fldCharType="separate"/>
    </w:r>
    <w:r>
      <w:rPr>
        <w:lang w:val="zh-CN"/>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1C0B6" w14:textId="77777777" w:rsidR="009940F6" w:rsidRDefault="009940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BFB6C" w14:textId="77777777" w:rsidR="00AD4096" w:rsidRDefault="00AD4096">
      <w:r>
        <w:separator/>
      </w:r>
    </w:p>
  </w:footnote>
  <w:footnote w:type="continuationSeparator" w:id="0">
    <w:p w14:paraId="0B315779" w14:textId="77777777" w:rsidR="00AD4096" w:rsidRDefault="00AD4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957CB" w14:textId="77777777" w:rsidR="009940F6" w:rsidRDefault="00000000">
    <w:pPr>
      <w:pStyle w:val="a7"/>
    </w:pPr>
    <w:r>
      <w:rPr>
        <w:noProof/>
      </w:rPr>
      <w:drawing>
        <wp:anchor distT="0" distB="0" distL="114300" distR="114300" simplePos="0" relativeHeight="251660288" behindDoc="1" locked="0" layoutInCell="0" allowOverlap="1" wp14:anchorId="235F2019" wp14:editId="135F33E7">
          <wp:simplePos x="0" y="0"/>
          <wp:positionH relativeFrom="margin">
            <wp:align>center</wp:align>
          </wp:positionH>
          <wp:positionV relativeFrom="margin">
            <wp:align>center</wp:align>
          </wp:positionV>
          <wp:extent cx="7559040" cy="10692130"/>
          <wp:effectExtent l="0" t="0" r="3810" b="13970"/>
          <wp:wrapNone/>
          <wp:docPr id="2" name="WordPictureWatermark3069297" descr="通用信笺底板2014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069297" descr="通用信笺底板20140220"/>
                  <pic:cNvPicPr>
                    <a:picLocks noChangeAspect="1"/>
                  </pic:cNvPicPr>
                </pic:nvPicPr>
                <pic:blipFill>
                  <a:blip r:embed="rId1"/>
                  <a:stretch>
                    <a:fillRect/>
                  </a:stretch>
                </pic:blipFill>
                <pic:spPr>
                  <a:xfrm>
                    <a:off x="0" y="0"/>
                    <a:ext cx="7559040" cy="106921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B8A3" w14:textId="77777777" w:rsidR="009940F6" w:rsidRDefault="00000000">
    <w:pPr>
      <w:pStyle w:val="a7"/>
      <w:tabs>
        <w:tab w:val="clear" w:pos="8306"/>
        <w:tab w:val="right" w:pos="9214"/>
      </w:tabs>
      <w:ind w:leftChars="-608" w:left="-1277" w:rightChars="-634" w:right="-1331" w:firstLine="1"/>
    </w:pPr>
    <w:r>
      <w:rPr>
        <w:noProof/>
      </w:rPr>
      <w:drawing>
        <wp:anchor distT="0" distB="0" distL="114300" distR="114300" simplePos="0" relativeHeight="251661312" behindDoc="1" locked="0" layoutInCell="0" allowOverlap="1" wp14:anchorId="4656F012" wp14:editId="1044C380">
          <wp:simplePos x="0" y="0"/>
          <wp:positionH relativeFrom="margin">
            <wp:align>center</wp:align>
          </wp:positionH>
          <wp:positionV relativeFrom="margin">
            <wp:align>center</wp:align>
          </wp:positionV>
          <wp:extent cx="7559040" cy="10692130"/>
          <wp:effectExtent l="0" t="0" r="3810" b="13970"/>
          <wp:wrapNone/>
          <wp:docPr id="3" name="WordPictureWatermark3069298" descr="通用信笺底板2014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069298" descr="通用信笺底板20140220"/>
                  <pic:cNvPicPr>
                    <a:picLocks noChangeAspect="1"/>
                  </pic:cNvPicPr>
                </pic:nvPicPr>
                <pic:blipFill>
                  <a:blip r:embed="rId1"/>
                  <a:stretch>
                    <a:fillRect/>
                  </a:stretch>
                </pic:blipFill>
                <pic:spPr>
                  <a:xfrm>
                    <a:off x="0" y="0"/>
                    <a:ext cx="7559040" cy="106921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E31A" w14:textId="77777777" w:rsidR="009940F6" w:rsidRDefault="00000000">
    <w:pPr>
      <w:pStyle w:val="a7"/>
    </w:pPr>
    <w:r>
      <w:rPr>
        <w:noProof/>
      </w:rPr>
      <w:drawing>
        <wp:anchor distT="0" distB="0" distL="114300" distR="114300" simplePos="0" relativeHeight="251659264" behindDoc="1" locked="0" layoutInCell="0" allowOverlap="1" wp14:anchorId="390CBAA0" wp14:editId="38605DA6">
          <wp:simplePos x="0" y="0"/>
          <wp:positionH relativeFrom="margin">
            <wp:align>center</wp:align>
          </wp:positionH>
          <wp:positionV relativeFrom="margin">
            <wp:align>center</wp:align>
          </wp:positionV>
          <wp:extent cx="7559040" cy="10692130"/>
          <wp:effectExtent l="0" t="0" r="3810" b="13970"/>
          <wp:wrapNone/>
          <wp:docPr id="1" name="WordPictureWatermark3069296" descr="通用信笺底板2014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069296" descr="通用信笺底板20140220"/>
                  <pic:cNvPicPr>
                    <a:picLocks noChangeAspect="1"/>
                  </pic:cNvPicPr>
                </pic:nvPicPr>
                <pic:blipFill>
                  <a:blip r:embed="rId1"/>
                  <a:stretch>
                    <a:fillRect/>
                  </a:stretch>
                </pic:blipFill>
                <pic:spPr>
                  <a:xfrm>
                    <a:off x="0" y="0"/>
                    <a:ext cx="7559040" cy="1069213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Q4MDAzNjNiM2EwYjNjY2VkN2I2ZWY4OTg5YTA1ZWYifQ=="/>
    <w:docVar w:name="metasota_documentID" w:val="8636605333724442624"/>
  </w:docVars>
  <w:rsids>
    <w:rsidRoot w:val="00082C74"/>
    <w:rsid w:val="00000E44"/>
    <w:rsid w:val="00005738"/>
    <w:rsid w:val="00022CF4"/>
    <w:rsid w:val="00023A21"/>
    <w:rsid w:val="00043EA5"/>
    <w:rsid w:val="00062142"/>
    <w:rsid w:val="000819B1"/>
    <w:rsid w:val="00082C74"/>
    <w:rsid w:val="00093459"/>
    <w:rsid w:val="00097255"/>
    <w:rsid w:val="000F1437"/>
    <w:rsid w:val="000F2B72"/>
    <w:rsid w:val="000F51AB"/>
    <w:rsid w:val="00136678"/>
    <w:rsid w:val="0014223F"/>
    <w:rsid w:val="00144C6A"/>
    <w:rsid w:val="00161734"/>
    <w:rsid w:val="00177982"/>
    <w:rsid w:val="00197378"/>
    <w:rsid w:val="001B03D3"/>
    <w:rsid w:val="001D51D8"/>
    <w:rsid w:val="001E00B7"/>
    <w:rsid w:val="001E6D69"/>
    <w:rsid w:val="001F5A28"/>
    <w:rsid w:val="00201BC1"/>
    <w:rsid w:val="0021331C"/>
    <w:rsid w:val="00230986"/>
    <w:rsid w:val="00237C39"/>
    <w:rsid w:val="002448CC"/>
    <w:rsid w:val="0024604B"/>
    <w:rsid w:val="002562CC"/>
    <w:rsid w:val="002834F6"/>
    <w:rsid w:val="002A0F95"/>
    <w:rsid w:val="002C043C"/>
    <w:rsid w:val="002D1F1C"/>
    <w:rsid w:val="002D7652"/>
    <w:rsid w:val="003036EC"/>
    <w:rsid w:val="00303F01"/>
    <w:rsid w:val="00303F1D"/>
    <w:rsid w:val="003225AE"/>
    <w:rsid w:val="00335A56"/>
    <w:rsid w:val="00376191"/>
    <w:rsid w:val="003975DD"/>
    <w:rsid w:val="003B729F"/>
    <w:rsid w:val="003C796A"/>
    <w:rsid w:val="003D01EE"/>
    <w:rsid w:val="003E7976"/>
    <w:rsid w:val="004006BD"/>
    <w:rsid w:val="00432AA7"/>
    <w:rsid w:val="00436D3B"/>
    <w:rsid w:val="0044781D"/>
    <w:rsid w:val="00472B98"/>
    <w:rsid w:val="004843F6"/>
    <w:rsid w:val="00494C23"/>
    <w:rsid w:val="004C01B1"/>
    <w:rsid w:val="004C65EB"/>
    <w:rsid w:val="004C7FBE"/>
    <w:rsid w:val="004D3DF7"/>
    <w:rsid w:val="004F03D6"/>
    <w:rsid w:val="004F5779"/>
    <w:rsid w:val="00501F9F"/>
    <w:rsid w:val="00532AA5"/>
    <w:rsid w:val="00547EA4"/>
    <w:rsid w:val="005C4F61"/>
    <w:rsid w:val="005C6ADC"/>
    <w:rsid w:val="005C7687"/>
    <w:rsid w:val="005E7843"/>
    <w:rsid w:val="006144E0"/>
    <w:rsid w:val="00636A58"/>
    <w:rsid w:val="00643868"/>
    <w:rsid w:val="0065610B"/>
    <w:rsid w:val="0066395D"/>
    <w:rsid w:val="00690D05"/>
    <w:rsid w:val="006921B2"/>
    <w:rsid w:val="006969CB"/>
    <w:rsid w:val="006A313F"/>
    <w:rsid w:val="006A713E"/>
    <w:rsid w:val="006B1FE9"/>
    <w:rsid w:val="006C71F1"/>
    <w:rsid w:val="006F72CA"/>
    <w:rsid w:val="00701CFE"/>
    <w:rsid w:val="007320D8"/>
    <w:rsid w:val="007524E8"/>
    <w:rsid w:val="007529B0"/>
    <w:rsid w:val="007568F4"/>
    <w:rsid w:val="00756F5D"/>
    <w:rsid w:val="00777406"/>
    <w:rsid w:val="00791B37"/>
    <w:rsid w:val="007D07FC"/>
    <w:rsid w:val="007F5678"/>
    <w:rsid w:val="00822702"/>
    <w:rsid w:val="0083199D"/>
    <w:rsid w:val="00864D7E"/>
    <w:rsid w:val="00871F0E"/>
    <w:rsid w:val="008933D5"/>
    <w:rsid w:val="008D4935"/>
    <w:rsid w:val="008D666C"/>
    <w:rsid w:val="008E43BB"/>
    <w:rsid w:val="008E44A2"/>
    <w:rsid w:val="008F7F84"/>
    <w:rsid w:val="009275C1"/>
    <w:rsid w:val="009556FA"/>
    <w:rsid w:val="009940F6"/>
    <w:rsid w:val="00994FF0"/>
    <w:rsid w:val="009E07F6"/>
    <w:rsid w:val="009E3B80"/>
    <w:rsid w:val="009F5A04"/>
    <w:rsid w:val="009F7C7D"/>
    <w:rsid w:val="00A00FE0"/>
    <w:rsid w:val="00A13760"/>
    <w:rsid w:val="00A344A1"/>
    <w:rsid w:val="00A52433"/>
    <w:rsid w:val="00A62697"/>
    <w:rsid w:val="00A65B55"/>
    <w:rsid w:val="00A805AA"/>
    <w:rsid w:val="00AB4096"/>
    <w:rsid w:val="00AD010E"/>
    <w:rsid w:val="00AD04BB"/>
    <w:rsid w:val="00AD4096"/>
    <w:rsid w:val="00AE1304"/>
    <w:rsid w:val="00AF1AA1"/>
    <w:rsid w:val="00B336E2"/>
    <w:rsid w:val="00B741F4"/>
    <w:rsid w:val="00B9262C"/>
    <w:rsid w:val="00BA5557"/>
    <w:rsid w:val="00BA79E2"/>
    <w:rsid w:val="00BB6D58"/>
    <w:rsid w:val="00BD08C5"/>
    <w:rsid w:val="00BD7D13"/>
    <w:rsid w:val="00BE7D4C"/>
    <w:rsid w:val="00C234F3"/>
    <w:rsid w:val="00C6591F"/>
    <w:rsid w:val="00C67FEF"/>
    <w:rsid w:val="00CC0F8D"/>
    <w:rsid w:val="00CC3391"/>
    <w:rsid w:val="00CD4982"/>
    <w:rsid w:val="00CE162F"/>
    <w:rsid w:val="00CE73CA"/>
    <w:rsid w:val="00D001AA"/>
    <w:rsid w:val="00D01598"/>
    <w:rsid w:val="00D0285E"/>
    <w:rsid w:val="00D144EC"/>
    <w:rsid w:val="00D44ECB"/>
    <w:rsid w:val="00D51142"/>
    <w:rsid w:val="00D87192"/>
    <w:rsid w:val="00D90F20"/>
    <w:rsid w:val="00DA523A"/>
    <w:rsid w:val="00DB104B"/>
    <w:rsid w:val="00DB2420"/>
    <w:rsid w:val="00DC2EEC"/>
    <w:rsid w:val="00DC4830"/>
    <w:rsid w:val="00DD58CF"/>
    <w:rsid w:val="00DD7DEB"/>
    <w:rsid w:val="00E10042"/>
    <w:rsid w:val="00E10BCF"/>
    <w:rsid w:val="00E11AA7"/>
    <w:rsid w:val="00E249EA"/>
    <w:rsid w:val="00E71137"/>
    <w:rsid w:val="00E80423"/>
    <w:rsid w:val="00E83B67"/>
    <w:rsid w:val="00E85479"/>
    <w:rsid w:val="00EE4A5E"/>
    <w:rsid w:val="00EF144A"/>
    <w:rsid w:val="00F40987"/>
    <w:rsid w:val="00F4635B"/>
    <w:rsid w:val="00F46DA3"/>
    <w:rsid w:val="00F532C7"/>
    <w:rsid w:val="00F61958"/>
    <w:rsid w:val="00F62E05"/>
    <w:rsid w:val="00F74C29"/>
    <w:rsid w:val="00F876E6"/>
    <w:rsid w:val="00FA67A8"/>
    <w:rsid w:val="00FC5C66"/>
    <w:rsid w:val="00FC7188"/>
    <w:rsid w:val="00FD59BF"/>
    <w:rsid w:val="00FE1AFE"/>
    <w:rsid w:val="00FE6383"/>
    <w:rsid w:val="00FF5247"/>
    <w:rsid w:val="01214236"/>
    <w:rsid w:val="017868B5"/>
    <w:rsid w:val="01832591"/>
    <w:rsid w:val="018856AF"/>
    <w:rsid w:val="029F7154"/>
    <w:rsid w:val="02A1447D"/>
    <w:rsid w:val="032A43BA"/>
    <w:rsid w:val="032F6920"/>
    <w:rsid w:val="03305FFE"/>
    <w:rsid w:val="03EA0F72"/>
    <w:rsid w:val="04506958"/>
    <w:rsid w:val="045126D0"/>
    <w:rsid w:val="04A70BB9"/>
    <w:rsid w:val="04DE437D"/>
    <w:rsid w:val="05340028"/>
    <w:rsid w:val="05C70041"/>
    <w:rsid w:val="060A308F"/>
    <w:rsid w:val="060F639F"/>
    <w:rsid w:val="06652463"/>
    <w:rsid w:val="066640B1"/>
    <w:rsid w:val="0790350F"/>
    <w:rsid w:val="08B74923"/>
    <w:rsid w:val="08BB636A"/>
    <w:rsid w:val="092263E9"/>
    <w:rsid w:val="093208FE"/>
    <w:rsid w:val="0A817662"/>
    <w:rsid w:val="0A8C6210"/>
    <w:rsid w:val="0AB319EF"/>
    <w:rsid w:val="0AE83751"/>
    <w:rsid w:val="0AF65BAA"/>
    <w:rsid w:val="0B0225D9"/>
    <w:rsid w:val="0B582B93"/>
    <w:rsid w:val="0BC41804"/>
    <w:rsid w:val="0E3E1F17"/>
    <w:rsid w:val="101051ED"/>
    <w:rsid w:val="106D4074"/>
    <w:rsid w:val="108E2A27"/>
    <w:rsid w:val="10AE6DBE"/>
    <w:rsid w:val="10D51608"/>
    <w:rsid w:val="114A29CE"/>
    <w:rsid w:val="11A007F3"/>
    <w:rsid w:val="13AB75EB"/>
    <w:rsid w:val="141B4B0A"/>
    <w:rsid w:val="14B42A93"/>
    <w:rsid w:val="151C4634"/>
    <w:rsid w:val="15970404"/>
    <w:rsid w:val="15E20BAE"/>
    <w:rsid w:val="16C548FE"/>
    <w:rsid w:val="17286D0C"/>
    <w:rsid w:val="179764FD"/>
    <w:rsid w:val="17BE4DAF"/>
    <w:rsid w:val="194C3802"/>
    <w:rsid w:val="19CF6119"/>
    <w:rsid w:val="1A3567DD"/>
    <w:rsid w:val="1A4D7493"/>
    <w:rsid w:val="1A5B50CB"/>
    <w:rsid w:val="1AC33221"/>
    <w:rsid w:val="1AD55213"/>
    <w:rsid w:val="1B495D2A"/>
    <w:rsid w:val="1BAD248A"/>
    <w:rsid w:val="1BDC68CC"/>
    <w:rsid w:val="1CF60774"/>
    <w:rsid w:val="1E1E2DF0"/>
    <w:rsid w:val="1E731769"/>
    <w:rsid w:val="1F3053B8"/>
    <w:rsid w:val="20717F2A"/>
    <w:rsid w:val="21160150"/>
    <w:rsid w:val="22643B2A"/>
    <w:rsid w:val="22884B9B"/>
    <w:rsid w:val="2299657C"/>
    <w:rsid w:val="247578BD"/>
    <w:rsid w:val="24A94139"/>
    <w:rsid w:val="24D35EFE"/>
    <w:rsid w:val="25C042C4"/>
    <w:rsid w:val="261F179D"/>
    <w:rsid w:val="26773DC1"/>
    <w:rsid w:val="27C56BA3"/>
    <w:rsid w:val="28093045"/>
    <w:rsid w:val="28D70B46"/>
    <w:rsid w:val="28F434A6"/>
    <w:rsid w:val="292A336C"/>
    <w:rsid w:val="298962E5"/>
    <w:rsid w:val="29961AB0"/>
    <w:rsid w:val="29B10281"/>
    <w:rsid w:val="29EB3B8F"/>
    <w:rsid w:val="2A8668B4"/>
    <w:rsid w:val="2AD40F00"/>
    <w:rsid w:val="2BAF1907"/>
    <w:rsid w:val="2BD90527"/>
    <w:rsid w:val="2C0B2FE1"/>
    <w:rsid w:val="2D1934DC"/>
    <w:rsid w:val="2DA73BC9"/>
    <w:rsid w:val="2DD6587E"/>
    <w:rsid w:val="2E01126B"/>
    <w:rsid w:val="2E46510F"/>
    <w:rsid w:val="2ED93186"/>
    <w:rsid w:val="2F032695"/>
    <w:rsid w:val="2F4260D0"/>
    <w:rsid w:val="2FEF6701"/>
    <w:rsid w:val="302E54F0"/>
    <w:rsid w:val="30333103"/>
    <w:rsid w:val="317C228B"/>
    <w:rsid w:val="32070D49"/>
    <w:rsid w:val="32617BCD"/>
    <w:rsid w:val="32736AB8"/>
    <w:rsid w:val="32AF2566"/>
    <w:rsid w:val="342A2472"/>
    <w:rsid w:val="347418D4"/>
    <w:rsid w:val="35644951"/>
    <w:rsid w:val="36C10BB7"/>
    <w:rsid w:val="36DC6C68"/>
    <w:rsid w:val="37022674"/>
    <w:rsid w:val="373830F8"/>
    <w:rsid w:val="38713FD9"/>
    <w:rsid w:val="3976413E"/>
    <w:rsid w:val="39DF419A"/>
    <w:rsid w:val="3A3468B1"/>
    <w:rsid w:val="3A592270"/>
    <w:rsid w:val="3A896735"/>
    <w:rsid w:val="3B3F1AA5"/>
    <w:rsid w:val="3BA819AA"/>
    <w:rsid w:val="3BE84F25"/>
    <w:rsid w:val="3CE61A1E"/>
    <w:rsid w:val="3D22462E"/>
    <w:rsid w:val="3DB334D8"/>
    <w:rsid w:val="3DB71F08"/>
    <w:rsid w:val="3DFB283E"/>
    <w:rsid w:val="3E10318A"/>
    <w:rsid w:val="3E3348BA"/>
    <w:rsid w:val="3EE53B65"/>
    <w:rsid w:val="41526B64"/>
    <w:rsid w:val="418331C2"/>
    <w:rsid w:val="41BE5866"/>
    <w:rsid w:val="41D1217F"/>
    <w:rsid w:val="428E2D6F"/>
    <w:rsid w:val="43071F86"/>
    <w:rsid w:val="43D321DE"/>
    <w:rsid w:val="452669A6"/>
    <w:rsid w:val="46A81416"/>
    <w:rsid w:val="4700173E"/>
    <w:rsid w:val="47570722"/>
    <w:rsid w:val="476024E2"/>
    <w:rsid w:val="47D430B3"/>
    <w:rsid w:val="483E2513"/>
    <w:rsid w:val="488C6E00"/>
    <w:rsid w:val="4A02381D"/>
    <w:rsid w:val="4B4C343E"/>
    <w:rsid w:val="4C561BFF"/>
    <w:rsid w:val="4C577725"/>
    <w:rsid w:val="4CBB5F06"/>
    <w:rsid w:val="4CBC5798"/>
    <w:rsid w:val="4D1A7B0D"/>
    <w:rsid w:val="4E326C84"/>
    <w:rsid w:val="4E520210"/>
    <w:rsid w:val="4E787F99"/>
    <w:rsid w:val="4EFE032C"/>
    <w:rsid w:val="4F9B3544"/>
    <w:rsid w:val="4FDE1EEA"/>
    <w:rsid w:val="50F508CA"/>
    <w:rsid w:val="51D35A9F"/>
    <w:rsid w:val="51E918CF"/>
    <w:rsid w:val="52B458D1"/>
    <w:rsid w:val="532760A3"/>
    <w:rsid w:val="53B611D5"/>
    <w:rsid w:val="54BA402F"/>
    <w:rsid w:val="54F25B03"/>
    <w:rsid w:val="5511700B"/>
    <w:rsid w:val="55701CD9"/>
    <w:rsid w:val="56A30136"/>
    <w:rsid w:val="5961765F"/>
    <w:rsid w:val="5CA23B87"/>
    <w:rsid w:val="5D214166"/>
    <w:rsid w:val="5E1360BA"/>
    <w:rsid w:val="6066019C"/>
    <w:rsid w:val="60CA5C5B"/>
    <w:rsid w:val="61371BA7"/>
    <w:rsid w:val="61BD594B"/>
    <w:rsid w:val="61EB3214"/>
    <w:rsid w:val="63F665E2"/>
    <w:rsid w:val="64721148"/>
    <w:rsid w:val="64B66185"/>
    <w:rsid w:val="64C32220"/>
    <w:rsid w:val="65B926B0"/>
    <w:rsid w:val="66291A75"/>
    <w:rsid w:val="66F64CB2"/>
    <w:rsid w:val="67196594"/>
    <w:rsid w:val="67A95BEC"/>
    <w:rsid w:val="67D0597C"/>
    <w:rsid w:val="67E564E7"/>
    <w:rsid w:val="67E9663F"/>
    <w:rsid w:val="68867589"/>
    <w:rsid w:val="69C354F4"/>
    <w:rsid w:val="6A1A3E14"/>
    <w:rsid w:val="6A2429B1"/>
    <w:rsid w:val="6A4175F2"/>
    <w:rsid w:val="6AC01691"/>
    <w:rsid w:val="6B2947D1"/>
    <w:rsid w:val="6C1D7DFE"/>
    <w:rsid w:val="6C6D0B73"/>
    <w:rsid w:val="6C702411"/>
    <w:rsid w:val="6C9E1130"/>
    <w:rsid w:val="6D65184A"/>
    <w:rsid w:val="6DC538B9"/>
    <w:rsid w:val="6E1015B4"/>
    <w:rsid w:val="6E6C3E5F"/>
    <w:rsid w:val="6E7D0E15"/>
    <w:rsid w:val="6E8A25BC"/>
    <w:rsid w:val="6F39380E"/>
    <w:rsid w:val="6F6F5442"/>
    <w:rsid w:val="70C0732B"/>
    <w:rsid w:val="71CE53FC"/>
    <w:rsid w:val="735D31EB"/>
    <w:rsid w:val="74736F42"/>
    <w:rsid w:val="74E51BC9"/>
    <w:rsid w:val="75531083"/>
    <w:rsid w:val="75795EB8"/>
    <w:rsid w:val="75BB0D44"/>
    <w:rsid w:val="76D17F2E"/>
    <w:rsid w:val="77055629"/>
    <w:rsid w:val="77CE623E"/>
    <w:rsid w:val="77D226FA"/>
    <w:rsid w:val="78A551F0"/>
    <w:rsid w:val="78DF07DD"/>
    <w:rsid w:val="78EE574A"/>
    <w:rsid w:val="793B41E9"/>
    <w:rsid w:val="798C7FDD"/>
    <w:rsid w:val="7D975515"/>
    <w:rsid w:val="7FA36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8D0CF1"/>
  <w15:docId w15:val="{A0BA7E72-5261-40AB-B374-2F00AFC8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uiPriority w:val="9"/>
    <w:qFormat/>
    <w:pPr>
      <w:keepNext/>
      <w:keepLines/>
      <w:spacing w:beforeLines="50" w:afterLines="50" w:line="360" w:lineRule="auto"/>
      <w:outlineLvl w:val="0"/>
    </w:pPr>
    <w:rPr>
      <w:b/>
      <w:kern w:val="44"/>
      <w:sz w:val="24"/>
    </w:rPr>
  </w:style>
  <w:style w:type="paragraph" w:styleId="2">
    <w:name w:val="heading 2"/>
    <w:basedOn w:val="a"/>
    <w:next w:val="a"/>
    <w:uiPriority w:val="9"/>
    <w:unhideWhenUsed/>
    <w:qFormat/>
    <w:pPr>
      <w:spacing w:beforeLines="50" w:before="50" w:afterLines="50" w:after="50" w:line="360" w:lineRule="auto"/>
      <w:ind w:firstLineChars="200" w:firstLine="480"/>
      <w:outlineLvl w:val="1"/>
    </w:pPr>
    <w:rPr>
      <w:rFonts w:ascii="宋体" w:hAnsi="宋体"/>
      <w:b/>
      <w:sz w:val="24"/>
    </w:rPr>
  </w:style>
  <w:style w:type="paragraph" w:styleId="3">
    <w:name w:val="heading 3"/>
    <w:basedOn w:val="a"/>
    <w:next w:val="a"/>
    <w:uiPriority w:val="9"/>
    <w:unhideWhenUsed/>
    <w:qFormat/>
    <w:pPr>
      <w:spacing w:beforeLines="50" w:before="50" w:afterLines="50" w:after="50" w:line="360" w:lineRule="auto"/>
      <w:ind w:firstLineChars="200" w:firstLine="480"/>
      <w:outlineLvl w:val="2"/>
    </w:pPr>
    <w:rPr>
      <w:rFonts w:ascii="宋体" w:hAnsi="宋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qFormat/>
    <w:pPr>
      <w:spacing w:beforeLines="50" w:before="50" w:line="360" w:lineRule="auto"/>
      <w:ind w:firstLineChars="200" w:firstLine="200"/>
      <w:jc w:val="both"/>
    </w:pPr>
    <w:rPr>
      <w:kern w:val="2"/>
      <w:sz w:val="24"/>
      <w:szCs w:val="23"/>
    </w:rPr>
  </w:style>
  <w:style w:type="paragraph" w:styleId="a4">
    <w:name w:val="annotation text"/>
    <w:basedOn w:val="a"/>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rPr>
  </w:style>
  <w:style w:type="character" w:styleId="ac">
    <w:name w:val="Hyperlink"/>
    <w:basedOn w:val="a0"/>
    <w:uiPriority w:val="99"/>
    <w:semiHidden/>
    <w:unhideWhenUsed/>
    <w:qFormat/>
    <w:rPr>
      <w:color w:val="0000FF"/>
      <w:u w:val="single"/>
    </w:rPr>
  </w:style>
  <w:style w:type="character" w:styleId="ad">
    <w:name w:val="annotation reference"/>
    <w:uiPriority w:val="99"/>
    <w:unhideWhenUsed/>
    <w:qFormat/>
    <w:rPr>
      <w:sz w:val="21"/>
      <w:szCs w:val="21"/>
    </w:rPr>
  </w:style>
  <w:style w:type="character" w:customStyle="1" w:styleId="a6">
    <w:name w:val="页脚 字符"/>
    <w:link w:val="a5"/>
    <w:uiPriority w:val="99"/>
    <w:qFormat/>
    <w:rPr>
      <w:sz w:val="18"/>
      <w:szCs w:val="18"/>
    </w:rPr>
  </w:style>
  <w:style w:type="character" w:customStyle="1" w:styleId="a8">
    <w:name w:val="页眉 字符"/>
    <w:link w:val="a7"/>
    <w:uiPriority w:val="99"/>
    <w:semiHidden/>
    <w:qFormat/>
    <w:rPr>
      <w:sz w:val="18"/>
      <w:szCs w:val="18"/>
    </w:rPr>
  </w:style>
  <w:style w:type="character" w:customStyle="1" w:styleId="HTML0">
    <w:name w:val="HTML 预设格式 字符"/>
    <w:link w:val="HTML"/>
    <w:uiPriority w:val="99"/>
    <w:qFormat/>
    <w:rPr>
      <w:rFonts w:ascii="宋体" w:hAnsi="宋体" w:cs="宋体"/>
      <w:sz w:val="24"/>
      <w:szCs w:val="24"/>
    </w:rPr>
  </w:style>
  <w:style w:type="table" w:customStyle="1" w:styleId="10">
    <w:name w:val="网格型1"/>
    <w:basedOn w:val="a1"/>
    <w:uiPriority w:val="59"/>
    <w:qFormat/>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qFormat/>
    <w:rPr>
      <w:rFonts w:ascii="宋体" w:eastAsia="宋体" w:hAnsi="宋体" w:hint="eastAsia"/>
      <w:color w:val="000000"/>
      <w:sz w:val="24"/>
      <w:szCs w:val="24"/>
    </w:rPr>
  </w:style>
  <w:style w:type="paragraph" w:customStyle="1" w:styleId="11">
    <w:name w:val="修订1"/>
    <w:hidden/>
    <w:uiPriority w:val="99"/>
    <w:unhideWhenUsed/>
    <w:qFormat/>
    <w:rPr>
      <w:rFonts w:ascii="Calibri" w:hAnsi="Calibri"/>
      <w:kern w:val="2"/>
      <w:sz w:val="21"/>
      <w:szCs w:val="22"/>
    </w:rPr>
  </w:style>
  <w:style w:type="paragraph" w:styleId="ae">
    <w:name w:val="List Paragraph"/>
    <w:basedOn w:val="a"/>
    <w:uiPriority w:val="34"/>
    <w:qFormat/>
    <w:pPr>
      <w:ind w:firstLineChars="200" w:firstLine="420"/>
    </w:pPr>
  </w:style>
  <w:style w:type="paragraph" w:customStyle="1" w:styleId="20">
    <w:name w:val="修订2"/>
    <w:hidden/>
    <w:uiPriority w:val="99"/>
    <w:unhideWhenUsed/>
    <w:qFormat/>
    <w:rPr>
      <w:rFonts w:ascii="Calibri" w:hAnsi="Calibri"/>
      <w:kern w:val="2"/>
      <w:sz w:val="21"/>
      <w:szCs w:val="22"/>
    </w:rPr>
  </w:style>
  <w:style w:type="paragraph" w:customStyle="1" w:styleId="12">
    <w:name w:val="列出段落1"/>
    <w:basedOn w:val="a"/>
    <w:qFormat/>
    <w:pPr>
      <w:ind w:firstLineChars="200" w:firstLine="420"/>
    </w:pPr>
    <w:rPr>
      <w:rFonts w:ascii="Arial" w:hAnsi="Arial"/>
      <w:sz w:val="23"/>
      <w:szCs w:val="24"/>
    </w:rPr>
  </w:style>
  <w:style w:type="paragraph" w:styleId="af">
    <w:name w:val="Revision"/>
    <w:hidden/>
    <w:uiPriority w:val="99"/>
    <w:unhideWhenUsed/>
    <w:rsid w:val="00BA5557"/>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6</Pages>
  <Words>645</Words>
  <Characters>3678</Characters>
  <Application>Microsoft Office Word</Application>
  <DocSecurity>0</DocSecurity>
  <Lines>30</Lines>
  <Paragraphs>8</Paragraphs>
  <ScaleCrop>false</ScaleCrop>
  <Company>company</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证券代码:300436      证券简称：广生堂     公告编号：20170</dc:title>
  <dc:creator>王琴</dc:creator>
  <cp:lastModifiedBy>QH</cp:lastModifiedBy>
  <cp:revision>100</cp:revision>
  <cp:lastPrinted>2025-09-15T03:20:00Z</cp:lastPrinted>
  <dcterms:created xsi:type="dcterms:W3CDTF">2014-02-19T09:25:00Z</dcterms:created>
  <dcterms:modified xsi:type="dcterms:W3CDTF">2025-09-24T07:25:00Z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AA7FC7C7664E468FBD22A6CC66A61750</vt:lpwstr>
  </property>
  <property fmtid="{D5CDD505-2E9C-101B-9397-08002B2CF9AE}" pid="4" name="KSOTemplateDocerSaveRecord">
    <vt:lpwstr>eyJoZGlkIjoiY2Q4MDAzNjNiM2EwYjNjY2VkN2I2ZWY4OTg5YTA1ZWYiLCJ1c2VySWQiOiIxMzk5OTUwMzQxIn0=</vt:lpwstr>
  </property>
</Properties>
</file>