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62FD2">
      <w:pPr>
        <w:spacing w:line="360" w:lineRule="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24"/>
          <w:szCs w:val="24"/>
          <w:highlight w:val="none"/>
        </w:rPr>
        <w:t>证券代码：300436        证券简称：广生堂        公告编号：2025</w:t>
      </w:r>
      <w:r>
        <w:rPr>
          <w:rFonts w:hint="eastAsia" w:ascii="宋体" w:hAnsi="宋体" w:cs="宋体"/>
          <w:color w:val="auto"/>
          <w:kern w:val="0"/>
          <w:sz w:val="24"/>
          <w:szCs w:val="24"/>
          <w:highlight w:val="none"/>
          <w:lang w:val="en-US" w:eastAsia="zh-CN"/>
        </w:rPr>
        <w:t>075</w:t>
      </w:r>
    </w:p>
    <w:p w14:paraId="787541AF">
      <w:pPr>
        <w:adjustRightInd w:val="0"/>
        <w:snapToGrid w:val="0"/>
        <w:spacing w:before="312" w:beforeLines="10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福建广生堂药业股份有限公司</w:t>
      </w:r>
    </w:p>
    <w:p w14:paraId="4565D1D5">
      <w:pPr>
        <w:adjustRightInd w:val="0"/>
        <w:snapToGrid w:val="0"/>
        <w:spacing w:after="156" w:afterLines="5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关于召开2025年第</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rPr>
        <w:t>次临时</w:t>
      </w:r>
      <w:bookmarkStart w:id="0" w:name="_GoBack"/>
      <w:r>
        <w:rPr>
          <w:rFonts w:hint="eastAsia" w:ascii="宋体" w:hAnsi="宋体" w:cs="宋体"/>
          <w:b/>
          <w:bCs/>
          <w:color w:val="auto"/>
          <w:sz w:val="32"/>
          <w:szCs w:val="32"/>
          <w:highlight w:val="none"/>
        </w:rPr>
        <w:t>股东大会</w:t>
      </w:r>
      <w:bookmarkEnd w:id="0"/>
      <w:r>
        <w:rPr>
          <w:rFonts w:hint="eastAsia" w:ascii="宋体" w:hAnsi="宋体" w:cs="宋体"/>
          <w:b/>
          <w:bCs/>
          <w:color w:val="auto"/>
          <w:sz w:val="32"/>
          <w:szCs w:val="32"/>
          <w:highlight w:val="none"/>
        </w:rPr>
        <w:t>的通知</w:t>
      </w:r>
    </w:p>
    <w:tbl>
      <w:tblPr>
        <w:tblStyle w:val="10"/>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2"/>
      </w:tblGrid>
      <w:tr w14:paraId="0735C3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57" w:hRule="atLeast"/>
        </w:trPr>
        <w:tc>
          <w:tcPr>
            <w:tcW w:w="8522" w:type="dxa"/>
            <w:vAlign w:val="center"/>
          </w:tcPr>
          <w:p w14:paraId="5F422296">
            <w:pPr>
              <w:ind w:firstLine="600" w:firstLineChars="200"/>
              <w:rPr>
                <w:b/>
                <w:color w:val="auto"/>
                <w:sz w:val="30"/>
                <w:szCs w:val="30"/>
                <w:highlight w:val="none"/>
              </w:rPr>
            </w:pPr>
            <w:r>
              <w:rPr>
                <w:color w:val="auto"/>
                <w:kern w:val="0"/>
                <w:sz w:val="30"/>
                <w:szCs w:val="30"/>
                <w:highlight w:val="none"/>
              </w:rPr>
              <w:t>本公司及董事会全体成员保证信息披露的内容真实、准确、完整，没有虚假记载、误导性陈述或重大遗漏。</w:t>
            </w:r>
          </w:p>
        </w:tc>
      </w:tr>
    </w:tbl>
    <w:p w14:paraId="74178202">
      <w:pPr>
        <w:topLinePunct/>
        <w:spacing w:before="120" w:after="156" w:afterLines="50" w:line="360" w:lineRule="auto"/>
        <w:ind w:firstLine="482"/>
        <w:rPr>
          <w:rFonts w:ascii="宋体" w:hAnsi="宋体" w:cs="宋体"/>
          <w:color w:val="auto"/>
          <w:sz w:val="24"/>
          <w:highlight w:val="none"/>
        </w:rPr>
      </w:pPr>
      <w:r>
        <w:rPr>
          <w:rFonts w:hint="eastAsia" w:ascii="宋体" w:hAnsi="宋体" w:cs="宋体"/>
          <w:color w:val="auto"/>
          <w:sz w:val="24"/>
          <w:highlight w:val="none"/>
        </w:rPr>
        <w:t>根据《公司法》和《公司章程》的有关规定，经福建广生堂药业股份有限公司（以下简称“公司”）第五届董事会第</w:t>
      </w:r>
      <w:r>
        <w:rPr>
          <w:rFonts w:hint="eastAsia" w:ascii="宋体" w:hAnsi="宋体" w:cs="宋体"/>
          <w:color w:val="auto"/>
          <w:sz w:val="24"/>
          <w:highlight w:val="none"/>
          <w:lang w:val="en-US" w:eastAsia="zh-CN"/>
        </w:rPr>
        <w:t>十三</w:t>
      </w:r>
      <w:r>
        <w:rPr>
          <w:rFonts w:hint="eastAsia" w:ascii="宋体" w:hAnsi="宋体" w:cs="宋体"/>
          <w:color w:val="auto"/>
          <w:sz w:val="24"/>
          <w:highlight w:val="none"/>
        </w:rPr>
        <w:t>次会议审议通过，决定于2025年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日召开公司2025年第</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次临时股东大会，现将会议有关事项通知如下：</w:t>
      </w:r>
    </w:p>
    <w:p w14:paraId="44E386C7">
      <w:pPr>
        <w:pStyle w:val="2"/>
        <w:keepNext w:val="0"/>
        <w:keepLines w:val="0"/>
        <w:spacing w:before="156" w:after="156"/>
        <w:rPr>
          <w:rFonts w:ascii="宋体" w:hAnsi="宋体" w:cs="宋体"/>
          <w:color w:val="auto"/>
          <w:highlight w:val="none"/>
        </w:rPr>
      </w:pPr>
      <w:r>
        <w:rPr>
          <w:rFonts w:hint="eastAsia" w:ascii="宋体" w:hAnsi="宋体" w:cs="宋体"/>
          <w:color w:val="auto"/>
          <w:highlight w:val="none"/>
        </w:rPr>
        <w:t>一、会议召开的基本情况</w:t>
      </w:r>
    </w:p>
    <w:p w14:paraId="76B33F0D">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1、股东大会届次：2025年第</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次临时股东大会</w:t>
      </w:r>
    </w:p>
    <w:p w14:paraId="6D3694C6">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2、会议召集人：公司董事会</w:t>
      </w:r>
    </w:p>
    <w:p w14:paraId="17D57054">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3、会议召开的合法、合规性：经公司第五届董事会第</w:t>
      </w:r>
      <w:r>
        <w:rPr>
          <w:rFonts w:hint="eastAsia" w:ascii="宋体" w:hAnsi="宋体" w:cs="宋体"/>
          <w:color w:val="auto"/>
          <w:sz w:val="24"/>
          <w:highlight w:val="none"/>
          <w:lang w:val="en-US" w:eastAsia="zh-CN"/>
        </w:rPr>
        <w:t>十三</w:t>
      </w:r>
      <w:r>
        <w:rPr>
          <w:rFonts w:hint="eastAsia" w:ascii="宋体" w:hAnsi="宋体" w:cs="宋体"/>
          <w:color w:val="auto"/>
          <w:sz w:val="24"/>
          <w:highlight w:val="none"/>
        </w:rPr>
        <w:t>次会议审议通过，公司召开2025年第</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次临时股东大会；会议召集程序符合有关法律、行政法规、部门规章、规范性文件和公司章程的规定。</w:t>
      </w:r>
    </w:p>
    <w:p w14:paraId="27101248">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4、会议召开的日期、时间：</w:t>
      </w:r>
    </w:p>
    <w:p w14:paraId="2475E254">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（1）现场会议召开时间：2025年11月21日（星期五）14:</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w:t>
      </w:r>
    </w:p>
    <w:p w14:paraId="7561A3C5">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（2）网络投票时间：</w:t>
      </w:r>
    </w:p>
    <w:p w14:paraId="594E8CC1">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1）通过深圳证券交易所交易系统进行网络投票的具体时间为：2025年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日9:15—9:25，9:30—11:30和13:00—15:00。</w:t>
      </w:r>
    </w:p>
    <w:p w14:paraId="27716CB2">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2）通过深圳证券交易所互联网投票系统投票的具体时间为：2025年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日9:15—15:00期间的任意时间。</w:t>
      </w:r>
    </w:p>
    <w:p w14:paraId="63315F30">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5、会议的召开方式：本次股东大会采用现场表决与网络投票相结合的方式召开，公司股东应选择现场投票、网络投票中的一种方式，如果同一表决权出现重复投票表决的，以第一次投票表决结果为准。</w:t>
      </w:r>
    </w:p>
    <w:p w14:paraId="34020702">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6、会议的股权登记日：2025年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日（星期五）</w:t>
      </w:r>
    </w:p>
    <w:p w14:paraId="31E6541F">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7、出席对象：</w:t>
      </w:r>
    </w:p>
    <w:p w14:paraId="6C35FF6D">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（1）在股权登记日持有公司股份的股东。</w:t>
      </w:r>
    </w:p>
    <w:p w14:paraId="6E94F474">
      <w:pPr>
        <w:topLinePunct/>
        <w:spacing w:line="360" w:lineRule="auto"/>
        <w:ind w:firstLine="482"/>
        <w:rPr>
          <w:rFonts w:ascii="宋体" w:hAnsi="宋体" w:cs="宋体"/>
          <w:color w:val="auto"/>
          <w:sz w:val="24"/>
          <w:highlight w:val="none"/>
        </w:rPr>
      </w:pPr>
      <w:r>
        <w:rPr>
          <w:rFonts w:hint="eastAsia" w:ascii="宋体" w:hAnsi="宋体" w:cs="宋体"/>
          <w:color w:val="auto"/>
          <w:sz w:val="24"/>
          <w:highlight w:val="none"/>
        </w:rPr>
        <w:t>于股权登记日下午收市时在中国结算深圳分公司登记在册的公司全体股东均有权出席股东大会，并可以以书面形式委托代理人出席会议和参加表决，该股东代理人不必是本公司股东。</w:t>
      </w:r>
    </w:p>
    <w:p w14:paraId="6372E9B8">
      <w:pPr>
        <w:topLinePunct/>
        <w:spacing w:line="360" w:lineRule="auto"/>
        <w:ind w:firstLine="482"/>
        <w:rPr>
          <w:rFonts w:ascii="宋体" w:hAnsi="宋体" w:cs="宋体"/>
          <w:color w:val="auto"/>
          <w:sz w:val="24"/>
          <w:highlight w:val="none"/>
        </w:rPr>
      </w:pPr>
      <w:r>
        <w:rPr>
          <w:rFonts w:hint="eastAsia" w:ascii="宋体" w:hAnsi="宋体" w:cs="宋体"/>
          <w:color w:val="auto"/>
          <w:sz w:val="24"/>
          <w:highlight w:val="none"/>
        </w:rPr>
        <w:t>（2）公司董事、监事、高级管理人员。</w:t>
      </w:r>
    </w:p>
    <w:p w14:paraId="4A7D211E">
      <w:pPr>
        <w:topLinePunct/>
        <w:spacing w:line="360" w:lineRule="auto"/>
        <w:ind w:firstLine="482"/>
        <w:rPr>
          <w:rFonts w:ascii="宋体" w:hAnsi="宋体" w:cs="宋体"/>
          <w:color w:val="auto"/>
          <w:sz w:val="24"/>
          <w:highlight w:val="none"/>
        </w:rPr>
      </w:pPr>
      <w:r>
        <w:rPr>
          <w:rFonts w:hint="eastAsia" w:ascii="宋体" w:hAnsi="宋体" w:cs="宋体"/>
          <w:color w:val="auto"/>
          <w:sz w:val="24"/>
          <w:highlight w:val="none"/>
        </w:rPr>
        <w:t>（3）公司聘请的见证律师及相关人员。</w:t>
      </w:r>
    </w:p>
    <w:p w14:paraId="3D6C5D9B">
      <w:pPr>
        <w:topLinePunct/>
        <w:spacing w:line="360" w:lineRule="auto"/>
        <w:ind w:firstLine="482"/>
        <w:rPr>
          <w:rFonts w:ascii="宋体" w:hAnsi="宋体" w:cs="宋体"/>
          <w:color w:val="auto"/>
          <w:sz w:val="24"/>
          <w:highlight w:val="none"/>
        </w:rPr>
      </w:pPr>
      <w:r>
        <w:rPr>
          <w:rFonts w:hint="eastAsia" w:ascii="宋体" w:hAnsi="宋体" w:cs="宋体"/>
          <w:color w:val="auto"/>
          <w:sz w:val="24"/>
          <w:highlight w:val="none"/>
        </w:rPr>
        <w:t>8、会议召开地点：福建省福州市闽侯县福州高新区乌龙江中大道7号海西高新技术产业园创新园二期16号楼13F会议室。</w:t>
      </w:r>
    </w:p>
    <w:p w14:paraId="014FD7C2">
      <w:pPr>
        <w:pStyle w:val="2"/>
        <w:keepNext w:val="0"/>
        <w:keepLines w:val="0"/>
        <w:spacing w:before="156" w:after="156"/>
        <w:rPr>
          <w:rFonts w:ascii="宋体" w:hAnsi="宋体" w:cs="宋体"/>
          <w:color w:val="auto"/>
          <w:highlight w:val="none"/>
        </w:rPr>
      </w:pPr>
      <w:r>
        <w:rPr>
          <w:rFonts w:hint="eastAsia" w:ascii="宋体" w:hAnsi="宋体" w:cs="宋体"/>
          <w:color w:val="auto"/>
          <w:highlight w:val="none"/>
        </w:rPr>
        <w:t>二、会议审议事项</w:t>
      </w:r>
    </w:p>
    <w:p w14:paraId="6F14D5C9">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1、审议事项</w:t>
      </w:r>
    </w:p>
    <w:p w14:paraId="0D5A7596">
      <w:pPr>
        <w:topLinePunct/>
        <w:spacing w:line="360" w:lineRule="auto"/>
        <w:jc w:val="center"/>
        <w:rPr>
          <w:rFonts w:ascii="宋体" w:hAnsi="宋体" w:cs="宋体"/>
          <w:color w:val="auto"/>
          <w:sz w:val="24"/>
          <w:highlight w:val="none"/>
        </w:rPr>
      </w:pPr>
      <w:r>
        <w:rPr>
          <w:rFonts w:hint="eastAsia" w:ascii="宋体" w:hAnsi="宋体" w:cs="宋体"/>
          <w:color w:val="auto"/>
          <w:sz w:val="24"/>
          <w:highlight w:val="none"/>
        </w:rPr>
        <w:t>表一：本次股东大会提案名称及编码表</w:t>
      </w:r>
    </w:p>
    <w:tbl>
      <w:tblPr>
        <w:tblStyle w:val="10"/>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937"/>
        <w:gridCol w:w="3515"/>
      </w:tblGrid>
      <w:tr w14:paraId="35FF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48" w:type="dxa"/>
            <w:vMerge w:val="restart"/>
            <w:shd w:val="clear" w:color="auto" w:fill="E0E0E0"/>
            <w:vAlign w:val="center"/>
          </w:tcPr>
          <w:p w14:paraId="0E1F2ABB">
            <w:pPr>
              <w:jc w:val="center"/>
              <w:rPr>
                <w:rFonts w:ascii="宋体" w:hAnsi="宋体" w:cs="宋体"/>
                <w:b/>
                <w:color w:val="auto"/>
                <w:szCs w:val="21"/>
                <w:highlight w:val="none"/>
              </w:rPr>
            </w:pPr>
            <w:r>
              <w:rPr>
                <w:rFonts w:hint="eastAsia" w:ascii="宋体" w:hAnsi="宋体" w:cs="宋体"/>
                <w:b/>
                <w:color w:val="auto"/>
                <w:szCs w:val="21"/>
                <w:highlight w:val="none"/>
              </w:rPr>
              <w:t>提案编码</w:t>
            </w:r>
          </w:p>
        </w:tc>
        <w:tc>
          <w:tcPr>
            <w:tcW w:w="4937" w:type="dxa"/>
            <w:vMerge w:val="restart"/>
            <w:shd w:val="clear" w:color="auto" w:fill="E0E0E0"/>
            <w:vAlign w:val="center"/>
          </w:tcPr>
          <w:p w14:paraId="339D188D">
            <w:pPr>
              <w:jc w:val="center"/>
              <w:rPr>
                <w:rFonts w:ascii="宋体" w:hAnsi="宋体" w:cs="宋体"/>
                <w:b/>
                <w:color w:val="auto"/>
                <w:szCs w:val="21"/>
                <w:highlight w:val="none"/>
              </w:rPr>
            </w:pPr>
            <w:r>
              <w:rPr>
                <w:rFonts w:hint="eastAsia" w:ascii="宋体" w:hAnsi="宋体" w:cs="宋体"/>
                <w:b/>
                <w:color w:val="auto"/>
                <w:szCs w:val="21"/>
                <w:highlight w:val="none"/>
              </w:rPr>
              <w:t>提案名称</w:t>
            </w:r>
          </w:p>
        </w:tc>
        <w:tc>
          <w:tcPr>
            <w:tcW w:w="3515" w:type="dxa"/>
            <w:shd w:val="clear" w:color="auto" w:fill="E0E0E0"/>
            <w:vAlign w:val="center"/>
          </w:tcPr>
          <w:p w14:paraId="4EE20BE7">
            <w:pPr>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16B4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48" w:type="dxa"/>
            <w:vMerge w:val="continue"/>
            <w:shd w:val="clear" w:color="auto" w:fill="auto"/>
            <w:vAlign w:val="center"/>
          </w:tcPr>
          <w:p w14:paraId="1679786D">
            <w:pPr>
              <w:jc w:val="left"/>
              <w:rPr>
                <w:rFonts w:ascii="宋体" w:hAnsi="宋体" w:cs="宋体"/>
                <w:color w:val="auto"/>
                <w:szCs w:val="21"/>
                <w:highlight w:val="none"/>
              </w:rPr>
            </w:pPr>
          </w:p>
        </w:tc>
        <w:tc>
          <w:tcPr>
            <w:tcW w:w="4937" w:type="dxa"/>
            <w:vMerge w:val="continue"/>
            <w:shd w:val="clear" w:color="auto" w:fill="auto"/>
            <w:vAlign w:val="center"/>
          </w:tcPr>
          <w:p w14:paraId="2A23326B">
            <w:pPr>
              <w:jc w:val="left"/>
              <w:rPr>
                <w:rFonts w:ascii="宋体" w:hAnsi="宋体" w:cs="宋体"/>
                <w:b/>
                <w:color w:val="auto"/>
                <w:szCs w:val="21"/>
                <w:highlight w:val="none"/>
              </w:rPr>
            </w:pPr>
          </w:p>
        </w:tc>
        <w:tc>
          <w:tcPr>
            <w:tcW w:w="3515" w:type="dxa"/>
            <w:shd w:val="clear" w:color="auto" w:fill="E0E0E0"/>
            <w:vAlign w:val="center"/>
          </w:tcPr>
          <w:p w14:paraId="05F664C6">
            <w:pPr>
              <w:jc w:val="center"/>
              <w:rPr>
                <w:rFonts w:ascii="宋体" w:hAnsi="宋体" w:cs="宋体"/>
                <w:bCs/>
                <w:color w:val="auto"/>
                <w:szCs w:val="21"/>
                <w:highlight w:val="none"/>
              </w:rPr>
            </w:pPr>
            <w:r>
              <w:rPr>
                <w:rFonts w:hint="eastAsia" w:ascii="宋体" w:hAnsi="宋体" w:cs="宋体"/>
                <w:bCs/>
                <w:color w:val="auto"/>
                <w:szCs w:val="21"/>
                <w:highlight w:val="none"/>
                <w:shd w:val="clear" w:color="auto" w:fill="E0E0E0"/>
              </w:rPr>
              <w:t>该列打勾的栏目可以投票</w:t>
            </w:r>
          </w:p>
        </w:tc>
      </w:tr>
      <w:tr w14:paraId="042F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48" w:type="dxa"/>
            <w:vAlign w:val="center"/>
          </w:tcPr>
          <w:p w14:paraId="2D150675">
            <w:pPr>
              <w:jc w:val="center"/>
              <w:rPr>
                <w:rFonts w:ascii="宋体" w:hAnsi="宋体" w:cs="宋体"/>
                <w:color w:val="auto"/>
                <w:szCs w:val="21"/>
                <w:highlight w:val="none"/>
              </w:rPr>
            </w:pPr>
            <w:r>
              <w:rPr>
                <w:rFonts w:hint="eastAsia" w:ascii="宋体" w:hAnsi="宋体" w:cs="宋体"/>
                <w:color w:val="auto"/>
                <w:szCs w:val="21"/>
                <w:highlight w:val="none"/>
              </w:rPr>
              <w:t>100</w:t>
            </w:r>
          </w:p>
        </w:tc>
        <w:tc>
          <w:tcPr>
            <w:tcW w:w="4937" w:type="dxa"/>
            <w:vAlign w:val="center"/>
          </w:tcPr>
          <w:p w14:paraId="36768CC2">
            <w:pPr>
              <w:jc w:val="center"/>
              <w:rPr>
                <w:rFonts w:ascii="宋体" w:hAnsi="宋体" w:cs="宋体"/>
                <w:color w:val="auto"/>
                <w:szCs w:val="21"/>
                <w:highlight w:val="none"/>
              </w:rPr>
            </w:pPr>
            <w:r>
              <w:rPr>
                <w:rFonts w:hint="eastAsia" w:ascii="宋体" w:hAnsi="宋体" w:cs="宋体"/>
                <w:b/>
                <w:bCs/>
                <w:color w:val="auto"/>
                <w:szCs w:val="21"/>
                <w:highlight w:val="none"/>
              </w:rPr>
              <w:t>总议案：除累积投票提案外的所有提案</w:t>
            </w:r>
          </w:p>
        </w:tc>
        <w:tc>
          <w:tcPr>
            <w:tcW w:w="3515" w:type="dxa"/>
            <w:vAlign w:val="center"/>
          </w:tcPr>
          <w:p w14:paraId="2053B416">
            <w:pPr>
              <w:jc w:val="center"/>
              <w:rPr>
                <w:rFonts w:ascii="宋体" w:hAnsi="宋体" w:cs="宋体"/>
                <w:color w:val="auto"/>
                <w:szCs w:val="21"/>
                <w:highlight w:val="none"/>
              </w:rPr>
            </w:pPr>
            <w:r>
              <w:rPr>
                <w:rFonts w:hint="eastAsia" w:ascii="宋体" w:hAnsi="宋体" w:cs="宋体"/>
                <w:color w:val="auto"/>
                <w:szCs w:val="21"/>
                <w:highlight w:val="none"/>
              </w:rPr>
              <w:t>√</w:t>
            </w:r>
          </w:p>
        </w:tc>
      </w:tr>
      <w:tr w14:paraId="4770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0" w:type="dxa"/>
            <w:gridSpan w:val="3"/>
            <w:vAlign w:val="center"/>
          </w:tcPr>
          <w:p w14:paraId="4B7A93C1">
            <w:pPr>
              <w:jc w:val="center"/>
              <w:rPr>
                <w:rFonts w:ascii="宋体" w:hAnsi="宋体" w:cs="宋体"/>
                <w:color w:val="auto"/>
                <w:szCs w:val="21"/>
                <w:highlight w:val="none"/>
              </w:rPr>
            </w:pPr>
            <w:r>
              <w:rPr>
                <w:rFonts w:hint="eastAsia" w:ascii="宋体" w:hAnsi="宋体" w:cs="宋体"/>
                <w:color w:val="auto"/>
                <w:szCs w:val="21"/>
                <w:highlight w:val="none"/>
              </w:rPr>
              <w:t>非累积投票提案</w:t>
            </w:r>
          </w:p>
        </w:tc>
      </w:tr>
      <w:tr w14:paraId="6BFF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Align w:val="center"/>
          </w:tcPr>
          <w:p w14:paraId="63CC3C35">
            <w:pPr>
              <w:jc w:val="center"/>
              <w:rPr>
                <w:rFonts w:ascii="宋体" w:hAnsi="宋体" w:cs="宋体"/>
                <w:b/>
                <w:color w:val="auto"/>
                <w:szCs w:val="21"/>
                <w:highlight w:val="none"/>
              </w:rPr>
            </w:pPr>
            <w:r>
              <w:rPr>
                <w:rFonts w:hint="eastAsia" w:ascii="宋体" w:hAnsi="宋体" w:cs="宋体"/>
                <w:b/>
                <w:color w:val="auto"/>
                <w:szCs w:val="21"/>
                <w:highlight w:val="none"/>
              </w:rPr>
              <w:t>1.00</w:t>
            </w:r>
          </w:p>
        </w:tc>
        <w:tc>
          <w:tcPr>
            <w:tcW w:w="4937" w:type="dxa"/>
            <w:vAlign w:val="center"/>
          </w:tcPr>
          <w:p w14:paraId="40970FB3">
            <w:pPr>
              <w:rPr>
                <w:rFonts w:ascii="宋体" w:hAnsi="宋体" w:cs="宋体"/>
                <w:color w:val="auto"/>
                <w:szCs w:val="21"/>
                <w:highlight w:val="none"/>
              </w:rPr>
            </w:pPr>
            <w:r>
              <w:rPr>
                <w:rFonts w:hint="eastAsia"/>
                <w:highlight w:val="none"/>
                <w:lang w:val="en-US" w:eastAsia="zh-CN"/>
              </w:rPr>
              <w:t>《关于修订＜公司章程＞的议案》</w:t>
            </w:r>
          </w:p>
        </w:tc>
        <w:tc>
          <w:tcPr>
            <w:tcW w:w="3515" w:type="dxa"/>
            <w:vAlign w:val="center"/>
          </w:tcPr>
          <w:p w14:paraId="50FB64E5">
            <w:pPr>
              <w:jc w:val="center"/>
              <w:rPr>
                <w:rFonts w:ascii="宋体" w:hAnsi="宋体" w:cs="宋体"/>
                <w:color w:val="auto"/>
                <w:szCs w:val="21"/>
                <w:highlight w:val="none"/>
              </w:rPr>
            </w:pPr>
            <w:r>
              <w:rPr>
                <w:rFonts w:hint="eastAsia" w:ascii="宋体" w:hAnsi="宋体" w:cs="宋体"/>
                <w:color w:val="auto"/>
                <w:szCs w:val="21"/>
                <w:highlight w:val="none"/>
              </w:rPr>
              <w:t>√</w:t>
            </w:r>
          </w:p>
        </w:tc>
      </w:tr>
      <w:tr w14:paraId="2A9B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48" w:type="dxa"/>
            <w:vAlign w:val="center"/>
          </w:tcPr>
          <w:p w14:paraId="7E54ABD4">
            <w:pPr>
              <w:jc w:val="center"/>
              <w:rPr>
                <w:rFonts w:ascii="宋体" w:hAnsi="宋体" w:cs="宋体"/>
                <w:b/>
                <w:color w:val="auto"/>
                <w:szCs w:val="21"/>
                <w:highlight w:val="none"/>
              </w:rPr>
            </w:pPr>
            <w:r>
              <w:rPr>
                <w:rFonts w:hint="eastAsia" w:ascii="宋体" w:hAnsi="宋体" w:cs="宋体"/>
                <w:b/>
                <w:color w:val="auto"/>
                <w:szCs w:val="21"/>
                <w:highlight w:val="none"/>
              </w:rPr>
              <w:t>2.00</w:t>
            </w:r>
          </w:p>
        </w:tc>
        <w:tc>
          <w:tcPr>
            <w:tcW w:w="4937" w:type="dxa"/>
            <w:vAlign w:val="center"/>
          </w:tcPr>
          <w:p w14:paraId="721B0202">
            <w:pPr>
              <w:rPr>
                <w:rFonts w:ascii="宋体" w:hAnsi="宋体" w:cs="宋体"/>
                <w:color w:val="auto"/>
                <w:szCs w:val="21"/>
                <w:highlight w:val="none"/>
              </w:rPr>
            </w:pPr>
            <w:r>
              <w:rPr>
                <w:rFonts w:hint="eastAsia"/>
                <w:highlight w:val="none"/>
                <w:lang w:eastAsia="zh-CN"/>
              </w:rPr>
              <w:t>《关于制定、修订公司部分管理制度的议案》</w:t>
            </w:r>
          </w:p>
        </w:tc>
        <w:tc>
          <w:tcPr>
            <w:tcW w:w="3515" w:type="dxa"/>
            <w:vAlign w:val="center"/>
          </w:tcPr>
          <w:p w14:paraId="2C3AD9B1">
            <w:pPr>
              <w:jc w:val="center"/>
              <w:rPr>
                <w:rFonts w:ascii="宋体" w:hAnsi="宋体" w:cs="宋体"/>
                <w:color w:val="auto"/>
                <w:szCs w:val="21"/>
                <w:highlight w:val="none"/>
              </w:rPr>
            </w:pPr>
            <w:r>
              <w:rPr>
                <w:rFonts w:hint="eastAsia" w:ascii="宋体" w:hAnsi="宋体"/>
                <w:color w:val="auto"/>
                <w:szCs w:val="21"/>
                <w:highlight w:val="none"/>
              </w:rPr>
              <w:t>√作为投票对象的子议案数：（</w:t>
            </w:r>
            <w:r>
              <w:rPr>
                <w:rFonts w:hint="eastAsia" w:ascii="宋体" w:hAnsi="宋体"/>
                <w:color w:val="auto"/>
                <w:szCs w:val="21"/>
                <w:highlight w:val="none"/>
                <w:lang w:val="en-US" w:eastAsia="zh-CN"/>
              </w:rPr>
              <w:t>5</w:t>
            </w:r>
            <w:r>
              <w:rPr>
                <w:rFonts w:hint="eastAsia" w:ascii="宋体" w:hAnsi="宋体"/>
                <w:color w:val="auto"/>
                <w:szCs w:val="21"/>
                <w:highlight w:val="none"/>
              </w:rPr>
              <w:t>）</w:t>
            </w:r>
          </w:p>
        </w:tc>
      </w:tr>
      <w:tr w14:paraId="1F61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48" w:type="dxa"/>
            <w:vAlign w:val="center"/>
          </w:tcPr>
          <w:p w14:paraId="6F1AD87F">
            <w:pPr>
              <w:jc w:val="center"/>
              <w:rPr>
                <w:rFonts w:ascii="宋体" w:hAnsi="宋体" w:cs="宋体"/>
                <w:b/>
                <w:color w:val="auto"/>
                <w:szCs w:val="21"/>
                <w:highlight w:val="none"/>
              </w:rPr>
            </w:pPr>
            <w:r>
              <w:rPr>
                <w:rFonts w:hint="eastAsia" w:ascii="宋体" w:hAnsi="宋体" w:cs="宋体"/>
                <w:b/>
                <w:color w:val="auto"/>
                <w:szCs w:val="21"/>
                <w:highlight w:val="none"/>
              </w:rPr>
              <w:t>2.01</w:t>
            </w:r>
          </w:p>
        </w:tc>
        <w:tc>
          <w:tcPr>
            <w:tcW w:w="4937" w:type="dxa"/>
            <w:vAlign w:val="center"/>
          </w:tcPr>
          <w:p w14:paraId="11C407CA">
            <w:pPr>
              <w:rPr>
                <w:rFonts w:ascii="宋体" w:hAnsi="宋体" w:cs="宋体"/>
                <w:color w:val="auto"/>
                <w:szCs w:val="21"/>
                <w:highlight w:val="none"/>
              </w:rPr>
            </w:pPr>
            <w:r>
              <w:rPr>
                <w:rFonts w:hint="eastAsia"/>
                <w:highlight w:val="none"/>
                <w:lang w:val="en-US" w:eastAsia="zh-CN"/>
              </w:rPr>
              <w:t>关于修订《董事会议事规则》的议案</w:t>
            </w:r>
          </w:p>
        </w:tc>
        <w:tc>
          <w:tcPr>
            <w:tcW w:w="3515" w:type="dxa"/>
            <w:vAlign w:val="center"/>
          </w:tcPr>
          <w:p w14:paraId="3BC9507C">
            <w:pPr>
              <w:jc w:val="center"/>
              <w:rPr>
                <w:rFonts w:ascii="宋体" w:hAnsi="宋体" w:cs="宋体"/>
                <w:color w:val="auto"/>
                <w:szCs w:val="21"/>
                <w:highlight w:val="none"/>
              </w:rPr>
            </w:pPr>
            <w:r>
              <w:rPr>
                <w:rFonts w:hint="eastAsia" w:ascii="宋体" w:hAnsi="宋体" w:cs="宋体"/>
                <w:color w:val="auto"/>
                <w:szCs w:val="21"/>
                <w:highlight w:val="none"/>
              </w:rPr>
              <w:t>√</w:t>
            </w:r>
          </w:p>
        </w:tc>
      </w:tr>
      <w:tr w14:paraId="7650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48" w:type="dxa"/>
            <w:vAlign w:val="center"/>
          </w:tcPr>
          <w:p w14:paraId="1514FC10">
            <w:pPr>
              <w:jc w:val="center"/>
              <w:rPr>
                <w:rFonts w:ascii="宋体" w:hAnsi="宋体" w:cs="宋体"/>
                <w:b/>
                <w:color w:val="auto"/>
                <w:szCs w:val="21"/>
                <w:highlight w:val="none"/>
              </w:rPr>
            </w:pPr>
            <w:r>
              <w:rPr>
                <w:rFonts w:hint="eastAsia" w:ascii="宋体" w:hAnsi="宋体" w:cs="宋体"/>
                <w:b/>
                <w:color w:val="auto"/>
                <w:szCs w:val="21"/>
                <w:highlight w:val="none"/>
              </w:rPr>
              <w:t>2.02</w:t>
            </w:r>
          </w:p>
        </w:tc>
        <w:tc>
          <w:tcPr>
            <w:tcW w:w="4937" w:type="dxa"/>
            <w:vAlign w:val="center"/>
          </w:tcPr>
          <w:p w14:paraId="5B5566B9">
            <w:pPr>
              <w:rPr>
                <w:rFonts w:ascii="宋体" w:hAnsi="宋体" w:cs="宋体"/>
                <w:color w:val="auto"/>
                <w:szCs w:val="21"/>
                <w:highlight w:val="none"/>
              </w:rPr>
            </w:pPr>
            <w:r>
              <w:rPr>
                <w:rFonts w:hint="eastAsia"/>
                <w:highlight w:val="none"/>
                <w:lang w:val="en-US" w:eastAsia="zh-CN"/>
              </w:rPr>
              <w:t>关于修订《股东会议事规则》的议案</w:t>
            </w:r>
          </w:p>
        </w:tc>
        <w:tc>
          <w:tcPr>
            <w:tcW w:w="3515" w:type="dxa"/>
            <w:vAlign w:val="center"/>
          </w:tcPr>
          <w:p w14:paraId="5ED5689C">
            <w:pPr>
              <w:jc w:val="center"/>
              <w:rPr>
                <w:rFonts w:ascii="宋体" w:hAnsi="宋体" w:cs="宋体"/>
                <w:color w:val="auto"/>
                <w:szCs w:val="21"/>
                <w:highlight w:val="none"/>
              </w:rPr>
            </w:pPr>
            <w:r>
              <w:rPr>
                <w:rFonts w:hint="eastAsia" w:ascii="宋体" w:hAnsi="宋体" w:cs="宋体"/>
                <w:color w:val="auto"/>
                <w:szCs w:val="21"/>
                <w:highlight w:val="none"/>
              </w:rPr>
              <w:t>√</w:t>
            </w:r>
          </w:p>
        </w:tc>
      </w:tr>
      <w:tr w14:paraId="260D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48" w:type="dxa"/>
            <w:vAlign w:val="center"/>
          </w:tcPr>
          <w:p w14:paraId="1E005459">
            <w:pPr>
              <w:jc w:val="center"/>
              <w:rPr>
                <w:rFonts w:ascii="宋体" w:hAnsi="宋体" w:cs="宋体"/>
                <w:b/>
                <w:color w:val="auto"/>
                <w:szCs w:val="21"/>
                <w:highlight w:val="none"/>
              </w:rPr>
            </w:pPr>
            <w:r>
              <w:rPr>
                <w:rFonts w:hint="eastAsia" w:ascii="宋体" w:hAnsi="宋体" w:cs="宋体"/>
                <w:b/>
                <w:color w:val="auto"/>
                <w:szCs w:val="21"/>
                <w:highlight w:val="none"/>
              </w:rPr>
              <w:t>2.03</w:t>
            </w:r>
          </w:p>
        </w:tc>
        <w:tc>
          <w:tcPr>
            <w:tcW w:w="4937" w:type="dxa"/>
            <w:vAlign w:val="center"/>
          </w:tcPr>
          <w:p w14:paraId="1C028270">
            <w:pPr>
              <w:rPr>
                <w:rFonts w:ascii="宋体" w:hAnsi="宋体" w:cs="宋体"/>
                <w:color w:val="auto"/>
                <w:szCs w:val="21"/>
                <w:highlight w:val="none"/>
              </w:rPr>
            </w:pPr>
            <w:r>
              <w:rPr>
                <w:rFonts w:hint="eastAsia"/>
                <w:highlight w:val="none"/>
                <w:lang w:val="en-US" w:eastAsia="zh-CN"/>
              </w:rPr>
              <w:t>关于修订《独立董事制度》的议案</w:t>
            </w:r>
          </w:p>
        </w:tc>
        <w:tc>
          <w:tcPr>
            <w:tcW w:w="3515" w:type="dxa"/>
            <w:vAlign w:val="center"/>
          </w:tcPr>
          <w:p w14:paraId="46751E5F">
            <w:pPr>
              <w:jc w:val="center"/>
              <w:rPr>
                <w:rFonts w:ascii="宋体" w:hAnsi="宋体" w:cs="宋体"/>
                <w:color w:val="auto"/>
                <w:szCs w:val="21"/>
                <w:highlight w:val="none"/>
              </w:rPr>
            </w:pPr>
            <w:r>
              <w:rPr>
                <w:rFonts w:hint="eastAsia" w:ascii="宋体" w:hAnsi="宋体" w:cs="宋体"/>
                <w:color w:val="auto"/>
                <w:szCs w:val="21"/>
                <w:highlight w:val="none"/>
              </w:rPr>
              <w:t>√</w:t>
            </w:r>
          </w:p>
        </w:tc>
      </w:tr>
      <w:tr w14:paraId="1E77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48" w:type="dxa"/>
            <w:vAlign w:val="center"/>
          </w:tcPr>
          <w:p w14:paraId="379CC00D">
            <w:pPr>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4</w:t>
            </w:r>
          </w:p>
        </w:tc>
        <w:tc>
          <w:tcPr>
            <w:tcW w:w="4937" w:type="dxa"/>
            <w:vAlign w:val="center"/>
          </w:tcPr>
          <w:p w14:paraId="6FBD10D4">
            <w:pPr>
              <w:rPr>
                <w:rFonts w:ascii="宋体" w:hAnsi="宋体" w:cs="宋体"/>
                <w:color w:val="auto"/>
                <w:szCs w:val="21"/>
                <w:highlight w:val="none"/>
              </w:rPr>
            </w:pPr>
            <w:r>
              <w:rPr>
                <w:rFonts w:hint="eastAsia"/>
                <w:highlight w:val="none"/>
                <w:lang w:val="en-US" w:eastAsia="zh-CN"/>
              </w:rPr>
              <w:t>关于修订《募集资金管理办法》的议案</w:t>
            </w:r>
          </w:p>
        </w:tc>
        <w:tc>
          <w:tcPr>
            <w:tcW w:w="3515" w:type="dxa"/>
            <w:shd w:val="clear" w:color="auto" w:fill="auto"/>
            <w:vAlign w:val="center"/>
          </w:tcPr>
          <w:p w14:paraId="6463570C">
            <w:pPr>
              <w:jc w:val="center"/>
              <w:rPr>
                <w:rFonts w:ascii="宋体" w:hAnsi="宋体" w:cs="宋体"/>
                <w:color w:val="auto"/>
                <w:szCs w:val="21"/>
                <w:highlight w:val="none"/>
              </w:rPr>
            </w:pPr>
            <w:r>
              <w:rPr>
                <w:rFonts w:hint="eastAsia" w:ascii="宋体" w:hAnsi="宋体" w:cs="宋体"/>
                <w:color w:val="auto"/>
                <w:szCs w:val="21"/>
                <w:highlight w:val="none"/>
              </w:rPr>
              <w:t>√</w:t>
            </w:r>
          </w:p>
        </w:tc>
      </w:tr>
      <w:tr w14:paraId="0647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48" w:type="dxa"/>
            <w:vAlign w:val="center"/>
          </w:tcPr>
          <w:p w14:paraId="229A8FE5">
            <w:pPr>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5</w:t>
            </w:r>
          </w:p>
        </w:tc>
        <w:tc>
          <w:tcPr>
            <w:tcW w:w="4937" w:type="dxa"/>
            <w:vAlign w:val="center"/>
          </w:tcPr>
          <w:p w14:paraId="3BAD2123">
            <w:pPr>
              <w:rPr>
                <w:rFonts w:ascii="宋体" w:hAnsi="宋体" w:cs="宋体"/>
                <w:color w:val="auto"/>
                <w:szCs w:val="21"/>
                <w:highlight w:val="none"/>
              </w:rPr>
            </w:pPr>
            <w:r>
              <w:rPr>
                <w:rFonts w:hint="eastAsia"/>
                <w:highlight w:val="none"/>
                <w:lang w:val="en-US" w:eastAsia="zh-CN"/>
              </w:rPr>
              <w:t>关于修订《关联交易规则》的议案</w:t>
            </w:r>
          </w:p>
        </w:tc>
        <w:tc>
          <w:tcPr>
            <w:tcW w:w="3515" w:type="dxa"/>
            <w:shd w:val="clear" w:color="auto" w:fill="auto"/>
            <w:vAlign w:val="center"/>
          </w:tcPr>
          <w:p w14:paraId="72ADD514">
            <w:pPr>
              <w:jc w:val="center"/>
              <w:rPr>
                <w:rFonts w:ascii="宋体" w:hAnsi="宋体" w:cs="宋体"/>
                <w:color w:val="auto"/>
                <w:szCs w:val="21"/>
                <w:highlight w:val="none"/>
              </w:rPr>
            </w:pPr>
            <w:r>
              <w:rPr>
                <w:rFonts w:hint="eastAsia" w:ascii="宋体" w:hAnsi="宋体" w:cs="宋体"/>
                <w:color w:val="auto"/>
                <w:szCs w:val="21"/>
                <w:highlight w:val="none"/>
              </w:rPr>
              <w:t>√</w:t>
            </w:r>
          </w:p>
        </w:tc>
      </w:tr>
    </w:tbl>
    <w:p w14:paraId="770AB17F">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2、披露情况</w:t>
      </w:r>
    </w:p>
    <w:p w14:paraId="70485AF5">
      <w:pPr>
        <w:topLinePunct/>
        <w:spacing w:line="360" w:lineRule="auto"/>
        <w:ind w:firstLine="482"/>
        <w:rPr>
          <w:rFonts w:ascii="宋体" w:hAnsi="宋体" w:cs="宋体"/>
          <w:color w:val="auto"/>
          <w:sz w:val="24"/>
          <w:highlight w:val="none"/>
        </w:rPr>
      </w:pPr>
      <w:r>
        <w:rPr>
          <w:rFonts w:hint="eastAsia" w:ascii="宋体" w:hAnsi="宋体" w:cs="宋体"/>
          <w:color w:val="auto"/>
          <w:sz w:val="24"/>
          <w:highlight w:val="none"/>
        </w:rPr>
        <w:t>上述议案已经公司第五届董事会第</w:t>
      </w:r>
      <w:r>
        <w:rPr>
          <w:rFonts w:hint="eastAsia" w:ascii="宋体" w:hAnsi="宋体" w:cs="宋体"/>
          <w:color w:val="auto"/>
          <w:sz w:val="24"/>
          <w:highlight w:val="none"/>
          <w:lang w:val="en-US" w:eastAsia="zh-CN"/>
        </w:rPr>
        <w:t>十三</w:t>
      </w:r>
      <w:r>
        <w:rPr>
          <w:rFonts w:hint="eastAsia" w:ascii="宋体" w:hAnsi="宋体" w:cs="宋体"/>
          <w:color w:val="auto"/>
          <w:sz w:val="24"/>
          <w:highlight w:val="none"/>
        </w:rPr>
        <w:t>次会议审议通过，具体内容详见公司同日披露于巨潮资讯网（http://www.cninfo.com.cn）的相关公告。</w:t>
      </w:r>
    </w:p>
    <w:p w14:paraId="500ACD01">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3、其他说明</w:t>
      </w:r>
    </w:p>
    <w:p w14:paraId="6128A0D6">
      <w:pPr>
        <w:topLinePunct/>
        <w:spacing w:line="360" w:lineRule="auto"/>
        <w:ind w:firstLine="482"/>
        <w:rPr>
          <w:rFonts w:ascii="宋体" w:hAnsi="宋体" w:cs="宋体"/>
          <w:color w:val="auto"/>
          <w:sz w:val="24"/>
          <w:highlight w:val="none"/>
        </w:rPr>
      </w:pPr>
      <w:r>
        <w:rPr>
          <w:rFonts w:hint="eastAsia" w:ascii="宋体" w:hAnsi="宋体" w:cs="宋体"/>
          <w:color w:val="auto"/>
          <w:sz w:val="24"/>
          <w:highlight w:val="none"/>
        </w:rPr>
        <w:t>上述议案</w:t>
      </w:r>
      <w:r>
        <w:rPr>
          <w:rFonts w:hint="eastAsia" w:ascii="宋体" w:hAnsi="宋体" w:cs="宋体"/>
          <w:color w:val="auto"/>
          <w:sz w:val="24"/>
          <w:highlight w:val="none"/>
          <w:lang w:val="en-US" w:eastAsia="zh-CN"/>
        </w:rPr>
        <w:t>1和议案2中的2.01、2.02</w:t>
      </w:r>
      <w:r>
        <w:rPr>
          <w:rFonts w:hint="eastAsia" w:ascii="宋体" w:hAnsi="宋体" w:cs="宋体"/>
          <w:color w:val="auto"/>
          <w:sz w:val="24"/>
          <w:highlight w:val="none"/>
        </w:rPr>
        <w:t>均为特别决议事项，需经出席会议的股东（包括股东代理人）所持表决权的2/3以上通过。其中议案2需逐项表决。根据《上市公司股东会规则》的要求并按照审慎性原则，上述议案将对中小投资者的表决情况单独计票并予以披露。中小投资者是指除下列股东以外的其他股东：公司的董事、监事、高级管理人员；单独或者合计持有公司5%以上股份的股东。</w:t>
      </w:r>
    </w:p>
    <w:p w14:paraId="4A161EB2">
      <w:pPr>
        <w:pStyle w:val="2"/>
        <w:keepNext w:val="0"/>
        <w:keepLines w:val="0"/>
        <w:spacing w:before="156" w:after="156"/>
        <w:rPr>
          <w:rFonts w:ascii="宋体" w:hAnsi="宋体" w:cs="宋体"/>
          <w:color w:val="auto"/>
          <w:highlight w:val="none"/>
        </w:rPr>
      </w:pPr>
      <w:r>
        <w:rPr>
          <w:rFonts w:hint="eastAsia" w:ascii="宋体" w:hAnsi="宋体" w:cs="宋体"/>
          <w:color w:val="auto"/>
          <w:highlight w:val="none"/>
        </w:rPr>
        <w:t>三、会议登记等事项</w:t>
      </w:r>
    </w:p>
    <w:p w14:paraId="4DA47379">
      <w:pPr>
        <w:topLinePunct/>
        <w:spacing w:line="360" w:lineRule="auto"/>
        <w:ind w:firstLine="482"/>
        <w:rPr>
          <w:rFonts w:ascii="宋体" w:hAnsi="宋体" w:cs="宋体"/>
          <w:color w:val="auto"/>
          <w:sz w:val="24"/>
          <w:highlight w:val="none"/>
        </w:rPr>
      </w:pPr>
      <w:r>
        <w:rPr>
          <w:rFonts w:hint="eastAsia" w:ascii="宋体" w:hAnsi="宋体" w:cs="宋体"/>
          <w:color w:val="auto"/>
          <w:sz w:val="24"/>
          <w:highlight w:val="none"/>
        </w:rPr>
        <w:t>1、登记方式</w:t>
      </w:r>
    </w:p>
    <w:p w14:paraId="38EEB682">
      <w:pPr>
        <w:topLinePunct/>
        <w:spacing w:line="360" w:lineRule="auto"/>
        <w:ind w:firstLine="482"/>
        <w:rPr>
          <w:rFonts w:ascii="宋体" w:hAnsi="宋体" w:cs="宋体"/>
          <w:color w:val="auto"/>
          <w:sz w:val="24"/>
          <w:highlight w:val="none"/>
        </w:rPr>
      </w:pPr>
      <w:r>
        <w:rPr>
          <w:rFonts w:hint="eastAsia" w:ascii="宋体" w:hAnsi="宋体" w:cs="宋体"/>
          <w:color w:val="auto"/>
          <w:sz w:val="24"/>
          <w:highlight w:val="none"/>
        </w:rPr>
        <w:t>（1）自然人股东须持本人身份证、股东账户卡办理登记手续；自然人股东委托代理人出席会议的，须持代理人身份证、授权委托书（附件二）、委托人股东账户卡、委托人身份证办理登记手续。</w:t>
      </w:r>
    </w:p>
    <w:p w14:paraId="38DC72FE">
      <w:pPr>
        <w:topLinePunct/>
        <w:spacing w:line="360" w:lineRule="auto"/>
        <w:ind w:firstLine="482"/>
        <w:rPr>
          <w:rFonts w:ascii="宋体" w:hAnsi="宋体" w:cs="宋体"/>
          <w:color w:val="auto"/>
          <w:sz w:val="24"/>
          <w:highlight w:val="none"/>
        </w:rPr>
      </w:pPr>
      <w:r>
        <w:rPr>
          <w:rFonts w:hint="eastAsia" w:ascii="宋体" w:hAnsi="宋体" w:cs="宋体"/>
          <w:color w:val="auto"/>
          <w:sz w:val="24"/>
          <w:highlight w:val="none"/>
        </w:rPr>
        <w:t>（2）法人股东应由法定代表人或法定代表人委托的代理人出席会议。法定代表人出席会议的，应持股东账户卡、加盖公章的营业执照复印件、法定代表人证明书及身份证办理登记手续。法定代表人委托代理人出席会议的，代理人应持代理人本人身份证、加盖公章的营业执照复印件、法定代表人出具的授权委托书、法定代表人身份证明、法人股东股票账户卡办理登记手续。</w:t>
      </w:r>
    </w:p>
    <w:p w14:paraId="7C3444F9">
      <w:pPr>
        <w:topLinePunct/>
        <w:spacing w:line="360" w:lineRule="auto"/>
        <w:ind w:firstLine="482"/>
        <w:rPr>
          <w:rFonts w:ascii="宋体" w:hAnsi="宋体" w:cs="宋体"/>
          <w:color w:val="auto"/>
          <w:sz w:val="24"/>
          <w:highlight w:val="none"/>
        </w:rPr>
      </w:pPr>
      <w:r>
        <w:rPr>
          <w:rFonts w:hint="eastAsia" w:ascii="宋体" w:hAnsi="宋体" w:cs="宋体"/>
          <w:color w:val="auto"/>
          <w:sz w:val="24"/>
          <w:highlight w:val="none"/>
        </w:rPr>
        <w:t>（3）异地股东可采用信函或传真的方式登记，股东请仔细填写《参会股东登记表》（附件三），以便登记确认。</w:t>
      </w:r>
    </w:p>
    <w:p w14:paraId="7C470854">
      <w:pPr>
        <w:topLinePunct/>
        <w:spacing w:line="360" w:lineRule="auto"/>
        <w:ind w:firstLine="482"/>
        <w:rPr>
          <w:rFonts w:ascii="宋体" w:hAnsi="宋体" w:cs="宋体"/>
          <w:color w:val="auto"/>
          <w:sz w:val="24"/>
          <w:highlight w:val="none"/>
        </w:rPr>
      </w:pPr>
      <w:r>
        <w:rPr>
          <w:rFonts w:hint="eastAsia" w:ascii="宋体" w:hAnsi="宋体" w:cs="宋体"/>
          <w:color w:val="auto"/>
          <w:sz w:val="24"/>
          <w:highlight w:val="none"/>
        </w:rPr>
        <w:t>（4）本次股东大会不接受电话登记</w:t>
      </w:r>
    </w:p>
    <w:p w14:paraId="4C1772BB">
      <w:pPr>
        <w:topLinePunct/>
        <w:spacing w:line="360" w:lineRule="auto"/>
        <w:ind w:firstLine="482"/>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登记时间：本次股东大会现场登记时间为2025年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日上午9:00至12:00，下午13:00至17:00。采用信函或传真方式登记的须在2025年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日18:00之前送达或传真到公司。</w:t>
      </w:r>
    </w:p>
    <w:p w14:paraId="3A993F49">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3、登记地点：福建省福州市闽侯县福州高新区乌龙江中大道7号海西高新技术产业园创新园二期16号楼12F公司证券投资部，邮编：350108（如通过信函方式登记，信封上请注明“2025年第</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次临时股东大会”字样）。</w:t>
      </w:r>
    </w:p>
    <w:p w14:paraId="241D94B6">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4、注意事项</w:t>
      </w:r>
    </w:p>
    <w:p w14:paraId="1DDEBEA5">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（1）以上证明文件办理登记时出示原件或复印件均可，异地股东可凭以上有关证件采取信函或传真方式登记。</w:t>
      </w:r>
    </w:p>
    <w:p w14:paraId="05448015">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（2）出席会议签到时，出席人身份证和授权委托书必须出示原件，并于会议前半小时到达会场。</w:t>
      </w:r>
    </w:p>
    <w:p w14:paraId="2FF26BB0">
      <w:pPr>
        <w:pStyle w:val="2"/>
        <w:keepNext w:val="0"/>
        <w:keepLines w:val="0"/>
        <w:spacing w:before="156" w:after="156"/>
        <w:rPr>
          <w:rFonts w:ascii="宋体" w:hAnsi="宋体" w:cs="宋体"/>
          <w:color w:val="auto"/>
          <w:highlight w:val="none"/>
        </w:rPr>
      </w:pPr>
      <w:r>
        <w:rPr>
          <w:rFonts w:hint="eastAsia" w:ascii="宋体" w:hAnsi="宋体" w:cs="宋体"/>
          <w:color w:val="auto"/>
          <w:highlight w:val="none"/>
        </w:rPr>
        <w:t>四、参加网络投票的具体操作流程</w:t>
      </w:r>
    </w:p>
    <w:p w14:paraId="021A1269">
      <w:pPr>
        <w:topLinePunct/>
        <w:spacing w:before="240" w:after="156" w:afterLines="50" w:line="360" w:lineRule="auto"/>
        <w:ind w:firstLine="482"/>
        <w:rPr>
          <w:rFonts w:ascii="宋体" w:hAnsi="宋体" w:cs="宋体"/>
          <w:b/>
          <w:color w:val="auto"/>
          <w:sz w:val="24"/>
          <w:highlight w:val="none"/>
        </w:rPr>
      </w:pPr>
      <w:r>
        <w:rPr>
          <w:rFonts w:hint="eastAsia" w:ascii="宋体" w:hAnsi="宋体" w:cs="宋体"/>
          <w:color w:val="auto"/>
          <w:sz w:val="24"/>
          <w:highlight w:val="none"/>
        </w:rPr>
        <w:t>在本次股东大会上，股东可以通过深交所交易系统和互联网投票系统（网址：http://wltp.cninfo.com.cn）参加投票，网络投票的具体操作流程见附件一。</w:t>
      </w:r>
    </w:p>
    <w:p w14:paraId="3D4106F5">
      <w:pPr>
        <w:pStyle w:val="2"/>
        <w:keepNext w:val="0"/>
        <w:keepLines w:val="0"/>
        <w:spacing w:before="156" w:after="156"/>
        <w:rPr>
          <w:rFonts w:ascii="宋体" w:hAnsi="宋体" w:cs="宋体"/>
          <w:color w:val="auto"/>
          <w:highlight w:val="none"/>
        </w:rPr>
      </w:pPr>
      <w:r>
        <w:rPr>
          <w:rFonts w:hint="eastAsia" w:ascii="宋体" w:hAnsi="宋体" w:cs="宋体"/>
          <w:color w:val="auto"/>
          <w:highlight w:val="none"/>
        </w:rPr>
        <w:t>五、其他注意事项</w:t>
      </w:r>
    </w:p>
    <w:p w14:paraId="02B4C36C">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1、联系方式</w:t>
      </w:r>
    </w:p>
    <w:p w14:paraId="6BB9A541">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联系人：张清河</w:t>
      </w:r>
    </w:p>
    <w:p w14:paraId="4C059019">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电话：0591-38265188传真：0591-83052199</w:t>
      </w:r>
    </w:p>
    <w:p w14:paraId="0C75E5A1">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2、本次股东大会现场会议为期半天，与会股东或委托代理人的食宿及交通等费用自理。</w:t>
      </w:r>
    </w:p>
    <w:p w14:paraId="21F6FD19">
      <w:pPr>
        <w:pStyle w:val="2"/>
        <w:keepNext w:val="0"/>
        <w:keepLines w:val="0"/>
        <w:spacing w:before="156" w:after="156"/>
        <w:rPr>
          <w:rFonts w:ascii="宋体" w:hAnsi="宋体" w:cs="宋体"/>
          <w:color w:val="auto"/>
          <w:highlight w:val="none"/>
        </w:rPr>
      </w:pPr>
      <w:r>
        <w:rPr>
          <w:rFonts w:hint="eastAsia" w:ascii="宋体" w:hAnsi="宋体" w:cs="宋体"/>
          <w:color w:val="auto"/>
          <w:highlight w:val="none"/>
        </w:rPr>
        <w:t>六、备查文件</w:t>
      </w:r>
    </w:p>
    <w:p w14:paraId="1B5876FC">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1、第五届董事会第</w:t>
      </w:r>
      <w:r>
        <w:rPr>
          <w:rFonts w:hint="eastAsia" w:ascii="宋体" w:hAnsi="宋体" w:cs="宋体"/>
          <w:color w:val="auto"/>
          <w:sz w:val="24"/>
          <w:highlight w:val="none"/>
          <w:lang w:val="en-US" w:eastAsia="zh-CN"/>
        </w:rPr>
        <w:t>十三</w:t>
      </w:r>
      <w:r>
        <w:rPr>
          <w:rFonts w:hint="eastAsia" w:ascii="宋体" w:hAnsi="宋体" w:cs="宋体"/>
          <w:color w:val="auto"/>
          <w:sz w:val="24"/>
          <w:highlight w:val="none"/>
        </w:rPr>
        <w:t>次会议决议；</w:t>
      </w:r>
    </w:p>
    <w:p w14:paraId="2BD95F4A">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、深交所要求的其他文件。</w:t>
      </w:r>
    </w:p>
    <w:p w14:paraId="328599A6">
      <w:pPr>
        <w:topLinePunct/>
        <w:spacing w:before="120"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另附：附件一：参加网络投票的具体操作流程</w:t>
      </w:r>
    </w:p>
    <w:p w14:paraId="4A6430B9">
      <w:pPr>
        <w:topLinePunct/>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附件二：授权委托书</w:t>
      </w:r>
    </w:p>
    <w:p w14:paraId="00AE04A0">
      <w:pPr>
        <w:topLinePunct/>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附件三：参会股东登记表</w:t>
      </w:r>
    </w:p>
    <w:p w14:paraId="2B00D4A2">
      <w:pPr>
        <w:topLinePunct/>
        <w:spacing w:line="360" w:lineRule="auto"/>
        <w:ind w:firstLine="482"/>
        <w:rPr>
          <w:rFonts w:hint="eastAsia" w:ascii="宋体" w:hAnsi="宋体" w:cs="宋体"/>
          <w:color w:val="auto"/>
          <w:sz w:val="24"/>
          <w:highlight w:val="none"/>
        </w:rPr>
      </w:pPr>
    </w:p>
    <w:p w14:paraId="1ECDE1BE">
      <w:pPr>
        <w:topLinePunct/>
        <w:spacing w:line="360" w:lineRule="auto"/>
        <w:ind w:firstLine="482"/>
        <w:rPr>
          <w:rFonts w:ascii="宋体" w:hAnsi="宋体" w:cs="宋体"/>
          <w:color w:val="auto"/>
          <w:sz w:val="24"/>
          <w:highlight w:val="none"/>
        </w:rPr>
      </w:pPr>
      <w:r>
        <w:rPr>
          <w:rFonts w:hint="eastAsia" w:ascii="宋体" w:hAnsi="宋体" w:cs="宋体"/>
          <w:color w:val="auto"/>
          <w:sz w:val="24"/>
          <w:highlight w:val="none"/>
        </w:rPr>
        <w:t>特此公告。</w:t>
      </w:r>
    </w:p>
    <w:p w14:paraId="14D60DFB">
      <w:pPr>
        <w:topLinePunct/>
        <w:spacing w:line="360" w:lineRule="auto"/>
        <w:ind w:firstLine="482"/>
        <w:rPr>
          <w:rFonts w:ascii="宋体" w:hAnsi="宋体" w:cs="宋体"/>
          <w:color w:val="auto"/>
          <w:sz w:val="24"/>
          <w:highlight w:val="none"/>
        </w:rPr>
      </w:pPr>
    </w:p>
    <w:p w14:paraId="0D21311C">
      <w:pPr>
        <w:topLinePunct/>
        <w:spacing w:line="360" w:lineRule="auto"/>
        <w:ind w:firstLine="482"/>
        <w:rPr>
          <w:rFonts w:hint="eastAsia" w:ascii="宋体" w:hAnsi="宋体" w:cs="宋体"/>
          <w:color w:val="auto"/>
          <w:sz w:val="24"/>
          <w:highlight w:val="none"/>
        </w:rPr>
      </w:pPr>
    </w:p>
    <w:p w14:paraId="28648B5D">
      <w:pPr>
        <w:topLinePunct/>
        <w:spacing w:line="360" w:lineRule="auto"/>
        <w:rPr>
          <w:rFonts w:ascii="宋体" w:hAnsi="宋体" w:cs="宋体"/>
          <w:color w:val="auto"/>
          <w:sz w:val="24"/>
          <w:highlight w:val="none"/>
        </w:rPr>
      </w:pPr>
      <w:r>
        <w:rPr>
          <w:rFonts w:hint="eastAsia" w:ascii="宋体" w:hAnsi="宋体" w:cs="宋体"/>
          <w:color w:val="auto"/>
          <w:sz w:val="24"/>
          <w:highlight w:val="none"/>
        </w:rPr>
        <w:t xml:space="preserve">                                     福建广生堂药业股份有限公司董事会</w:t>
      </w:r>
    </w:p>
    <w:p w14:paraId="34434780">
      <w:pPr>
        <w:topLinePunct/>
        <w:spacing w:line="360" w:lineRule="auto"/>
        <w:rPr>
          <w:rFonts w:ascii="宋体" w:hAnsi="宋体" w:cs="宋体"/>
          <w:color w:val="auto"/>
          <w:sz w:val="24"/>
          <w:highlight w:val="none"/>
        </w:rPr>
      </w:pPr>
      <w:r>
        <w:rPr>
          <w:rFonts w:hint="eastAsia" w:ascii="宋体" w:hAnsi="宋体" w:cs="宋体"/>
          <w:color w:val="auto"/>
          <w:sz w:val="24"/>
          <w:highlight w:val="none"/>
        </w:rPr>
        <w:t xml:space="preserve">                                              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w:t>
      </w:r>
    </w:p>
    <w:p w14:paraId="141AD5BD">
      <w:pPr>
        <w:adjustRightInd w:val="0"/>
        <w:snapToGrid w:val="0"/>
        <w:spacing w:line="480" w:lineRule="auto"/>
        <w:ind w:right="1120"/>
        <w:rPr>
          <w:rFonts w:ascii="宋体" w:hAnsi="宋体" w:cs="宋体"/>
          <w:b/>
          <w:bCs/>
          <w:color w:val="auto"/>
          <w:sz w:val="24"/>
          <w:szCs w:val="24"/>
          <w:highlight w:val="none"/>
        </w:rPr>
        <w:sectPr>
          <w:headerReference r:id="rId5" w:type="first"/>
          <w:headerReference r:id="rId3" w:type="default"/>
          <w:footerReference r:id="rId6" w:type="default"/>
          <w:headerReference r:id="rId4" w:type="even"/>
          <w:pgSz w:w="11906" w:h="16838"/>
          <w:pgMar w:top="1440" w:right="1800" w:bottom="1440" w:left="1800" w:header="851" w:footer="992" w:gutter="0"/>
          <w:cols w:space="720" w:num="1"/>
          <w:docGrid w:type="lines" w:linePitch="312" w:charSpace="0"/>
        </w:sectPr>
      </w:pPr>
    </w:p>
    <w:p w14:paraId="64867E23">
      <w:pPr>
        <w:adjustRightInd w:val="0"/>
        <w:snapToGrid w:val="0"/>
        <w:spacing w:line="480" w:lineRule="auto"/>
        <w:ind w:right="1120"/>
        <w:rPr>
          <w:rFonts w:ascii="宋体" w:hAnsi="宋体" w:cs="宋体"/>
          <w:b/>
          <w:bCs/>
          <w:color w:val="auto"/>
          <w:sz w:val="24"/>
          <w:szCs w:val="24"/>
          <w:highlight w:val="none"/>
        </w:rPr>
      </w:pPr>
      <w:r>
        <w:rPr>
          <w:rFonts w:hint="eastAsia" w:ascii="宋体" w:hAnsi="宋体" w:cs="宋体"/>
          <w:b/>
          <w:bCs/>
          <w:color w:val="auto"/>
          <w:sz w:val="24"/>
          <w:szCs w:val="24"/>
          <w:highlight w:val="none"/>
        </w:rPr>
        <w:t>附件一：</w:t>
      </w:r>
    </w:p>
    <w:p w14:paraId="16A1F3B0">
      <w:pPr>
        <w:adjustRightInd w:val="0"/>
        <w:snapToGrid w:val="0"/>
        <w:spacing w:line="48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参加网络投票的具体操作流程</w:t>
      </w:r>
    </w:p>
    <w:p w14:paraId="47BD2158">
      <w:pPr>
        <w:autoSpaceDE w:val="0"/>
        <w:autoSpaceDN w:val="0"/>
        <w:adjustRightInd w:val="0"/>
        <w:spacing w:line="360" w:lineRule="auto"/>
        <w:jc w:val="left"/>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一、</w:t>
      </w:r>
      <w:r>
        <w:rPr>
          <w:rFonts w:hint="eastAsia" w:ascii="宋体" w:hAnsi="宋体" w:cs="宋体"/>
          <w:b/>
          <w:bCs/>
          <w:color w:val="auto"/>
          <w:kern w:val="0"/>
          <w:sz w:val="24"/>
          <w:szCs w:val="24"/>
          <w:highlight w:val="none"/>
        </w:rPr>
        <w:t>网络投票的程序</w:t>
      </w:r>
    </w:p>
    <w:p w14:paraId="3DB50336">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1、普通股的投票代码与投票简称：投票代码为“350436”，投票简称为“广生投票”。 </w:t>
      </w:r>
    </w:p>
    <w:p w14:paraId="64490B14">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2、填报表决意见或选举票数。</w:t>
      </w:r>
    </w:p>
    <w:p w14:paraId="613ADDA6">
      <w:pPr>
        <w:autoSpaceDE w:val="0"/>
        <w:autoSpaceDN w:val="0"/>
        <w:adjustRightIn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对于非累积投票提案，填报表决意见：同意、反对、弃权。</w:t>
      </w:r>
    </w:p>
    <w:p w14:paraId="2A560BE9">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3、本次股东大会设置总议案。</w:t>
      </w:r>
    </w:p>
    <w:p w14:paraId="4213C4FB">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股东对总议案进行投票，视为对所有议案表达相同意见。</w:t>
      </w:r>
    </w:p>
    <w:p w14:paraId="0B78BB23">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股东对同一议案出现总议案与分议案重复投票时，以第一次有效投票为准。如股东先对分议案投票表决，再对总议案投票表决，则以已投票表决的分议案的表决意见为准，其他未表决的议案以总议案的表决意见为准；如先对总议案投票表决，再对分议案投票表决，则以总议案的表决意见为准。</w:t>
      </w:r>
    </w:p>
    <w:p w14:paraId="31AFDB0C">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二、通过深交所交易系统投票的程序 </w:t>
      </w:r>
    </w:p>
    <w:p w14:paraId="42733114">
      <w:pPr>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4"/>
          <w:highlight w:val="none"/>
        </w:rPr>
        <w:t>1、投票时间：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日9:15—9:25，9:30—11:30 和13:00—15:00。</w:t>
      </w:r>
    </w:p>
    <w:p w14:paraId="582E9E50">
      <w:pPr>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4"/>
          <w:highlight w:val="none"/>
        </w:rPr>
        <w:t>2、股东可以登录证券公司交易客户端通过交易系统投票。</w:t>
      </w:r>
    </w:p>
    <w:p w14:paraId="0F7C38EF">
      <w:pPr>
        <w:adjustRightInd w:val="0"/>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三、通过深交所互联网投票系统的投票程序</w:t>
      </w:r>
    </w:p>
    <w:p w14:paraId="2BA0E272">
      <w:pPr>
        <w:adjustRightIn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1、互联网投票系统开始投票的时间为</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日9:15—15:00期间的任意时间</w:t>
      </w:r>
      <w:r>
        <w:rPr>
          <w:rFonts w:hint="eastAsia" w:ascii="宋体" w:hAnsi="宋体" w:cs="宋体"/>
          <w:color w:val="auto"/>
          <w:kern w:val="0"/>
          <w:sz w:val="24"/>
          <w:szCs w:val="24"/>
          <w:highlight w:val="none"/>
        </w:rPr>
        <w:t xml:space="preserve">。 </w:t>
      </w:r>
    </w:p>
    <w:p w14:paraId="561BFD0A">
      <w:pPr>
        <w:adjustRightIn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股东通过互联网投票系统进行网络投票，需按照《深圳证券交易所投资者网络服务身份认证业务指引》的规定办理身份认证，取得“深交所数字证书”或“深交所投资者服务密码”。具体的身份认证流程可登录互联网投票系统http://wltp.cninfo.com.cn 规则指引栏目查阅。</w:t>
      </w:r>
    </w:p>
    <w:p w14:paraId="0AC7495E">
      <w:pPr>
        <w:adjustRightIn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3、股东根据获取的服务密码或数字证书，可登录http://wltp.cninfo.com.cn在规定时间内通过深交所互联网投票系统进行投票。</w:t>
      </w:r>
    </w:p>
    <w:p w14:paraId="774E4F59">
      <w:pPr>
        <w:autoSpaceDE w:val="0"/>
        <w:autoSpaceDN w:val="0"/>
        <w:adjustRightInd w:val="0"/>
        <w:spacing w:line="360" w:lineRule="auto"/>
        <w:jc w:val="left"/>
        <w:rPr>
          <w:rFonts w:ascii="宋体" w:hAnsi="宋体" w:cs="宋体"/>
          <w:b/>
          <w:bCs/>
          <w:color w:val="auto"/>
          <w:kern w:val="0"/>
          <w:sz w:val="24"/>
          <w:szCs w:val="24"/>
          <w:highlight w:val="none"/>
        </w:rPr>
        <w:sectPr>
          <w:pgSz w:w="11906" w:h="16838"/>
          <w:pgMar w:top="1440" w:right="1800" w:bottom="1440" w:left="1800" w:header="851" w:footer="992" w:gutter="0"/>
          <w:cols w:space="720" w:num="1"/>
          <w:docGrid w:type="lines" w:linePitch="312" w:charSpace="0"/>
        </w:sectPr>
      </w:pPr>
    </w:p>
    <w:p w14:paraId="12470258">
      <w:pPr>
        <w:autoSpaceDE w:val="0"/>
        <w:autoSpaceDN w:val="0"/>
        <w:adjustRightInd w:val="0"/>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附件二：</w:t>
      </w:r>
    </w:p>
    <w:p w14:paraId="4931AAEE">
      <w:pPr>
        <w:autoSpaceDE w:val="0"/>
        <w:autoSpaceDN w:val="0"/>
        <w:adjustRightInd w:val="0"/>
        <w:spacing w:line="360" w:lineRule="auto"/>
        <w:jc w:val="center"/>
        <w:rPr>
          <w:rFonts w:ascii="宋体" w:hAnsi="宋体" w:cs="宋体"/>
          <w:b/>
          <w:color w:val="auto"/>
          <w:kern w:val="0"/>
          <w:sz w:val="16"/>
          <w:szCs w:val="16"/>
          <w:highlight w:val="none"/>
        </w:rPr>
      </w:pPr>
      <w:r>
        <w:rPr>
          <w:rFonts w:hint="eastAsia" w:ascii="宋体" w:hAnsi="宋体" w:cs="宋体"/>
          <w:b/>
          <w:color w:val="auto"/>
          <w:kern w:val="0"/>
          <w:sz w:val="28"/>
          <w:szCs w:val="28"/>
          <w:highlight w:val="none"/>
        </w:rPr>
        <w:t>授权委托书</w:t>
      </w:r>
    </w:p>
    <w:p w14:paraId="117758CF">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福建广生堂药业股份有限公司：</w:t>
      </w:r>
    </w:p>
    <w:p w14:paraId="2A96C9B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兹全权委托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先生/女士代表本人（本单位）出席福建广生堂药业股份有限公司202</w:t>
      </w:r>
      <w:r>
        <w:rPr>
          <w:rFonts w:ascii="宋体" w:hAnsi="宋体" w:cs="宋体"/>
          <w:color w:val="auto"/>
          <w:sz w:val="24"/>
          <w:szCs w:val="24"/>
          <w:highlight w:val="none"/>
        </w:rPr>
        <w:t>5</w:t>
      </w:r>
      <w:r>
        <w:rPr>
          <w:rFonts w:hint="eastAsia" w:ascii="宋体" w:hAnsi="宋体" w:cs="宋体"/>
          <w:color w:val="auto"/>
          <w:sz w:val="24"/>
          <w:szCs w:val="24"/>
          <w:highlight w:val="none"/>
        </w:rPr>
        <w:t>年第</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次临时股东大会，对以下议案以投票方式按以下意见行使表决权，本人（本单位）对表决事项若无具体指示的，代理人可自行行使表决权，后果均由本人（本单位）承担。</w:t>
      </w:r>
    </w:p>
    <w:tbl>
      <w:tblPr>
        <w:tblStyle w:val="10"/>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787"/>
        <w:gridCol w:w="2090"/>
        <w:gridCol w:w="450"/>
        <w:gridCol w:w="382"/>
        <w:gridCol w:w="385"/>
      </w:tblGrid>
      <w:tr w14:paraId="7FB4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Merge w:val="restart"/>
            <w:tcBorders>
              <w:top w:val="single" w:color="auto" w:sz="4" w:space="0"/>
              <w:left w:val="single" w:color="auto" w:sz="4" w:space="0"/>
              <w:right w:val="single" w:color="auto" w:sz="4" w:space="0"/>
            </w:tcBorders>
            <w:shd w:val="clear" w:color="auto" w:fill="E0E0E0"/>
            <w:vAlign w:val="center"/>
          </w:tcPr>
          <w:p w14:paraId="45DBCE9B">
            <w:pPr>
              <w:jc w:val="center"/>
              <w:rPr>
                <w:rFonts w:ascii="宋体" w:hAnsi="宋体" w:cs="宋体"/>
                <w:b/>
                <w:color w:val="auto"/>
                <w:szCs w:val="21"/>
                <w:highlight w:val="none"/>
              </w:rPr>
            </w:pPr>
            <w:r>
              <w:rPr>
                <w:rFonts w:hint="eastAsia" w:ascii="宋体" w:hAnsi="宋体" w:cs="宋体"/>
                <w:b/>
                <w:color w:val="auto"/>
                <w:szCs w:val="21"/>
                <w:highlight w:val="none"/>
              </w:rPr>
              <w:t>提案</w:t>
            </w:r>
          </w:p>
          <w:p w14:paraId="26640F63">
            <w:pPr>
              <w:jc w:val="center"/>
              <w:rPr>
                <w:rFonts w:ascii="宋体" w:hAnsi="宋体" w:cs="宋体"/>
                <w:b/>
                <w:color w:val="auto"/>
                <w:szCs w:val="21"/>
                <w:highlight w:val="none"/>
              </w:rPr>
            </w:pPr>
            <w:r>
              <w:rPr>
                <w:rFonts w:hint="eastAsia" w:ascii="宋体" w:hAnsi="宋体" w:cs="宋体"/>
                <w:b/>
                <w:color w:val="auto"/>
                <w:szCs w:val="21"/>
                <w:highlight w:val="none"/>
              </w:rPr>
              <w:t>编码</w:t>
            </w:r>
          </w:p>
        </w:tc>
        <w:tc>
          <w:tcPr>
            <w:tcW w:w="5787" w:type="dxa"/>
            <w:vMerge w:val="restart"/>
            <w:tcBorders>
              <w:top w:val="single" w:color="auto" w:sz="4" w:space="0"/>
              <w:left w:val="single" w:color="auto" w:sz="4" w:space="0"/>
              <w:right w:val="single" w:color="auto" w:sz="4" w:space="0"/>
            </w:tcBorders>
            <w:shd w:val="clear" w:color="auto" w:fill="E0E0E0"/>
            <w:vAlign w:val="center"/>
          </w:tcPr>
          <w:p w14:paraId="67AF01D5">
            <w:pPr>
              <w:jc w:val="center"/>
              <w:rPr>
                <w:rFonts w:ascii="宋体" w:hAnsi="宋体" w:cs="宋体"/>
                <w:b/>
                <w:color w:val="auto"/>
                <w:szCs w:val="21"/>
                <w:highlight w:val="none"/>
              </w:rPr>
            </w:pPr>
            <w:r>
              <w:rPr>
                <w:rFonts w:hint="eastAsia" w:ascii="宋体" w:hAnsi="宋体" w:cs="宋体"/>
                <w:b/>
                <w:color w:val="auto"/>
                <w:szCs w:val="21"/>
                <w:highlight w:val="none"/>
              </w:rPr>
              <w:t>提案名称</w:t>
            </w:r>
          </w:p>
        </w:tc>
        <w:tc>
          <w:tcPr>
            <w:tcW w:w="3307" w:type="dxa"/>
            <w:gridSpan w:val="4"/>
            <w:tcBorders>
              <w:top w:val="single" w:color="auto" w:sz="4" w:space="0"/>
              <w:left w:val="single" w:color="auto" w:sz="4" w:space="0"/>
              <w:bottom w:val="single" w:color="auto" w:sz="4" w:space="0"/>
              <w:right w:val="single" w:color="auto" w:sz="4" w:space="0"/>
            </w:tcBorders>
            <w:shd w:val="clear" w:color="auto" w:fill="E0E0E0"/>
            <w:vAlign w:val="center"/>
          </w:tcPr>
          <w:p w14:paraId="3FE64369">
            <w:pPr>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14:paraId="0F25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0" w:type="dxa"/>
            <w:vMerge w:val="continue"/>
            <w:tcBorders>
              <w:left w:val="single" w:color="auto" w:sz="4" w:space="0"/>
              <w:right w:val="single" w:color="auto" w:sz="4" w:space="0"/>
            </w:tcBorders>
          </w:tcPr>
          <w:p w14:paraId="5C6A0068">
            <w:pPr>
              <w:jc w:val="center"/>
              <w:rPr>
                <w:rFonts w:ascii="宋体" w:hAnsi="宋体" w:cs="宋体"/>
                <w:bCs/>
                <w:color w:val="auto"/>
                <w:szCs w:val="21"/>
                <w:highlight w:val="none"/>
              </w:rPr>
            </w:pPr>
          </w:p>
        </w:tc>
        <w:tc>
          <w:tcPr>
            <w:tcW w:w="5787" w:type="dxa"/>
            <w:vMerge w:val="continue"/>
            <w:tcBorders>
              <w:left w:val="single" w:color="auto" w:sz="4" w:space="0"/>
              <w:right w:val="single" w:color="auto" w:sz="4" w:space="0"/>
            </w:tcBorders>
            <w:vAlign w:val="center"/>
          </w:tcPr>
          <w:p w14:paraId="699E7084">
            <w:pPr>
              <w:jc w:val="center"/>
              <w:rPr>
                <w:rFonts w:ascii="宋体" w:hAnsi="宋体" w:cs="宋体"/>
                <w:bCs/>
                <w:color w:val="auto"/>
                <w:szCs w:val="21"/>
                <w:highlight w:val="none"/>
              </w:rPr>
            </w:pPr>
          </w:p>
        </w:tc>
        <w:tc>
          <w:tcPr>
            <w:tcW w:w="2090" w:type="dxa"/>
            <w:tcBorders>
              <w:top w:val="single" w:color="auto" w:sz="4" w:space="0"/>
              <w:left w:val="single" w:color="auto" w:sz="4" w:space="0"/>
              <w:right w:val="single" w:color="auto" w:sz="4" w:space="0"/>
            </w:tcBorders>
            <w:vAlign w:val="center"/>
          </w:tcPr>
          <w:p w14:paraId="7E4F76E1">
            <w:pPr>
              <w:jc w:val="center"/>
              <w:rPr>
                <w:rFonts w:ascii="宋体" w:hAnsi="宋体" w:cs="宋体"/>
                <w:bCs/>
                <w:color w:val="auto"/>
                <w:szCs w:val="21"/>
                <w:highlight w:val="none"/>
              </w:rPr>
            </w:pPr>
            <w:r>
              <w:rPr>
                <w:rFonts w:hint="eastAsia" w:ascii="宋体" w:hAnsi="宋体" w:cs="宋体"/>
                <w:bCs/>
                <w:color w:val="auto"/>
                <w:szCs w:val="21"/>
                <w:highlight w:val="none"/>
              </w:rPr>
              <w:t>该列打勾的栏目可以投票</w:t>
            </w:r>
          </w:p>
        </w:tc>
        <w:tc>
          <w:tcPr>
            <w:tcW w:w="450" w:type="dxa"/>
            <w:tcBorders>
              <w:top w:val="single" w:color="auto" w:sz="4" w:space="0"/>
              <w:left w:val="single" w:color="auto" w:sz="4" w:space="0"/>
              <w:right w:val="single" w:color="auto" w:sz="4" w:space="0"/>
            </w:tcBorders>
            <w:vAlign w:val="center"/>
          </w:tcPr>
          <w:p w14:paraId="49908A67">
            <w:pPr>
              <w:jc w:val="center"/>
              <w:rPr>
                <w:rFonts w:ascii="宋体" w:hAnsi="宋体" w:cs="宋体"/>
                <w:bCs/>
                <w:color w:val="auto"/>
                <w:szCs w:val="21"/>
                <w:highlight w:val="none"/>
              </w:rPr>
            </w:pPr>
            <w:r>
              <w:rPr>
                <w:rFonts w:hint="eastAsia" w:ascii="宋体" w:hAnsi="宋体" w:cs="宋体"/>
                <w:bCs/>
                <w:color w:val="auto"/>
                <w:szCs w:val="21"/>
                <w:highlight w:val="none"/>
              </w:rPr>
              <w:t>同意</w:t>
            </w:r>
          </w:p>
        </w:tc>
        <w:tc>
          <w:tcPr>
            <w:tcW w:w="382" w:type="dxa"/>
            <w:tcBorders>
              <w:top w:val="single" w:color="auto" w:sz="4" w:space="0"/>
              <w:left w:val="single" w:color="auto" w:sz="4" w:space="0"/>
              <w:right w:val="single" w:color="auto" w:sz="4" w:space="0"/>
            </w:tcBorders>
            <w:vAlign w:val="center"/>
          </w:tcPr>
          <w:p w14:paraId="491A6437">
            <w:pPr>
              <w:jc w:val="center"/>
              <w:rPr>
                <w:rFonts w:ascii="宋体" w:hAnsi="宋体" w:cs="宋体"/>
                <w:bCs/>
                <w:color w:val="auto"/>
                <w:szCs w:val="21"/>
                <w:highlight w:val="none"/>
              </w:rPr>
            </w:pPr>
            <w:r>
              <w:rPr>
                <w:rFonts w:hint="eastAsia" w:ascii="宋体" w:hAnsi="宋体" w:cs="宋体"/>
                <w:bCs/>
                <w:color w:val="auto"/>
                <w:szCs w:val="21"/>
                <w:highlight w:val="none"/>
              </w:rPr>
              <w:t>反对</w:t>
            </w:r>
          </w:p>
        </w:tc>
        <w:tc>
          <w:tcPr>
            <w:tcW w:w="385" w:type="dxa"/>
            <w:tcBorders>
              <w:top w:val="single" w:color="auto" w:sz="4" w:space="0"/>
              <w:left w:val="single" w:color="auto" w:sz="4" w:space="0"/>
              <w:right w:val="single" w:color="auto" w:sz="4" w:space="0"/>
            </w:tcBorders>
            <w:vAlign w:val="center"/>
          </w:tcPr>
          <w:p w14:paraId="148360CF">
            <w:pPr>
              <w:jc w:val="center"/>
              <w:rPr>
                <w:rFonts w:ascii="宋体" w:hAnsi="宋体" w:cs="宋体"/>
                <w:bCs/>
                <w:color w:val="auto"/>
                <w:szCs w:val="21"/>
                <w:highlight w:val="none"/>
              </w:rPr>
            </w:pPr>
            <w:r>
              <w:rPr>
                <w:rFonts w:hint="eastAsia" w:ascii="宋体" w:hAnsi="宋体" w:cs="宋体"/>
                <w:bCs/>
                <w:color w:val="auto"/>
                <w:szCs w:val="21"/>
                <w:highlight w:val="none"/>
              </w:rPr>
              <w:t>弃权</w:t>
            </w:r>
          </w:p>
        </w:tc>
      </w:tr>
      <w:tr w14:paraId="2454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30DD70D5">
            <w:pPr>
              <w:jc w:val="center"/>
              <w:rPr>
                <w:rFonts w:ascii="宋体" w:hAnsi="宋体" w:cs="宋体"/>
                <w:b/>
                <w:color w:val="auto"/>
                <w:szCs w:val="21"/>
                <w:highlight w:val="none"/>
              </w:rPr>
            </w:pPr>
            <w:r>
              <w:rPr>
                <w:rFonts w:hint="eastAsia" w:ascii="宋体" w:hAnsi="宋体" w:cs="宋体"/>
                <w:b/>
                <w:color w:val="auto"/>
                <w:szCs w:val="21"/>
                <w:highlight w:val="none"/>
              </w:rPr>
              <w:t>100</w:t>
            </w:r>
          </w:p>
        </w:tc>
        <w:tc>
          <w:tcPr>
            <w:tcW w:w="5787" w:type="dxa"/>
            <w:tcBorders>
              <w:top w:val="single" w:color="auto" w:sz="4" w:space="0"/>
              <w:left w:val="single" w:color="auto" w:sz="4" w:space="0"/>
              <w:bottom w:val="single" w:color="auto" w:sz="4" w:space="0"/>
              <w:right w:val="single" w:color="auto" w:sz="4" w:space="0"/>
            </w:tcBorders>
            <w:vAlign w:val="center"/>
          </w:tcPr>
          <w:p w14:paraId="3A3E58E5">
            <w:pPr>
              <w:jc w:val="center"/>
              <w:rPr>
                <w:rFonts w:ascii="宋体" w:hAnsi="宋体" w:cs="宋体"/>
                <w:b/>
                <w:color w:val="auto"/>
                <w:szCs w:val="21"/>
                <w:highlight w:val="none"/>
              </w:rPr>
            </w:pPr>
            <w:r>
              <w:rPr>
                <w:rFonts w:hint="eastAsia" w:ascii="宋体" w:hAnsi="宋体" w:cs="宋体"/>
                <w:b/>
                <w:color w:val="auto"/>
                <w:szCs w:val="21"/>
                <w:highlight w:val="none"/>
              </w:rPr>
              <w:t>总议案：除累积投票提案外的所有提案</w:t>
            </w:r>
          </w:p>
        </w:tc>
        <w:tc>
          <w:tcPr>
            <w:tcW w:w="2090" w:type="dxa"/>
            <w:tcBorders>
              <w:top w:val="single" w:color="auto" w:sz="4" w:space="0"/>
              <w:left w:val="single" w:color="auto" w:sz="4" w:space="0"/>
              <w:bottom w:val="single" w:color="auto" w:sz="4" w:space="0"/>
              <w:right w:val="single" w:color="auto" w:sz="4" w:space="0"/>
            </w:tcBorders>
            <w:vAlign w:val="center"/>
          </w:tcPr>
          <w:p w14:paraId="04E527E8">
            <w:pPr>
              <w:jc w:val="center"/>
              <w:rPr>
                <w:rFonts w:ascii="宋体" w:hAnsi="宋体" w:cs="宋体"/>
                <w:b/>
                <w:color w:val="auto"/>
                <w:szCs w:val="21"/>
                <w:highlight w:val="none"/>
              </w:rPr>
            </w:pPr>
            <w:r>
              <w:rPr>
                <w:rFonts w:hint="eastAsia" w:ascii="宋体" w:hAnsi="宋体" w:cs="宋体"/>
                <w:bCs/>
                <w:color w:val="auto"/>
                <w:szCs w:val="21"/>
                <w:highlight w:val="none"/>
              </w:rPr>
              <w:t>√</w:t>
            </w:r>
          </w:p>
        </w:tc>
        <w:tc>
          <w:tcPr>
            <w:tcW w:w="450" w:type="dxa"/>
            <w:tcBorders>
              <w:top w:val="single" w:color="auto" w:sz="4" w:space="0"/>
              <w:left w:val="single" w:color="auto" w:sz="4" w:space="0"/>
              <w:bottom w:val="single" w:color="auto" w:sz="4" w:space="0"/>
              <w:right w:val="single" w:color="auto" w:sz="4" w:space="0"/>
            </w:tcBorders>
            <w:vAlign w:val="center"/>
          </w:tcPr>
          <w:p w14:paraId="6638932B">
            <w:pPr>
              <w:jc w:val="center"/>
              <w:rPr>
                <w:rFonts w:ascii="宋体" w:hAnsi="宋体" w:cs="宋体"/>
                <w:b/>
                <w:color w:val="auto"/>
                <w:szCs w:val="21"/>
                <w:highlight w:val="none"/>
              </w:rPr>
            </w:pPr>
          </w:p>
        </w:tc>
        <w:tc>
          <w:tcPr>
            <w:tcW w:w="382" w:type="dxa"/>
            <w:tcBorders>
              <w:top w:val="single" w:color="auto" w:sz="4" w:space="0"/>
              <w:left w:val="single" w:color="auto" w:sz="4" w:space="0"/>
              <w:bottom w:val="single" w:color="auto" w:sz="4" w:space="0"/>
              <w:right w:val="single" w:color="auto" w:sz="4" w:space="0"/>
            </w:tcBorders>
            <w:vAlign w:val="center"/>
          </w:tcPr>
          <w:p w14:paraId="2372D90D">
            <w:pPr>
              <w:jc w:val="center"/>
              <w:rPr>
                <w:rFonts w:ascii="宋体" w:hAnsi="宋体" w:cs="宋体"/>
                <w:b/>
                <w:color w:val="auto"/>
                <w:szCs w:val="21"/>
                <w:highlight w:val="none"/>
              </w:rPr>
            </w:pPr>
          </w:p>
        </w:tc>
        <w:tc>
          <w:tcPr>
            <w:tcW w:w="385" w:type="dxa"/>
            <w:tcBorders>
              <w:top w:val="single" w:color="auto" w:sz="4" w:space="0"/>
              <w:left w:val="single" w:color="auto" w:sz="4" w:space="0"/>
              <w:bottom w:val="single" w:color="auto" w:sz="4" w:space="0"/>
              <w:right w:val="single" w:color="auto" w:sz="4" w:space="0"/>
            </w:tcBorders>
            <w:vAlign w:val="center"/>
          </w:tcPr>
          <w:p w14:paraId="07FD87F1">
            <w:pPr>
              <w:jc w:val="center"/>
              <w:rPr>
                <w:rFonts w:ascii="宋体" w:hAnsi="宋体" w:cs="宋体"/>
                <w:b/>
                <w:color w:val="auto"/>
                <w:szCs w:val="21"/>
                <w:highlight w:val="none"/>
              </w:rPr>
            </w:pPr>
          </w:p>
        </w:tc>
      </w:tr>
      <w:tr w14:paraId="2616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84" w:type="dxa"/>
            <w:gridSpan w:val="6"/>
            <w:tcBorders>
              <w:top w:val="single" w:color="auto" w:sz="4" w:space="0"/>
              <w:left w:val="single" w:color="auto" w:sz="4" w:space="0"/>
              <w:bottom w:val="single" w:color="auto" w:sz="4" w:space="0"/>
              <w:right w:val="single" w:color="auto" w:sz="4" w:space="0"/>
            </w:tcBorders>
            <w:vAlign w:val="center"/>
          </w:tcPr>
          <w:p w14:paraId="649E4054">
            <w:pPr>
              <w:jc w:val="center"/>
              <w:rPr>
                <w:rFonts w:ascii="宋体" w:hAnsi="宋体" w:cs="宋体"/>
                <w:b/>
                <w:color w:val="auto"/>
                <w:szCs w:val="21"/>
                <w:highlight w:val="none"/>
              </w:rPr>
            </w:pPr>
            <w:r>
              <w:rPr>
                <w:rFonts w:hint="eastAsia" w:ascii="宋体" w:hAnsi="宋体" w:cs="宋体"/>
                <w:b/>
                <w:color w:val="auto"/>
                <w:szCs w:val="21"/>
                <w:highlight w:val="none"/>
              </w:rPr>
              <w:t>非累积投票提案</w:t>
            </w:r>
          </w:p>
        </w:tc>
      </w:tr>
      <w:tr w14:paraId="62ED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0" w:type="dxa"/>
            <w:shd w:val="clear" w:color="auto" w:fill="auto"/>
            <w:vAlign w:val="center"/>
          </w:tcPr>
          <w:p w14:paraId="51866D10">
            <w:pPr>
              <w:jc w:val="center"/>
              <w:rPr>
                <w:rFonts w:ascii="宋体" w:hAnsi="宋体" w:cs="宋体"/>
                <w:b/>
                <w:color w:val="auto"/>
                <w:szCs w:val="21"/>
                <w:highlight w:val="none"/>
              </w:rPr>
            </w:pPr>
            <w:r>
              <w:rPr>
                <w:rFonts w:hint="eastAsia" w:ascii="宋体" w:hAnsi="宋体" w:cs="宋体"/>
                <w:b/>
                <w:color w:val="auto"/>
                <w:szCs w:val="21"/>
                <w:highlight w:val="none"/>
              </w:rPr>
              <w:t>1.00</w:t>
            </w:r>
          </w:p>
        </w:tc>
        <w:tc>
          <w:tcPr>
            <w:tcW w:w="5787" w:type="dxa"/>
            <w:shd w:val="clear" w:color="auto" w:fill="auto"/>
            <w:vAlign w:val="center"/>
          </w:tcPr>
          <w:p w14:paraId="2D12E551">
            <w:pPr>
              <w:rPr>
                <w:rFonts w:ascii="宋体" w:hAnsi="宋体" w:cs="宋体"/>
                <w:color w:val="auto"/>
                <w:szCs w:val="21"/>
                <w:highlight w:val="none"/>
              </w:rPr>
            </w:pPr>
            <w:r>
              <w:rPr>
                <w:rFonts w:hint="eastAsia"/>
                <w:highlight w:val="none"/>
                <w:lang w:val="en-US" w:eastAsia="zh-CN"/>
              </w:rPr>
              <w:t>《关于修订＜公司章程＞的议案》</w:t>
            </w:r>
          </w:p>
        </w:tc>
        <w:tc>
          <w:tcPr>
            <w:tcW w:w="2090" w:type="dxa"/>
            <w:vAlign w:val="center"/>
          </w:tcPr>
          <w:p w14:paraId="48F41A7C">
            <w:pPr>
              <w:jc w:val="center"/>
              <w:rPr>
                <w:rFonts w:ascii="宋体" w:hAnsi="宋体" w:cs="宋体"/>
                <w:bCs/>
                <w:color w:val="auto"/>
                <w:szCs w:val="21"/>
                <w:highlight w:val="none"/>
              </w:rPr>
            </w:pPr>
            <w:r>
              <w:rPr>
                <w:rFonts w:hint="eastAsia" w:ascii="宋体" w:hAnsi="宋体" w:cs="宋体"/>
                <w:color w:val="auto"/>
                <w:szCs w:val="21"/>
                <w:highlight w:val="none"/>
              </w:rPr>
              <w:t>√</w:t>
            </w:r>
          </w:p>
        </w:tc>
        <w:tc>
          <w:tcPr>
            <w:tcW w:w="450" w:type="dxa"/>
            <w:tcBorders>
              <w:top w:val="single" w:color="auto" w:sz="4" w:space="0"/>
              <w:left w:val="single" w:color="auto" w:sz="4" w:space="0"/>
              <w:bottom w:val="single" w:color="auto" w:sz="4" w:space="0"/>
              <w:right w:val="single" w:color="auto" w:sz="4" w:space="0"/>
            </w:tcBorders>
            <w:vAlign w:val="center"/>
          </w:tcPr>
          <w:p w14:paraId="57A8DA84">
            <w:pPr>
              <w:jc w:val="center"/>
              <w:rPr>
                <w:rFonts w:ascii="宋体" w:hAnsi="宋体" w:cs="宋体"/>
                <w:bCs/>
                <w:color w:val="auto"/>
                <w:szCs w:val="21"/>
                <w:highlight w:val="none"/>
              </w:rPr>
            </w:pPr>
          </w:p>
        </w:tc>
        <w:tc>
          <w:tcPr>
            <w:tcW w:w="382" w:type="dxa"/>
            <w:tcBorders>
              <w:top w:val="single" w:color="auto" w:sz="4" w:space="0"/>
              <w:left w:val="single" w:color="auto" w:sz="4" w:space="0"/>
              <w:bottom w:val="single" w:color="auto" w:sz="4" w:space="0"/>
              <w:right w:val="single" w:color="auto" w:sz="4" w:space="0"/>
            </w:tcBorders>
            <w:vAlign w:val="center"/>
          </w:tcPr>
          <w:p w14:paraId="03D3E122">
            <w:pPr>
              <w:jc w:val="center"/>
              <w:rPr>
                <w:rFonts w:ascii="宋体" w:hAnsi="宋体" w:cs="宋体"/>
                <w:bCs/>
                <w:color w:val="auto"/>
                <w:szCs w:val="21"/>
                <w:highlight w:val="none"/>
              </w:rPr>
            </w:pPr>
          </w:p>
        </w:tc>
        <w:tc>
          <w:tcPr>
            <w:tcW w:w="385" w:type="dxa"/>
            <w:tcBorders>
              <w:top w:val="single" w:color="auto" w:sz="4" w:space="0"/>
              <w:left w:val="single" w:color="auto" w:sz="4" w:space="0"/>
              <w:bottom w:val="single" w:color="auto" w:sz="4" w:space="0"/>
              <w:right w:val="single" w:color="auto" w:sz="4" w:space="0"/>
            </w:tcBorders>
            <w:vAlign w:val="center"/>
          </w:tcPr>
          <w:p w14:paraId="72708D65">
            <w:pPr>
              <w:jc w:val="center"/>
              <w:rPr>
                <w:rFonts w:ascii="宋体" w:hAnsi="宋体" w:cs="宋体"/>
                <w:bCs/>
                <w:color w:val="auto"/>
                <w:szCs w:val="21"/>
                <w:highlight w:val="none"/>
              </w:rPr>
            </w:pPr>
          </w:p>
        </w:tc>
      </w:tr>
      <w:tr w14:paraId="77EB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0" w:type="dxa"/>
            <w:shd w:val="clear" w:color="auto" w:fill="auto"/>
            <w:vAlign w:val="center"/>
          </w:tcPr>
          <w:p w14:paraId="70A3B5B9">
            <w:pPr>
              <w:jc w:val="center"/>
              <w:rPr>
                <w:rFonts w:ascii="宋体" w:hAnsi="宋体" w:cs="宋体"/>
                <w:b/>
                <w:color w:val="auto"/>
                <w:szCs w:val="21"/>
                <w:highlight w:val="none"/>
              </w:rPr>
            </w:pPr>
            <w:r>
              <w:rPr>
                <w:rFonts w:hint="eastAsia" w:ascii="宋体" w:hAnsi="宋体" w:cs="宋体"/>
                <w:b/>
                <w:color w:val="auto"/>
                <w:szCs w:val="21"/>
                <w:highlight w:val="none"/>
              </w:rPr>
              <w:t>2.00</w:t>
            </w:r>
          </w:p>
        </w:tc>
        <w:tc>
          <w:tcPr>
            <w:tcW w:w="5787" w:type="dxa"/>
            <w:shd w:val="clear" w:color="auto" w:fill="auto"/>
            <w:vAlign w:val="center"/>
          </w:tcPr>
          <w:p w14:paraId="537F7709">
            <w:pPr>
              <w:rPr>
                <w:rFonts w:ascii="宋体" w:hAnsi="宋体" w:cs="宋体"/>
                <w:color w:val="auto"/>
                <w:szCs w:val="21"/>
                <w:highlight w:val="none"/>
              </w:rPr>
            </w:pPr>
            <w:r>
              <w:rPr>
                <w:rFonts w:hint="eastAsia"/>
                <w:highlight w:val="none"/>
                <w:lang w:eastAsia="zh-CN"/>
              </w:rPr>
              <w:t>《关于制定、修订公司部分管理制度的议案》</w:t>
            </w:r>
          </w:p>
        </w:tc>
        <w:tc>
          <w:tcPr>
            <w:tcW w:w="2090" w:type="dxa"/>
            <w:vAlign w:val="center"/>
          </w:tcPr>
          <w:p w14:paraId="5C0685C9">
            <w:pPr>
              <w:jc w:val="center"/>
              <w:rPr>
                <w:rFonts w:ascii="宋体" w:hAnsi="宋体" w:cs="宋体"/>
                <w:color w:val="auto"/>
                <w:szCs w:val="21"/>
                <w:highlight w:val="none"/>
              </w:rPr>
            </w:pPr>
            <w:r>
              <w:rPr>
                <w:rFonts w:hint="eastAsia" w:ascii="宋体" w:hAnsi="宋体"/>
                <w:color w:val="auto"/>
                <w:szCs w:val="21"/>
                <w:highlight w:val="none"/>
              </w:rPr>
              <w:t>√作为投票对象的子议案数：（</w:t>
            </w:r>
            <w:r>
              <w:rPr>
                <w:rFonts w:hint="eastAsia" w:ascii="宋体" w:hAnsi="宋体"/>
                <w:color w:val="auto"/>
                <w:szCs w:val="21"/>
                <w:highlight w:val="none"/>
                <w:lang w:val="en-US" w:eastAsia="zh-CN"/>
              </w:rPr>
              <w:t>5</w:t>
            </w:r>
            <w:r>
              <w:rPr>
                <w:rFonts w:hint="eastAsia" w:ascii="宋体" w:hAnsi="宋体"/>
                <w:color w:val="auto"/>
                <w:szCs w:val="21"/>
                <w:highlight w:val="none"/>
              </w:rPr>
              <w:t>）</w:t>
            </w:r>
          </w:p>
        </w:tc>
        <w:tc>
          <w:tcPr>
            <w:tcW w:w="450" w:type="dxa"/>
            <w:tcBorders>
              <w:top w:val="single" w:color="auto" w:sz="4" w:space="0"/>
              <w:left w:val="single" w:color="auto" w:sz="4" w:space="0"/>
              <w:bottom w:val="single" w:color="auto" w:sz="4" w:space="0"/>
              <w:right w:val="single" w:color="auto" w:sz="4" w:space="0"/>
            </w:tcBorders>
            <w:vAlign w:val="center"/>
          </w:tcPr>
          <w:p w14:paraId="014750FB">
            <w:pPr>
              <w:jc w:val="center"/>
              <w:rPr>
                <w:rFonts w:ascii="宋体" w:hAnsi="宋体" w:cs="宋体"/>
                <w:bCs/>
                <w:color w:val="auto"/>
                <w:szCs w:val="21"/>
                <w:highlight w:val="none"/>
              </w:rPr>
            </w:pPr>
          </w:p>
        </w:tc>
        <w:tc>
          <w:tcPr>
            <w:tcW w:w="382" w:type="dxa"/>
            <w:tcBorders>
              <w:top w:val="single" w:color="auto" w:sz="4" w:space="0"/>
              <w:left w:val="single" w:color="auto" w:sz="4" w:space="0"/>
              <w:bottom w:val="single" w:color="auto" w:sz="4" w:space="0"/>
              <w:right w:val="single" w:color="auto" w:sz="4" w:space="0"/>
            </w:tcBorders>
            <w:vAlign w:val="center"/>
          </w:tcPr>
          <w:p w14:paraId="27FA624F">
            <w:pPr>
              <w:jc w:val="center"/>
              <w:rPr>
                <w:rFonts w:ascii="宋体" w:hAnsi="宋体" w:cs="宋体"/>
                <w:bCs/>
                <w:color w:val="auto"/>
                <w:szCs w:val="21"/>
                <w:highlight w:val="none"/>
              </w:rPr>
            </w:pPr>
          </w:p>
        </w:tc>
        <w:tc>
          <w:tcPr>
            <w:tcW w:w="385" w:type="dxa"/>
            <w:tcBorders>
              <w:top w:val="single" w:color="auto" w:sz="4" w:space="0"/>
              <w:left w:val="single" w:color="auto" w:sz="4" w:space="0"/>
              <w:bottom w:val="single" w:color="auto" w:sz="4" w:space="0"/>
              <w:right w:val="single" w:color="auto" w:sz="4" w:space="0"/>
            </w:tcBorders>
            <w:vAlign w:val="center"/>
          </w:tcPr>
          <w:p w14:paraId="4B9A4239">
            <w:pPr>
              <w:jc w:val="center"/>
              <w:rPr>
                <w:rFonts w:ascii="宋体" w:hAnsi="宋体" w:cs="宋体"/>
                <w:bCs/>
                <w:color w:val="auto"/>
                <w:szCs w:val="21"/>
                <w:highlight w:val="none"/>
              </w:rPr>
            </w:pPr>
          </w:p>
        </w:tc>
      </w:tr>
      <w:tr w14:paraId="7255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0" w:type="dxa"/>
            <w:shd w:val="clear" w:color="auto" w:fill="auto"/>
            <w:vAlign w:val="center"/>
          </w:tcPr>
          <w:p w14:paraId="615F92FB">
            <w:pPr>
              <w:jc w:val="center"/>
              <w:rPr>
                <w:rFonts w:ascii="宋体" w:hAnsi="宋体" w:cs="宋体"/>
                <w:b/>
                <w:color w:val="auto"/>
                <w:szCs w:val="21"/>
                <w:highlight w:val="none"/>
              </w:rPr>
            </w:pPr>
            <w:r>
              <w:rPr>
                <w:rFonts w:hint="eastAsia" w:ascii="宋体" w:hAnsi="宋体" w:cs="宋体"/>
                <w:b/>
                <w:color w:val="auto"/>
                <w:szCs w:val="21"/>
                <w:highlight w:val="none"/>
              </w:rPr>
              <w:t>2.01</w:t>
            </w:r>
          </w:p>
        </w:tc>
        <w:tc>
          <w:tcPr>
            <w:tcW w:w="5787" w:type="dxa"/>
            <w:shd w:val="clear" w:color="auto" w:fill="auto"/>
            <w:vAlign w:val="center"/>
          </w:tcPr>
          <w:p w14:paraId="2A967FAD">
            <w:pPr>
              <w:rPr>
                <w:rFonts w:ascii="宋体" w:hAnsi="宋体" w:cs="宋体"/>
                <w:color w:val="auto"/>
                <w:szCs w:val="21"/>
                <w:highlight w:val="none"/>
              </w:rPr>
            </w:pPr>
            <w:r>
              <w:rPr>
                <w:rFonts w:hint="eastAsia"/>
                <w:highlight w:val="none"/>
                <w:lang w:val="en-US" w:eastAsia="zh-CN"/>
              </w:rPr>
              <w:t>关于修订《董事会议事规则》的议案</w:t>
            </w:r>
          </w:p>
        </w:tc>
        <w:tc>
          <w:tcPr>
            <w:tcW w:w="2090" w:type="dxa"/>
            <w:shd w:val="clear" w:color="auto" w:fill="auto"/>
            <w:vAlign w:val="center"/>
          </w:tcPr>
          <w:p w14:paraId="6AACD72D">
            <w:pPr>
              <w:jc w:val="center"/>
              <w:rPr>
                <w:rFonts w:ascii="宋体" w:hAnsi="宋体" w:cs="宋体"/>
                <w:bCs/>
                <w:color w:val="auto"/>
                <w:szCs w:val="21"/>
                <w:highlight w:val="none"/>
              </w:rPr>
            </w:pPr>
            <w:r>
              <w:rPr>
                <w:rFonts w:hint="eastAsia" w:ascii="宋体" w:hAnsi="宋体" w:cs="宋体"/>
                <w:color w:val="auto"/>
                <w:szCs w:val="21"/>
                <w:highlight w:val="none"/>
              </w:rPr>
              <w:t>√</w:t>
            </w:r>
          </w:p>
        </w:tc>
        <w:tc>
          <w:tcPr>
            <w:tcW w:w="450" w:type="dxa"/>
            <w:tcBorders>
              <w:top w:val="single" w:color="auto" w:sz="4" w:space="0"/>
              <w:left w:val="single" w:color="auto" w:sz="4" w:space="0"/>
              <w:bottom w:val="single" w:color="auto" w:sz="4" w:space="0"/>
              <w:right w:val="single" w:color="auto" w:sz="4" w:space="0"/>
            </w:tcBorders>
            <w:vAlign w:val="center"/>
          </w:tcPr>
          <w:p w14:paraId="03C7D68F">
            <w:pPr>
              <w:jc w:val="center"/>
              <w:rPr>
                <w:rFonts w:ascii="宋体" w:hAnsi="宋体" w:cs="宋体"/>
                <w:bCs/>
                <w:color w:val="auto"/>
                <w:szCs w:val="21"/>
                <w:highlight w:val="none"/>
              </w:rPr>
            </w:pPr>
          </w:p>
        </w:tc>
        <w:tc>
          <w:tcPr>
            <w:tcW w:w="382" w:type="dxa"/>
            <w:tcBorders>
              <w:top w:val="single" w:color="auto" w:sz="4" w:space="0"/>
              <w:left w:val="single" w:color="auto" w:sz="4" w:space="0"/>
              <w:bottom w:val="single" w:color="auto" w:sz="4" w:space="0"/>
              <w:right w:val="single" w:color="auto" w:sz="4" w:space="0"/>
            </w:tcBorders>
            <w:vAlign w:val="center"/>
          </w:tcPr>
          <w:p w14:paraId="247ECD12">
            <w:pPr>
              <w:jc w:val="center"/>
              <w:rPr>
                <w:rFonts w:ascii="宋体" w:hAnsi="宋体" w:cs="宋体"/>
                <w:bCs/>
                <w:color w:val="auto"/>
                <w:szCs w:val="21"/>
                <w:highlight w:val="none"/>
              </w:rPr>
            </w:pPr>
          </w:p>
        </w:tc>
        <w:tc>
          <w:tcPr>
            <w:tcW w:w="385" w:type="dxa"/>
            <w:tcBorders>
              <w:top w:val="single" w:color="auto" w:sz="4" w:space="0"/>
              <w:left w:val="single" w:color="auto" w:sz="4" w:space="0"/>
              <w:bottom w:val="single" w:color="auto" w:sz="4" w:space="0"/>
              <w:right w:val="single" w:color="auto" w:sz="4" w:space="0"/>
            </w:tcBorders>
            <w:vAlign w:val="center"/>
          </w:tcPr>
          <w:p w14:paraId="2F8DE9F5">
            <w:pPr>
              <w:jc w:val="center"/>
              <w:rPr>
                <w:rFonts w:ascii="宋体" w:hAnsi="宋体" w:cs="宋体"/>
                <w:bCs/>
                <w:color w:val="auto"/>
                <w:szCs w:val="21"/>
                <w:highlight w:val="none"/>
              </w:rPr>
            </w:pPr>
          </w:p>
        </w:tc>
      </w:tr>
      <w:tr w14:paraId="05AA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0" w:type="dxa"/>
            <w:shd w:val="clear" w:color="auto" w:fill="auto"/>
            <w:vAlign w:val="center"/>
          </w:tcPr>
          <w:p w14:paraId="25DE140D">
            <w:pPr>
              <w:jc w:val="center"/>
              <w:rPr>
                <w:rFonts w:ascii="宋体" w:hAnsi="宋体" w:cs="宋体"/>
                <w:b/>
                <w:color w:val="auto"/>
                <w:szCs w:val="21"/>
                <w:highlight w:val="none"/>
              </w:rPr>
            </w:pPr>
            <w:r>
              <w:rPr>
                <w:rFonts w:hint="eastAsia" w:ascii="宋体" w:hAnsi="宋体" w:cs="宋体"/>
                <w:b/>
                <w:color w:val="auto"/>
                <w:szCs w:val="21"/>
                <w:highlight w:val="none"/>
              </w:rPr>
              <w:t>2.02</w:t>
            </w:r>
          </w:p>
        </w:tc>
        <w:tc>
          <w:tcPr>
            <w:tcW w:w="5787" w:type="dxa"/>
            <w:shd w:val="clear" w:color="auto" w:fill="auto"/>
            <w:vAlign w:val="center"/>
          </w:tcPr>
          <w:p w14:paraId="53B3F968">
            <w:pPr>
              <w:rPr>
                <w:rFonts w:ascii="宋体" w:hAnsi="宋体" w:cs="宋体"/>
                <w:color w:val="auto"/>
                <w:szCs w:val="21"/>
                <w:highlight w:val="none"/>
              </w:rPr>
            </w:pPr>
            <w:r>
              <w:rPr>
                <w:rFonts w:hint="eastAsia"/>
                <w:highlight w:val="none"/>
                <w:lang w:val="en-US" w:eastAsia="zh-CN"/>
              </w:rPr>
              <w:t>关于修订《股东会议事规则》的议案</w:t>
            </w:r>
          </w:p>
        </w:tc>
        <w:tc>
          <w:tcPr>
            <w:tcW w:w="2090" w:type="dxa"/>
            <w:shd w:val="clear" w:color="auto" w:fill="auto"/>
            <w:vAlign w:val="center"/>
          </w:tcPr>
          <w:p w14:paraId="3A73FDF2">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450" w:type="dxa"/>
            <w:tcBorders>
              <w:top w:val="single" w:color="auto" w:sz="4" w:space="0"/>
              <w:left w:val="single" w:color="auto" w:sz="4" w:space="0"/>
              <w:bottom w:val="single" w:color="auto" w:sz="4" w:space="0"/>
              <w:right w:val="single" w:color="auto" w:sz="4" w:space="0"/>
            </w:tcBorders>
            <w:vAlign w:val="center"/>
          </w:tcPr>
          <w:p w14:paraId="0EE20DBA">
            <w:pPr>
              <w:jc w:val="center"/>
              <w:rPr>
                <w:rFonts w:ascii="宋体" w:hAnsi="宋体" w:cs="宋体"/>
                <w:bCs/>
                <w:color w:val="auto"/>
                <w:szCs w:val="21"/>
                <w:highlight w:val="none"/>
              </w:rPr>
            </w:pPr>
          </w:p>
        </w:tc>
        <w:tc>
          <w:tcPr>
            <w:tcW w:w="382" w:type="dxa"/>
            <w:tcBorders>
              <w:top w:val="single" w:color="auto" w:sz="4" w:space="0"/>
              <w:left w:val="single" w:color="auto" w:sz="4" w:space="0"/>
              <w:bottom w:val="single" w:color="auto" w:sz="4" w:space="0"/>
              <w:right w:val="single" w:color="auto" w:sz="4" w:space="0"/>
            </w:tcBorders>
            <w:vAlign w:val="center"/>
          </w:tcPr>
          <w:p w14:paraId="11353FC3">
            <w:pPr>
              <w:jc w:val="center"/>
              <w:rPr>
                <w:rFonts w:ascii="宋体" w:hAnsi="宋体" w:cs="宋体"/>
                <w:bCs/>
                <w:color w:val="auto"/>
                <w:szCs w:val="21"/>
                <w:highlight w:val="none"/>
              </w:rPr>
            </w:pPr>
          </w:p>
        </w:tc>
        <w:tc>
          <w:tcPr>
            <w:tcW w:w="385" w:type="dxa"/>
            <w:tcBorders>
              <w:top w:val="single" w:color="auto" w:sz="4" w:space="0"/>
              <w:left w:val="single" w:color="auto" w:sz="4" w:space="0"/>
              <w:bottom w:val="single" w:color="auto" w:sz="4" w:space="0"/>
              <w:right w:val="single" w:color="auto" w:sz="4" w:space="0"/>
            </w:tcBorders>
            <w:vAlign w:val="center"/>
          </w:tcPr>
          <w:p w14:paraId="42DBCF3E">
            <w:pPr>
              <w:jc w:val="center"/>
              <w:rPr>
                <w:rFonts w:ascii="宋体" w:hAnsi="宋体" w:cs="宋体"/>
                <w:bCs/>
                <w:color w:val="auto"/>
                <w:szCs w:val="21"/>
                <w:highlight w:val="none"/>
              </w:rPr>
            </w:pPr>
          </w:p>
        </w:tc>
      </w:tr>
      <w:tr w14:paraId="080C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0" w:type="dxa"/>
            <w:shd w:val="clear" w:color="auto" w:fill="auto"/>
            <w:vAlign w:val="center"/>
          </w:tcPr>
          <w:p w14:paraId="06CCFF34">
            <w:pPr>
              <w:jc w:val="center"/>
              <w:rPr>
                <w:rFonts w:ascii="宋体" w:hAnsi="宋体" w:cs="宋体"/>
                <w:b/>
                <w:color w:val="auto"/>
                <w:szCs w:val="21"/>
                <w:highlight w:val="none"/>
              </w:rPr>
            </w:pPr>
            <w:r>
              <w:rPr>
                <w:rFonts w:hint="eastAsia" w:ascii="宋体" w:hAnsi="宋体" w:cs="宋体"/>
                <w:b/>
                <w:color w:val="auto"/>
                <w:szCs w:val="21"/>
                <w:highlight w:val="none"/>
              </w:rPr>
              <w:t>2.03</w:t>
            </w:r>
          </w:p>
        </w:tc>
        <w:tc>
          <w:tcPr>
            <w:tcW w:w="5787" w:type="dxa"/>
            <w:shd w:val="clear" w:color="auto" w:fill="auto"/>
            <w:vAlign w:val="center"/>
          </w:tcPr>
          <w:p w14:paraId="016734C7">
            <w:pPr>
              <w:rPr>
                <w:rFonts w:ascii="宋体" w:hAnsi="宋体" w:cs="宋体"/>
                <w:color w:val="auto"/>
                <w:szCs w:val="21"/>
                <w:highlight w:val="none"/>
              </w:rPr>
            </w:pPr>
            <w:r>
              <w:rPr>
                <w:rFonts w:hint="eastAsia"/>
                <w:highlight w:val="none"/>
                <w:lang w:val="en-US" w:eastAsia="zh-CN"/>
              </w:rPr>
              <w:t>关于修订《独立董事制度》的议案</w:t>
            </w:r>
          </w:p>
        </w:tc>
        <w:tc>
          <w:tcPr>
            <w:tcW w:w="2090" w:type="dxa"/>
            <w:shd w:val="clear" w:color="auto" w:fill="auto"/>
            <w:vAlign w:val="center"/>
          </w:tcPr>
          <w:p w14:paraId="6F606353">
            <w:pPr>
              <w:jc w:val="center"/>
              <w:rPr>
                <w:rFonts w:ascii="宋体" w:hAnsi="宋体" w:cs="宋体"/>
                <w:bCs/>
                <w:color w:val="auto"/>
                <w:szCs w:val="21"/>
                <w:highlight w:val="none"/>
              </w:rPr>
            </w:pPr>
            <w:r>
              <w:rPr>
                <w:rFonts w:hint="eastAsia" w:ascii="宋体" w:hAnsi="宋体" w:cs="宋体"/>
                <w:color w:val="auto"/>
                <w:szCs w:val="21"/>
                <w:highlight w:val="none"/>
              </w:rPr>
              <w:t>√</w:t>
            </w:r>
          </w:p>
        </w:tc>
        <w:tc>
          <w:tcPr>
            <w:tcW w:w="450" w:type="dxa"/>
            <w:tcBorders>
              <w:top w:val="single" w:color="auto" w:sz="4" w:space="0"/>
              <w:left w:val="single" w:color="auto" w:sz="4" w:space="0"/>
              <w:bottom w:val="single" w:color="auto" w:sz="4" w:space="0"/>
              <w:right w:val="single" w:color="auto" w:sz="4" w:space="0"/>
            </w:tcBorders>
            <w:vAlign w:val="center"/>
          </w:tcPr>
          <w:p w14:paraId="5FCF475C">
            <w:pPr>
              <w:jc w:val="center"/>
              <w:rPr>
                <w:rFonts w:ascii="宋体" w:hAnsi="宋体" w:cs="宋体"/>
                <w:bCs/>
                <w:color w:val="auto"/>
                <w:szCs w:val="21"/>
                <w:highlight w:val="none"/>
              </w:rPr>
            </w:pPr>
          </w:p>
        </w:tc>
        <w:tc>
          <w:tcPr>
            <w:tcW w:w="382" w:type="dxa"/>
            <w:tcBorders>
              <w:top w:val="single" w:color="auto" w:sz="4" w:space="0"/>
              <w:left w:val="single" w:color="auto" w:sz="4" w:space="0"/>
              <w:bottom w:val="single" w:color="auto" w:sz="4" w:space="0"/>
              <w:right w:val="single" w:color="auto" w:sz="4" w:space="0"/>
            </w:tcBorders>
            <w:vAlign w:val="center"/>
          </w:tcPr>
          <w:p w14:paraId="2DF1827E">
            <w:pPr>
              <w:jc w:val="center"/>
              <w:rPr>
                <w:rFonts w:ascii="宋体" w:hAnsi="宋体" w:cs="宋体"/>
                <w:bCs/>
                <w:color w:val="auto"/>
                <w:szCs w:val="21"/>
                <w:highlight w:val="none"/>
              </w:rPr>
            </w:pPr>
          </w:p>
        </w:tc>
        <w:tc>
          <w:tcPr>
            <w:tcW w:w="385" w:type="dxa"/>
            <w:tcBorders>
              <w:top w:val="single" w:color="auto" w:sz="4" w:space="0"/>
              <w:left w:val="single" w:color="auto" w:sz="4" w:space="0"/>
              <w:bottom w:val="single" w:color="auto" w:sz="4" w:space="0"/>
              <w:right w:val="single" w:color="auto" w:sz="4" w:space="0"/>
            </w:tcBorders>
            <w:vAlign w:val="center"/>
          </w:tcPr>
          <w:p w14:paraId="2527EF18">
            <w:pPr>
              <w:jc w:val="center"/>
              <w:rPr>
                <w:rFonts w:ascii="宋体" w:hAnsi="宋体" w:cs="宋体"/>
                <w:bCs/>
                <w:color w:val="auto"/>
                <w:szCs w:val="21"/>
                <w:highlight w:val="none"/>
              </w:rPr>
            </w:pPr>
          </w:p>
        </w:tc>
      </w:tr>
      <w:tr w14:paraId="0322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0" w:type="dxa"/>
            <w:shd w:val="clear" w:color="auto" w:fill="auto"/>
            <w:vAlign w:val="center"/>
          </w:tcPr>
          <w:p w14:paraId="27ECB20F">
            <w:pPr>
              <w:jc w:val="center"/>
              <w:rPr>
                <w:rFonts w:ascii="宋体" w:hAnsi="宋体" w:cs="宋体"/>
                <w:b/>
                <w:color w:val="auto"/>
                <w:szCs w:val="21"/>
                <w:highlight w:val="none"/>
              </w:rPr>
            </w:pPr>
            <w:r>
              <w:rPr>
                <w:rFonts w:hint="eastAsia" w:ascii="宋体" w:hAnsi="宋体" w:cs="宋体"/>
                <w:b/>
                <w:color w:val="auto"/>
                <w:szCs w:val="21"/>
                <w:highlight w:val="none"/>
              </w:rPr>
              <w:t>2.04</w:t>
            </w:r>
          </w:p>
        </w:tc>
        <w:tc>
          <w:tcPr>
            <w:tcW w:w="5787" w:type="dxa"/>
            <w:shd w:val="clear" w:color="auto" w:fill="auto"/>
            <w:vAlign w:val="center"/>
          </w:tcPr>
          <w:p w14:paraId="3E77A82A">
            <w:pPr>
              <w:rPr>
                <w:rFonts w:ascii="宋体" w:hAnsi="宋体" w:cs="宋体"/>
                <w:color w:val="auto"/>
                <w:szCs w:val="21"/>
                <w:highlight w:val="none"/>
              </w:rPr>
            </w:pPr>
            <w:r>
              <w:rPr>
                <w:rFonts w:hint="eastAsia"/>
                <w:highlight w:val="none"/>
                <w:lang w:val="en-US" w:eastAsia="zh-CN"/>
              </w:rPr>
              <w:t>关于修订《募集资金管理办法》的议案</w:t>
            </w:r>
          </w:p>
        </w:tc>
        <w:tc>
          <w:tcPr>
            <w:tcW w:w="2090" w:type="dxa"/>
            <w:shd w:val="clear" w:color="auto" w:fill="auto"/>
            <w:vAlign w:val="center"/>
          </w:tcPr>
          <w:p w14:paraId="0F7B39E0">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450" w:type="dxa"/>
            <w:tcBorders>
              <w:top w:val="single" w:color="auto" w:sz="4" w:space="0"/>
              <w:left w:val="single" w:color="auto" w:sz="4" w:space="0"/>
              <w:bottom w:val="single" w:color="auto" w:sz="4" w:space="0"/>
              <w:right w:val="single" w:color="auto" w:sz="4" w:space="0"/>
            </w:tcBorders>
            <w:vAlign w:val="center"/>
          </w:tcPr>
          <w:p w14:paraId="056803AC">
            <w:pPr>
              <w:jc w:val="center"/>
              <w:rPr>
                <w:rFonts w:ascii="宋体" w:hAnsi="宋体" w:cs="宋体"/>
                <w:bCs/>
                <w:color w:val="auto"/>
                <w:szCs w:val="21"/>
                <w:highlight w:val="none"/>
              </w:rPr>
            </w:pPr>
          </w:p>
        </w:tc>
        <w:tc>
          <w:tcPr>
            <w:tcW w:w="382" w:type="dxa"/>
            <w:tcBorders>
              <w:top w:val="single" w:color="auto" w:sz="4" w:space="0"/>
              <w:left w:val="single" w:color="auto" w:sz="4" w:space="0"/>
              <w:bottom w:val="single" w:color="auto" w:sz="4" w:space="0"/>
              <w:right w:val="single" w:color="auto" w:sz="4" w:space="0"/>
            </w:tcBorders>
            <w:vAlign w:val="center"/>
          </w:tcPr>
          <w:p w14:paraId="026180EE">
            <w:pPr>
              <w:jc w:val="center"/>
              <w:rPr>
                <w:rFonts w:ascii="宋体" w:hAnsi="宋体" w:cs="宋体"/>
                <w:bCs/>
                <w:color w:val="auto"/>
                <w:szCs w:val="21"/>
                <w:highlight w:val="none"/>
              </w:rPr>
            </w:pPr>
          </w:p>
        </w:tc>
        <w:tc>
          <w:tcPr>
            <w:tcW w:w="385" w:type="dxa"/>
            <w:tcBorders>
              <w:top w:val="single" w:color="auto" w:sz="4" w:space="0"/>
              <w:left w:val="single" w:color="auto" w:sz="4" w:space="0"/>
              <w:bottom w:val="single" w:color="auto" w:sz="4" w:space="0"/>
              <w:right w:val="single" w:color="auto" w:sz="4" w:space="0"/>
            </w:tcBorders>
            <w:vAlign w:val="center"/>
          </w:tcPr>
          <w:p w14:paraId="719BDAB6">
            <w:pPr>
              <w:jc w:val="center"/>
              <w:rPr>
                <w:rFonts w:ascii="宋体" w:hAnsi="宋体" w:cs="宋体"/>
                <w:bCs/>
                <w:color w:val="auto"/>
                <w:szCs w:val="21"/>
                <w:highlight w:val="none"/>
              </w:rPr>
            </w:pPr>
          </w:p>
        </w:tc>
      </w:tr>
      <w:tr w14:paraId="72FA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0" w:type="dxa"/>
            <w:shd w:val="clear" w:color="auto" w:fill="auto"/>
            <w:vAlign w:val="center"/>
          </w:tcPr>
          <w:p w14:paraId="5411ED7E">
            <w:pPr>
              <w:jc w:val="center"/>
              <w:rPr>
                <w:rFonts w:ascii="宋体" w:hAnsi="宋体" w:cs="宋体"/>
                <w:b/>
                <w:color w:val="auto"/>
                <w:szCs w:val="21"/>
                <w:highlight w:val="none"/>
              </w:rPr>
            </w:pPr>
            <w:r>
              <w:rPr>
                <w:rFonts w:hint="eastAsia" w:ascii="宋体" w:hAnsi="宋体" w:cs="宋体"/>
                <w:b/>
                <w:color w:val="auto"/>
                <w:szCs w:val="21"/>
                <w:highlight w:val="none"/>
              </w:rPr>
              <w:t>2.05</w:t>
            </w:r>
          </w:p>
        </w:tc>
        <w:tc>
          <w:tcPr>
            <w:tcW w:w="5787" w:type="dxa"/>
            <w:shd w:val="clear" w:color="auto" w:fill="auto"/>
            <w:vAlign w:val="center"/>
          </w:tcPr>
          <w:p w14:paraId="4ED0D210">
            <w:pPr>
              <w:rPr>
                <w:rFonts w:ascii="宋体" w:hAnsi="宋体" w:cs="宋体"/>
                <w:color w:val="auto"/>
                <w:szCs w:val="21"/>
                <w:highlight w:val="none"/>
              </w:rPr>
            </w:pPr>
            <w:r>
              <w:rPr>
                <w:rFonts w:hint="eastAsia"/>
                <w:highlight w:val="none"/>
                <w:lang w:val="en-US" w:eastAsia="zh-CN"/>
              </w:rPr>
              <w:t>关于修订《关联交易规则》的议案</w:t>
            </w:r>
          </w:p>
        </w:tc>
        <w:tc>
          <w:tcPr>
            <w:tcW w:w="2090" w:type="dxa"/>
            <w:shd w:val="clear" w:color="auto" w:fill="auto"/>
            <w:vAlign w:val="center"/>
          </w:tcPr>
          <w:p w14:paraId="3C17A11B">
            <w:pPr>
              <w:jc w:val="center"/>
              <w:rPr>
                <w:rFonts w:ascii="宋体" w:hAnsi="宋体" w:cs="宋体"/>
                <w:bCs/>
                <w:color w:val="auto"/>
                <w:szCs w:val="21"/>
                <w:highlight w:val="none"/>
              </w:rPr>
            </w:pPr>
            <w:r>
              <w:rPr>
                <w:rFonts w:hint="eastAsia" w:ascii="宋体" w:hAnsi="宋体" w:cs="宋体"/>
                <w:color w:val="auto"/>
                <w:szCs w:val="21"/>
                <w:highlight w:val="none"/>
              </w:rPr>
              <w:t>√</w:t>
            </w:r>
          </w:p>
        </w:tc>
        <w:tc>
          <w:tcPr>
            <w:tcW w:w="450" w:type="dxa"/>
            <w:tcBorders>
              <w:top w:val="single" w:color="auto" w:sz="4" w:space="0"/>
              <w:left w:val="single" w:color="auto" w:sz="4" w:space="0"/>
              <w:bottom w:val="single" w:color="auto" w:sz="4" w:space="0"/>
              <w:right w:val="single" w:color="auto" w:sz="4" w:space="0"/>
            </w:tcBorders>
            <w:vAlign w:val="center"/>
          </w:tcPr>
          <w:p w14:paraId="718C54DC">
            <w:pPr>
              <w:jc w:val="center"/>
              <w:rPr>
                <w:rFonts w:ascii="宋体" w:hAnsi="宋体" w:cs="宋体"/>
                <w:bCs/>
                <w:color w:val="auto"/>
                <w:szCs w:val="21"/>
                <w:highlight w:val="none"/>
              </w:rPr>
            </w:pPr>
          </w:p>
        </w:tc>
        <w:tc>
          <w:tcPr>
            <w:tcW w:w="382" w:type="dxa"/>
            <w:tcBorders>
              <w:top w:val="single" w:color="auto" w:sz="4" w:space="0"/>
              <w:left w:val="single" w:color="auto" w:sz="4" w:space="0"/>
              <w:bottom w:val="single" w:color="auto" w:sz="4" w:space="0"/>
              <w:right w:val="single" w:color="auto" w:sz="4" w:space="0"/>
            </w:tcBorders>
            <w:vAlign w:val="center"/>
          </w:tcPr>
          <w:p w14:paraId="2FA063C6">
            <w:pPr>
              <w:jc w:val="center"/>
              <w:rPr>
                <w:rFonts w:ascii="宋体" w:hAnsi="宋体" w:cs="宋体"/>
                <w:bCs/>
                <w:color w:val="auto"/>
                <w:szCs w:val="21"/>
                <w:highlight w:val="none"/>
              </w:rPr>
            </w:pPr>
          </w:p>
        </w:tc>
        <w:tc>
          <w:tcPr>
            <w:tcW w:w="385" w:type="dxa"/>
            <w:tcBorders>
              <w:top w:val="single" w:color="auto" w:sz="4" w:space="0"/>
              <w:left w:val="single" w:color="auto" w:sz="4" w:space="0"/>
              <w:bottom w:val="single" w:color="auto" w:sz="4" w:space="0"/>
              <w:right w:val="single" w:color="auto" w:sz="4" w:space="0"/>
            </w:tcBorders>
            <w:vAlign w:val="center"/>
          </w:tcPr>
          <w:p w14:paraId="3720737A">
            <w:pPr>
              <w:jc w:val="center"/>
              <w:rPr>
                <w:rFonts w:ascii="宋体" w:hAnsi="宋体" w:cs="宋体"/>
                <w:bCs/>
                <w:color w:val="auto"/>
                <w:szCs w:val="21"/>
                <w:highlight w:val="none"/>
              </w:rPr>
            </w:pPr>
          </w:p>
        </w:tc>
      </w:tr>
    </w:tbl>
    <w:p w14:paraId="628FA67F">
      <w:pPr>
        <w:spacing w:line="360" w:lineRule="auto"/>
        <w:ind w:firstLine="480" w:firstLineChars="200"/>
        <w:rPr>
          <w:rFonts w:ascii="宋体" w:hAnsi="宋体" w:cs="宋体"/>
          <w:color w:val="auto"/>
          <w:sz w:val="24"/>
          <w:szCs w:val="24"/>
          <w:highlight w:val="none"/>
        </w:rPr>
      </w:pPr>
    </w:p>
    <w:p w14:paraId="17BF62E8">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委托人姓名或名称：                       </w:t>
      </w:r>
    </w:p>
    <w:p w14:paraId="24420ACA">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委托人身份证或营业执照号码：             </w:t>
      </w:r>
    </w:p>
    <w:p w14:paraId="14A4BD2E">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委托人持股数：                          </w:t>
      </w:r>
    </w:p>
    <w:p w14:paraId="0EFA405E">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委托人股票账号：                   </w:t>
      </w:r>
    </w:p>
    <w:p w14:paraId="31840188">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委托日期：                               </w:t>
      </w:r>
    </w:p>
    <w:p w14:paraId="303B9EC4">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授权委托有效期限：</w:t>
      </w:r>
    </w:p>
    <w:p w14:paraId="7A468F4E">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委托人签字或盖章：</w:t>
      </w:r>
    </w:p>
    <w:p w14:paraId="7FF495D3">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受托人签名：                             </w:t>
      </w:r>
    </w:p>
    <w:p w14:paraId="6524AE78">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受托人身份证号码：                 </w:t>
      </w:r>
    </w:p>
    <w:p w14:paraId="4B46244F">
      <w:pPr>
        <w:autoSpaceDE w:val="0"/>
        <w:autoSpaceDN w:val="0"/>
        <w:adjustRightInd w:val="0"/>
        <w:spacing w:line="360" w:lineRule="auto"/>
        <w:jc w:val="left"/>
        <w:rPr>
          <w:rFonts w:ascii="宋体" w:hAnsi="宋体" w:cs="宋体"/>
          <w:b/>
          <w:bCs/>
          <w:color w:val="auto"/>
          <w:kern w:val="0"/>
          <w:sz w:val="24"/>
          <w:szCs w:val="24"/>
          <w:highlight w:val="none"/>
        </w:rPr>
        <w:sectPr>
          <w:pgSz w:w="11906" w:h="16838"/>
          <w:pgMar w:top="1440" w:right="1800" w:bottom="1440" w:left="1800" w:header="851" w:footer="992" w:gutter="0"/>
          <w:cols w:space="720" w:num="1"/>
          <w:docGrid w:type="lines" w:linePitch="312" w:charSpace="0"/>
        </w:sectPr>
      </w:pPr>
    </w:p>
    <w:p w14:paraId="5CEBC80F">
      <w:pPr>
        <w:autoSpaceDE w:val="0"/>
        <w:autoSpaceDN w:val="0"/>
        <w:adjustRightInd w:val="0"/>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附件三：</w:t>
      </w:r>
    </w:p>
    <w:p w14:paraId="5C66CDBA">
      <w:pPr>
        <w:autoSpaceDE w:val="0"/>
        <w:autoSpaceDN w:val="0"/>
        <w:adjustRightInd w:val="0"/>
        <w:spacing w:line="360" w:lineRule="auto"/>
        <w:jc w:val="left"/>
        <w:rPr>
          <w:rFonts w:ascii="宋体" w:hAnsi="宋体" w:cs="宋体"/>
          <w:color w:val="auto"/>
          <w:kern w:val="0"/>
          <w:sz w:val="24"/>
          <w:szCs w:val="24"/>
          <w:highlight w:val="none"/>
        </w:rPr>
      </w:pPr>
    </w:p>
    <w:p w14:paraId="6EEF3016">
      <w:pPr>
        <w:autoSpaceDE w:val="0"/>
        <w:autoSpaceDN w:val="0"/>
        <w:adjustRightInd w:val="0"/>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福建广生堂药业股份有限公司</w:t>
      </w:r>
    </w:p>
    <w:p w14:paraId="69149BD3">
      <w:pPr>
        <w:adjustRightInd w:val="0"/>
        <w:jc w:val="center"/>
        <w:rPr>
          <w:rFonts w:ascii="宋体" w:hAnsi="宋体" w:cs="宋体"/>
          <w:b/>
          <w:bCs/>
          <w:color w:val="auto"/>
          <w:kern w:val="0"/>
          <w:szCs w:val="21"/>
          <w:highlight w:val="none"/>
        </w:rPr>
      </w:pPr>
      <w:r>
        <w:rPr>
          <w:rFonts w:hint="eastAsia" w:ascii="宋体" w:hAnsi="宋体" w:cs="宋体"/>
          <w:b/>
          <w:bCs/>
          <w:color w:val="auto"/>
          <w:kern w:val="0"/>
          <w:sz w:val="28"/>
          <w:szCs w:val="28"/>
          <w:highlight w:val="none"/>
        </w:rPr>
        <w:t>202</w:t>
      </w:r>
      <w:r>
        <w:rPr>
          <w:rFonts w:ascii="宋体" w:hAnsi="宋体" w:cs="宋体"/>
          <w:b/>
          <w:bCs/>
          <w:color w:val="auto"/>
          <w:kern w:val="0"/>
          <w:sz w:val="28"/>
          <w:szCs w:val="28"/>
          <w:highlight w:val="none"/>
        </w:rPr>
        <w:t>5</w:t>
      </w:r>
      <w:r>
        <w:rPr>
          <w:rFonts w:hint="eastAsia" w:ascii="宋体" w:hAnsi="宋体" w:cs="宋体"/>
          <w:b/>
          <w:bCs/>
          <w:color w:val="auto"/>
          <w:kern w:val="0"/>
          <w:sz w:val="28"/>
          <w:szCs w:val="28"/>
          <w:highlight w:val="none"/>
        </w:rPr>
        <w:t>年第</w:t>
      </w:r>
      <w:r>
        <w:rPr>
          <w:rFonts w:hint="eastAsia" w:ascii="宋体" w:hAnsi="宋体" w:cs="宋体"/>
          <w:b/>
          <w:bCs/>
          <w:color w:val="auto"/>
          <w:kern w:val="0"/>
          <w:sz w:val="28"/>
          <w:szCs w:val="28"/>
          <w:highlight w:val="none"/>
          <w:lang w:val="en-US" w:eastAsia="zh-CN"/>
        </w:rPr>
        <w:t>三</w:t>
      </w:r>
      <w:r>
        <w:rPr>
          <w:rFonts w:hint="eastAsia" w:ascii="宋体" w:hAnsi="宋体" w:cs="宋体"/>
          <w:b/>
          <w:bCs/>
          <w:color w:val="auto"/>
          <w:kern w:val="0"/>
          <w:sz w:val="28"/>
          <w:szCs w:val="28"/>
          <w:highlight w:val="none"/>
        </w:rPr>
        <w:t>次临时股东大会参会股东登记表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0"/>
        <w:gridCol w:w="6345"/>
      </w:tblGrid>
      <w:tr w14:paraId="6951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0" w:type="dxa"/>
            <w:vAlign w:val="center"/>
          </w:tcPr>
          <w:p w14:paraId="56AAD3C7">
            <w:pPr>
              <w:autoSpaceDE w:val="0"/>
              <w:autoSpaceDN w:val="0"/>
              <w:adjustRightInd w:val="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姓名/公司名称</w:t>
            </w:r>
          </w:p>
        </w:tc>
        <w:tc>
          <w:tcPr>
            <w:tcW w:w="6345" w:type="dxa"/>
            <w:vAlign w:val="center"/>
          </w:tcPr>
          <w:p w14:paraId="728B693C">
            <w:pPr>
              <w:autoSpaceDE w:val="0"/>
              <w:autoSpaceDN w:val="0"/>
              <w:adjustRightInd w:val="0"/>
              <w:spacing w:line="360" w:lineRule="auto"/>
              <w:jc w:val="center"/>
              <w:rPr>
                <w:rFonts w:ascii="宋体" w:hAnsi="宋体" w:cs="宋体"/>
                <w:color w:val="auto"/>
                <w:kern w:val="0"/>
                <w:sz w:val="24"/>
                <w:szCs w:val="24"/>
                <w:highlight w:val="none"/>
              </w:rPr>
            </w:pPr>
          </w:p>
        </w:tc>
      </w:tr>
      <w:tr w14:paraId="6964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0" w:type="dxa"/>
            <w:vAlign w:val="center"/>
          </w:tcPr>
          <w:p w14:paraId="651AF263">
            <w:pPr>
              <w:autoSpaceDE w:val="0"/>
              <w:autoSpaceDN w:val="0"/>
              <w:adjustRightInd w:val="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身份证/营业执照号码</w:t>
            </w:r>
          </w:p>
        </w:tc>
        <w:tc>
          <w:tcPr>
            <w:tcW w:w="6345" w:type="dxa"/>
            <w:vAlign w:val="center"/>
          </w:tcPr>
          <w:p w14:paraId="55D1B6F3">
            <w:pPr>
              <w:autoSpaceDE w:val="0"/>
              <w:autoSpaceDN w:val="0"/>
              <w:adjustRightInd w:val="0"/>
              <w:spacing w:line="360" w:lineRule="auto"/>
              <w:jc w:val="center"/>
              <w:rPr>
                <w:rFonts w:ascii="宋体" w:hAnsi="宋体" w:cs="宋体"/>
                <w:color w:val="auto"/>
                <w:kern w:val="0"/>
                <w:sz w:val="24"/>
                <w:szCs w:val="24"/>
                <w:highlight w:val="none"/>
              </w:rPr>
            </w:pPr>
          </w:p>
        </w:tc>
      </w:tr>
      <w:tr w14:paraId="087C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0" w:type="dxa"/>
            <w:vAlign w:val="center"/>
          </w:tcPr>
          <w:p w14:paraId="4DA44D15">
            <w:pPr>
              <w:autoSpaceDE w:val="0"/>
              <w:autoSpaceDN w:val="0"/>
              <w:adjustRightInd w:val="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股东账户卡号</w:t>
            </w:r>
          </w:p>
        </w:tc>
        <w:tc>
          <w:tcPr>
            <w:tcW w:w="6345" w:type="dxa"/>
            <w:vAlign w:val="center"/>
          </w:tcPr>
          <w:p w14:paraId="332E0B80">
            <w:pPr>
              <w:autoSpaceDE w:val="0"/>
              <w:autoSpaceDN w:val="0"/>
              <w:adjustRightInd w:val="0"/>
              <w:spacing w:line="360" w:lineRule="auto"/>
              <w:jc w:val="center"/>
              <w:rPr>
                <w:rFonts w:ascii="宋体" w:hAnsi="宋体" w:cs="宋体"/>
                <w:color w:val="auto"/>
                <w:kern w:val="0"/>
                <w:sz w:val="24"/>
                <w:szCs w:val="24"/>
                <w:highlight w:val="none"/>
              </w:rPr>
            </w:pPr>
          </w:p>
        </w:tc>
      </w:tr>
      <w:tr w14:paraId="066A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0" w:type="dxa"/>
            <w:vAlign w:val="center"/>
          </w:tcPr>
          <w:p w14:paraId="18C24B53">
            <w:pPr>
              <w:autoSpaceDE w:val="0"/>
              <w:autoSpaceDN w:val="0"/>
              <w:adjustRightInd w:val="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持股数量</w:t>
            </w:r>
          </w:p>
        </w:tc>
        <w:tc>
          <w:tcPr>
            <w:tcW w:w="6345" w:type="dxa"/>
            <w:vAlign w:val="center"/>
          </w:tcPr>
          <w:p w14:paraId="70D06972">
            <w:pPr>
              <w:autoSpaceDE w:val="0"/>
              <w:autoSpaceDN w:val="0"/>
              <w:adjustRightInd w:val="0"/>
              <w:spacing w:line="360" w:lineRule="auto"/>
              <w:jc w:val="center"/>
              <w:rPr>
                <w:rFonts w:ascii="宋体" w:hAnsi="宋体" w:cs="宋体"/>
                <w:color w:val="auto"/>
                <w:kern w:val="0"/>
                <w:sz w:val="24"/>
                <w:szCs w:val="24"/>
                <w:highlight w:val="none"/>
              </w:rPr>
            </w:pPr>
          </w:p>
        </w:tc>
      </w:tr>
      <w:tr w14:paraId="1836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0" w:type="dxa"/>
            <w:vAlign w:val="center"/>
          </w:tcPr>
          <w:p w14:paraId="30697E69">
            <w:pPr>
              <w:autoSpaceDE w:val="0"/>
              <w:autoSpaceDN w:val="0"/>
              <w:adjustRightInd w:val="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w:t>
            </w:r>
          </w:p>
        </w:tc>
        <w:tc>
          <w:tcPr>
            <w:tcW w:w="6345" w:type="dxa"/>
            <w:vAlign w:val="center"/>
          </w:tcPr>
          <w:p w14:paraId="5A235311">
            <w:pPr>
              <w:autoSpaceDE w:val="0"/>
              <w:autoSpaceDN w:val="0"/>
              <w:adjustRightInd w:val="0"/>
              <w:spacing w:line="360" w:lineRule="auto"/>
              <w:jc w:val="center"/>
              <w:rPr>
                <w:rFonts w:ascii="宋体" w:hAnsi="宋体" w:cs="宋体"/>
                <w:color w:val="auto"/>
                <w:kern w:val="0"/>
                <w:sz w:val="24"/>
                <w:szCs w:val="24"/>
                <w:highlight w:val="none"/>
              </w:rPr>
            </w:pPr>
          </w:p>
        </w:tc>
      </w:tr>
      <w:tr w14:paraId="79F0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0" w:type="dxa"/>
            <w:vAlign w:val="center"/>
          </w:tcPr>
          <w:p w14:paraId="00C998C0">
            <w:pPr>
              <w:autoSpaceDE w:val="0"/>
              <w:autoSpaceDN w:val="0"/>
              <w:adjustRightInd w:val="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电子邮箱</w:t>
            </w:r>
          </w:p>
        </w:tc>
        <w:tc>
          <w:tcPr>
            <w:tcW w:w="6345" w:type="dxa"/>
            <w:vAlign w:val="center"/>
          </w:tcPr>
          <w:p w14:paraId="50F59F64">
            <w:pPr>
              <w:autoSpaceDE w:val="0"/>
              <w:autoSpaceDN w:val="0"/>
              <w:adjustRightInd w:val="0"/>
              <w:spacing w:line="360" w:lineRule="auto"/>
              <w:jc w:val="center"/>
              <w:rPr>
                <w:rFonts w:ascii="宋体" w:hAnsi="宋体" w:cs="宋体"/>
                <w:color w:val="auto"/>
                <w:kern w:val="0"/>
                <w:sz w:val="24"/>
                <w:szCs w:val="24"/>
                <w:highlight w:val="none"/>
              </w:rPr>
            </w:pPr>
          </w:p>
        </w:tc>
      </w:tr>
      <w:tr w14:paraId="0605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0" w:type="dxa"/>
            <w:vAlign w:val="center"/>
          </w:tcPr>
          <w:p w14:paraId="21641EE7">
            <w:pPr>
              <w:autoSpaceDE w:val="0"/>
              <w:autoSpaceDN w:val="0"/>
              <w:adjustRightInd w:val="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联系地址</w:t>
            </w:r>
          </w:p>
        </w:tc>
        <w:tc>
          <w:tcPr>
            <w:tcW w:w="6345" w:type="dxa"/>
            <w:vAlign w:val="center"/>
          </w:tcPr>
          <w:p w14:paraId="19023DB1">
            <w:pPr>
              <w:autoSpaceDE w:val="0"/>
              <w:autoSpaceDN w:val="0"/>
              <w:adjustRightInd w:val="0"/>
              <w:spacing w:line="360" w:lineRule="auto"/>
              <w:jc w:val="center"/>
              <w:rPr>
                <w:rFonts w:ascii="宋体" w:hAnsi="宋体" w:cs="宋体"/>
                <w:color w:val="auto"/>
                <w:kern w:val="0"/>
                <w:sz w:val="24"/>
                <w:szCs w:val="24"/>
                <w:highlight w:val="none"/>
              </w:rPr>
            </w:pPr>
          </w:p>
        </w:tc>
      </w:tr>
      <w:tr w14:paraId="3353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0" w:type="dxa"/>
            <w:vAlign w:val="center"/>
          </w:tcPr>
          <w:p w14:paraId="17ED5AFE">
            <w:pPr>
              <w:autoSpaceDE w:val="0"/>
              <w:autoSpaceDN w:val="0"/>
              <w:adjustRightInd w:val="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邮编</w:t>
            </w:r>
          </w:p>
        </w:tc>
        <w:tc>
          <w:tcPr>
            <w:tcW w:w="6345" w:type="dxa"/>
            <w:vAlign w:val="center"/>
          </w:tcPr>
          <w:p w14:paraId="07C8899C">
            <w:pPr>
              <w:autoSpaceDE w:val="0"/>
              <w:autoSpaceDN w:val="0"/>
              <w:adjustRightInd w:val="0"/>
              <w:spacing w:line="360" w:lineRule="auto"/>
              <w:jc w:val="center"/>
              <w:rPr>
                <w:rFonts w:ascii="宋体" w:hAnsi="宋体" w:cs="宋体"/>
                <w:color w:val="auto"/>
                <w:kern w:val="0"/>
                <w:sz w:val="24"/>
                <w:szCs w:val="24"/>
                <w:highlight w:val="none"/>
              </w:rPr>
            </w:pPr>
          </w:p>
        </w:tc>
      </w:tr>
      <w:tr w14:paraId="16DB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0" w:type="dxa"/>
            <w:vAlign w:val="center"/>
          </w:tcPr>
          <w:p w14:paraId="324B5DA7">
            <w:pPr>
              <w:autoSpaceDE w:val="0"/>
              <w:autoSpaceDN w:val="0"/>
              <w:adjustRightInd w:val="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是否本人参会</w:t>
            </w:r>
          </w:p>
        </w:tc>
        <w:tc>
          <w:tcPr>
            <w:tcW w:w="6345" w:type="dxa"/>
            <w:vAlign w:val="center"/>
          </w:tcPr>
          <w:p w14:paraId="10548E16">
            <w:pPr>
              <w:autoSpaceDE w:val="0"/>
              <w:autoSpaceDN w:val="0"/>
              <w:adjustRightInd w:val="0"/>
              <w:spacing w:line="360" w:lineRule="auto"/>
              <w:jc w:val="center"/>
              <w:rPr>
                <w:rFonts w:ascii="宋体" w:hAnsi="宋体" w:cs="宋体"/>
                <w:color w:val="auto"/>
                <w:kern w:val="0"/>
                <w:sz w:val="24"/>
                <w:szCs w:val="24"/>
                <w:highlight w:val="none"/>
              </w:rPr>
            </w:pPr>
          </w:p>
        </w:tc>
      </w:tr>
      <w:tr w14:paraId="2CF2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0" w:type="dxa"/>
            <w:vAlign w:val="center"/>
          </w:tcPr>
          <w:p w14:paraId="02C539F7">
            <w:pPr>
              <w:autoSpaceDE w:val="0"/>
              <w:autoSpaceDN w:val="0"/>
              <w:adjustRightInd w:val="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6345" w:type="dxa"/>
            <w:vAlign w:val="center"/>
          </w:tcPr>
          <w:p w14:paraId="634D70ED">
            <w:pPr>
              <w:autoSpaceDE w:val="0"/>
              <w:autoSpaceDN w:val="0"/>
              <w:adjustRightInd w:val="0"/>
              <w:spacing w:line="360" w:lineRule="auto"/>
              <w:jc w:val="center"/>
              <w:rPr>
                <w:rFonts w:ascii="宋体" w:hAnsi="宋体" w:cs="宋体"/>
                <w:color w:val="auto"/>
                <w:kern w:val="0"/>
                <w:sz w:val="24"/>
                <w:szCs w:val="24"/>
                <w:highlight w:val="none"/>
              </w:rPr>
            </w:pPr>
          </w:p>
        </w:tc>
      </w:tr>
    </w:tbl>
    <w:p w14:paraId="5E60C99A">
      <w:pPr>
        <w:adjustRightInd w:val="0"/>
        <w:snapToGrid w:val="0"/>
        <w:spacing w:line="360" w:lineRule="auto"/>
        <w:ind w:right="1120"/>
        <w:rPr>
          <w:rFonts w:ascii="宋体" w:hAnsi="宋体" w:cs="宋体"/>
          <w:color w:val="auto"/>
          <w:sz w:val="24"/>
          <w:szCs w:val="24"/>
          <w:highlight w:val="none"/>
        </w:rPr>
      </w:pPr>
    </w:p>
    <w:p w14:paraId="4222F5B5">
      <w:pPr>
        <w:rPr>
          <w:rFonts w:ascii="宋体" w:hAnsi="宋体" w:cs="宋体"/>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6F097">
    <w:pPr>
      <w:pStyle w:val="7"/>
      <w:jc w:val="center"/>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6766">
    <w:pPr>
      <w:pStyle w:val="8"/>
      <w:tabs>
        <w:tab w:val="right" w:pos="9214"/>
        <w:tab w:val="clear" w:pos="8306"/>
      </w:tabs>
      <w:ind w:left="-1277" w:leftChars="-608" w:right="-1331" w:rightChars="-634" w:firstLine="1"/>
    </w:pPr>
    <w:r>
      <w:pict>
        <v:shape id="WordPictureWatermark3069298" o:spid="_x0000_s3074"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通用信笺底板20140220"/>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33C95">
    <w:pPr>
      <w:pStyle w:val="8"/>
    </w:pPr>
    <w:r>
      <w:pict>
        <v:shape id="WordPictureWatermark3069297" o:spid="_x0000_s3075"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通用信笺底板20140220"/>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C9670">
    <w:pPr>
      <w:pStyle w:val="8"/>
    </w:pPr>
    <w:r>
      <w:pict>
        <v:shape id="WordPictureWatermark3069296" o:spid="_x0000_s3073"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通用信笺底板20140220"/>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4MDAzNjNiM2EwYjNjY2VkN2I2ZWY4OTg5YTA1ZWYifQ=="/>
    <w:docVar w:name="metasota_documentID" w:val="8594939821182570496"/>
  </w:docVars>
  <w:rsids>
    <w:rsidRoot w:val="00172A27"/>
    <w:rsid w:val="00005392"/>
    <w:rsid w:val="00033937"/>
    <w:rsid w:val="000674DE"/>
    <w:rsid w:val="00082C74"/>
    <w:rsid w:val="00096F9A"/>
    <w:rsid w:val="000A30FD"/>
    <w:rsid w:val="000B259C"/>
    <w:rsid w:val="000F41DC"/>
    <w:rsid w:val="000F51AB"/>
    <w:rsid w:val="00114BAF"/>
    <w:rsid w:val="00115889"/>
    <w:rsid w:val="00126633"/>
    <w:rsid w:val="00135B12"/>
    <w:rsid w:val="00141937"/>
    <w:rsid w:val="00172A27"/>
    <w:rsid w:val="00180CCF"/>
    <w:rsid w:val="001A3026"/>
    <w:rsid w:val="001A3EDE"/>
    <w:rsid w:val="001A5F61"/>
    <w:rsid w:val="001B6C58"/>
    <w:rsid w:val="001C6121"/>
    <w:rsid w:val="001F6F1A"/>
    <w:rsid w:val="0020418A"/>
    <w:rsid w:val="0021331C"/>
    <w:rsid w:val="002301F2"/>
    <w:rsid w:val="002652B3"/>
    <w:rsid w:val="00281E71"/>
    <w:rsid w:val="00293CF0"/>
    <w:rsid w:val="002A6767"/>
    <w:rsid w:val="002B02E5"/>
    <w:rsid w:val="002B45CF"/>
    <w:rsid w:val="002E7E86"/>
    <w:rsid w:val="002F1DF7"/>
    <w:rsid w:val="002F6938"/>
    <w:rsid w:val="0030109C"/>
    <w:rsid w:val="003138FE"/>
    <w:rsid w:val="003225AE"/>
    <w:rsid w:val="00322A41"/>
    <w:rsid w:val="00331307"/>
    <w:rsid w:val="003337DE"/>
    <w:rsid w:val="00340797"/>
    <w:rsid w:val="00363C49"/>
    <w:rsid w:val="00376191"/>
    <w:rsid w:val="00380B6E"/>
    <w:rsid w:val="003C796A"/>
    <w:rsid w:val="003E51AF"/>
    <w:rsid w:val="003F7DAF"/>
    <w:rsid w:val="00452EC9"/>
    <w:rsid w:val="004731AF"/>
    <w:rsid w:val="00484546"/>
    <w:rsid w:val="00492D14"/>
    <w:rsid w:val="004A6E0A"/>
    <w:rsid w:val="004C65EB"/>
    <w:rsid w:val="004C7FBE"/>
    <w:rsid w:val="004D056D"/>
    <w:rsid w:val="004D18E6"/>
    <w:rsid w:val="004D6979"/>
    <w:rsid w:val="004D6EA4"/>
    <w:rsid w:val="004E07FF"/>
    <w:rsid w:val="00504B46"/>
    <w:rsid w:val="00504DD4"/>
    <w:rsid w:val="00532AA5"/>
    <w:rsid w:val="00547EA4"/>
    <w:rsid w:val="00552200"/>
    <w:rsid w:val="005B03FA"/>
    <w:rsid w:val="00666EB8"/>
    <w:rsid w:val="00681BB0"/>
    <w:rsid w:val="0069765B"/>
    <w:rsid w:val="006C1330"/>
    <w:rsid w:val="006C13BE"/>
    <w:rsid w:val="006C4F6F"/>
    <w:rsid w:val="006D241C"/>
    <w:rsid w:val="006E30F8"/>
    <w:rsid w:val="006F45B5"/>
    <w:rsid w:val="00702E6C"/>
    <w:rsid w:val="007064C2"/>
    <w:rsid w:val="00715492"/>
    <w:rsid w:val="00726FBF"/>
    <w:rsid w:val="00731068"/>
    <w:rsid w:val="007460C7"/>
    <w:rsid w:val="007542F9"/>
    <w:rsid w:val="007938AB"/>
    <w:rsid w:val="007A0250"/>
    <w:rsid w:val="007A77A6"/>
    <w:rsid w:val="007B10CE"/>
    <w:rsid w:val="007C6B1A"/>
    <w:rsid w:val="007D07FC"/>
    <w:rsid w:val="007E6050"/>
    <w:rsid w:val="008518E9"/>
    <w:rsid w:val="0085490A"/>
    <w:rsid w:val="0085622B"/>
    <w:rsid w:val="00883650"/>
    <w:rsid w:val="008926A5"/>
    <w:rsid w:val="008A6AAD"/>
    <w:rsid w:val="008A7399"/>
    <w:rsid w:val="008B7530"/>
    <w:rsid w:val="008C27D2"/>
    <w:rsid w:val="008D4935"/>
    <w:rsid w:val="008D666C"/>
    <w:rsid w:val="008D7BD8"/>
    <w:rsid w:val="008D7F1A"/>
    <w:rsid w:val="008D7FFA"/>
    <w:rsid w:val="008F51F1"/>
    <w:rsid w:val="00905D70"/>
    <w:rsid w:val="00923C7A"/>
    <w:rsid w:val="009327CB"/>
    <w:rsid w:val="00960FEB"/>
    <w:rsid w:val="00977C2B"/>
    <w:rsid w:val="009837D0"/>
    <w:rsid w:val="009838AD"/>
    <w:rsid w:val="00987010"/>
    <w:rsid w:val="009C49FF"/>
    <w:rsid w:val="009E71F5"/>
    <w:rsid w:val="009E7B79"/>
    <w:rsid w:val="00A06B26"/>
    <w:rsid w:val="00A13724"/>
    <w:rsid w:val="00A16E7A"/>
    <w:rsid w:val="00A22870"/>
    <w:rsid w:val="00A318C4"/>
    <w:rsid w:val="00A5363E"/>
    <w:rsid w:val="00A65775"/>
    <w:rsid w:val="00A66FA3"/>
    <w:rsid w:val="00A728EE"/>
    <w:rsid w:val="00A77552"/>
    <w:rsid w:val="00A81536"/>
    <w:rsid w:val="00A836A2"/>
    <w:rsid w:val="00AA2820"/>
    <w:rsid w:val="00AA4624"/>
    <w:rsid w:val="00AA7C2A"/>
    <w:rsid w:val="00AE399B"/>
    <w:rsid w:val="00AF1AA1"/>
    <w:rsid w:val="00AF2B29"/>
    <w:rsid w:val="00B2434B"/>
    <w:rsid w:val="00B45789"/>
    <w:rsid w:val="00B67952"/>
    <w:rsid w:val="00B852D5"/>
    <w:rsid w:val="00BA17B0"/>
    <w:rsid w:val="00BB5BF3"/>
    <w:rsid w:val="00BD7CC5"/>
    <w:rsid w:val="00BE6B2C"/>
    <w:rsid w:val="00BF4C95"/>
    <w:rsid w:val="00C035EE"/>
    <w:rsid w:val="00C17ED4"/>
    <w:rsid w:val="00C3253A"/>
    <w:rsid w:val="00C520BC"/>
    <w:rsid w:val="00C53306"/>
    <w:rsid w:val="00C72AC9"/>
    <w:rsid w:val="00C75DD5"/>
    <w:rsid w:val="00C828CF"/>
    <w:rsid w:val="00CC2265"/>
    <w:rsid w:val="00CD4982"/>
    <w:rsid w:val="00D001AA"/>
    <w:rsid w:val="00D251ED"/>
    <w:rsid w:val="00D351DC"/>
    <w:rsid w:val="00D47D3E"/>
    <w:rsid w:val="00D52049"/>
    <w:rsid w:val="00D703DF"/>
    <w:rsid w:val="00D749CE"/>
    <w:rsid w:val="00D9291D"/>
    <w:rsid w:val="00DC2C8A"/>
    <w:rsid w:val="00DE07E2"/>
    <w:rsid w:val="00E02832"/>
    <w:rsid w:val="00E143E7"/>
    <w:rsid w:val="00E1481C"/>
    <w:rsid w:val="00E15E02"/>
    <w:rsid w:val="00E376C8"/>
    <w:rsid w:val="00E47A10"/>
    <w:rsid w:val="00E541F2"/>
    <w:rsid w:val="00E67E08"/>
    <w:rsid w:val="00E70502"/>
    <w:rsid w:val="00E7336A"/>
    <w:rsid w:val="00E91055"/>
    <w:rsid w:val="00EA1B42"/>
    <w:rsid w:val="00ED6DBC"/>
    <w:rsid w:val="00EE4FB1"/>
    <w:rsid w:val="00EF4672"/>
    <w:rsid w:val="00F0345F"/>
    <w:rsid w:val="00F223E1"/>
    <w:rsid w:val="00F45E0C"/>
    <w:rsid w:val="00F64DB5"/>
    <w:rsid w:val="00F65DE9"/>
    <w:rsid w:val="00F74B90"/>
    <w:rsid w:val="00F7624A"/>
    <w:rsid w:val="00F811F1"/>
    <w:rsid w:val="00FA0918"/>
    <w:rsid w:val="00FA6DD1"/>
    <w:rsid w:val="00FD6047"/>
    <w:rsid w:val="00FF2BB9"/>
    <w:rsid w:val="0136718A"/>
    <w:rsid w:val="01C247F0"/>
    <w:rsid w:val="01EE7C08"/>
    <w:rsid w:val="01F062A0"/>
    <w:rsid w:val="020F0807"/>
    <w:rsid w:val="025A704C"/>
    <w:rsid w:val="02B473BF"/>
    <w:rsid w:val="02EE3C38"/>
    <w:rsid w:val="03A34D06"/>
    <w:rsid w:val="040327B2"/>
    <w:rsid w:val="04CC5A6D"/>
    <w:rsid w:val="050C3B6C"/>
    <w:rsid w:val="059F4A3B"/>
    <w:rsid w:val="05B07DC9"/>
    <w:rsid w:val="06BB7496"/>
    <w:rsid w:val="07062D4D"/>
    <w:rsid w:val="07747F4A"/>
    <w:rsid w:val="080B2B96"/>
    <w:rsid w:val="091B4386"/>
    <w:rsid w:val="09DE12BD"/>
    <w:rsid w:val="09F337E1"/>
    <w:rsid w:val="0A011554"/>
    <w:rsid w:val="0A2E2341"/>
    <w:rsid w:val="0B2D2264"/>
    <w:rsid w:val="0B480315"/>
    <w:rsid w:val="0B49062E"/>
    <w:rsid w:val="0DA26405"/>
    <w:rsid w:val="0EBE46BE"/>
    <w:rsid w:val="0F363083"/>
    <w:rsid w:val="10403535"/>
    <w:rsid w:val="105228DC"/>
    <w:rsid w:val="10DE59BD"/>
    <w:rsid w:val="10F8503B"/>
    <w:rsid w:val="1111746F"/>
    <w:rsid w:val="11743932"/>
    <w:rsid w:val="11797DBA"/>
    <w:rsid w:val="11C955BB"/>
    <w:rsid w:val="11CD2EDF"/>
    <w:rsid w:val="11E345A9"/>
    <w:rsid w:val="12361CFF"/>
    <w:rsid w:val="12B6624C"/>
    <w:rsid w:val="12D547F3"/>
    <w:rsid w:val="12E34C4C"/>
    <w:rsid w:val="12FB4A33"/>
    <w:rsid w:val="13392CAD"/>
    <w:rsid w:val="136775E5"/>
    <w:rsid w:val="137E7C4B"/>
    <w:rsid w:val="13C6243A"/>
    <w:rsid w:val="156C18E1"/>
    <w:rsid w:val="15C47892"/>
    <w:rsid w:val="15C64878"/>
    <w:rsid w:val="161D0DD8"/>
    <w:rsid w:val="16287169"/>
    <w:rsid w:val="162A266C"/>
    <w:rsid w:val="163C0A97"/>
    <w:rsid w:val="16435794"/>
    <w:rsid w:val="166B30D5"/>
    <w:rsid w:val="16A257AE"/>
    <w:rsid w:val="16F2389F"/>
    <w:rsid w:val="17082947"/>
    <w:rsid w:val="17983298"/>
    <w:rsid w:val="185E598D"/>
    <w:rsid w:val="189F57F2"/>
    <w:rsid w:val="193A7189"/>
    <w:rsid w:val="19B4513C"/>
    <w:rsid w:val="19D76D7C"/>
    <w:rsid w:val="19DD0E0A"/>
    <w:rsid w:val="1AC42CC1"/>
    <w:rsid w:val="1B5A3224"/>
    <w:rsid w:val="1B6919F3"/>
    <w:rsid w:val="1B7E1E93"/>
    <w:rsid w:val="1BF765EF"/>
    <w:rsid w:val="1C3367CD"/>
    <w:rsid w:val="1C7F3050"/>
    <w:rsid w:val="1C975818"/>
    <w:rsid w:val="1CA35724"/>
    <w:rsid w:val="1EDD63B3"/>
    <w:rsid w:val="20D546DE"/>
    <w:rsid w:val="21C67E02"/>
    <w:rsid w:val="22133977"/>
    <w:rsid w:val="2297614E"/>
    <w:rsid w:val="233139A1"/>
    <w:rsid w:val="2379093F"/>
    <w:rsid w:val="23C320C1"/>
    <w:rsid w:val="242A47EB"/>
    <w:rsid w:val="25921C52"/>
    <w:rsid w:val="25EB3CDF"/>
    <w:rsid w:val="26423351"/>
    <w:rsid w:val="26F853FE"/>
    <w:rsid w:val="27524813"/>
    <w:rsid w:val="27B05DC7"/>
    <w:rsid w:val="27D74B17"/>
    <w:rsid w:val="28DE1ED5"/>
    <w:rsid w:val="2972480D"/>
    <w:rsid w:val="29D004BA"/>
    <w:rsid w:val="2A0475FF"/>
    <w:rsid w:val="2A48576A"/>
    <w:rsid w:val="2A583A99"/>
    <w:rsid w:val="2A7F14C7"/>
    <w:rsid w:val="2A9B2FF6"/>
    <w:rsid w:val="2B161D13"/>
    <w:rsid w:val="2B165F44"/>
    <w:rsid w:val="2BF67536"/>
    <w:rsid w:val="2C3C7599"/>
    <w:rsid w:val="2C4677BF"/>
    <w:rsid w:val="2CF91854"/>
    <w:rsid w:val="2D3E7D46"/>
    <w:rsid w:val="2DF17F3B"/>
    <w:rsid w:val="2E1A6430"/>
    <w:rsid w:val="2F376513"/>
    <w:rsid w:val="2F6D7FDB"/>
    <w:rsid w:val="2FB13E9F"/>
    <w:rsid w:val="30733E22"/>
    <w:rsid w:val="31041376"/>
    <w:rsid w:val="31FE7144"/>
    <w:rsid w:val="32347F9B"/>
    <w:rsid w:val="32A93554"/>
    <w:rsid w:val="33394B99"/>
    <w:rsid w:val="33704CF3"/>
    <w:rsid w:val="342738B1"/>
    <w:rsid w:val="345871EF"/>
    <w:rsid w:val="34727975"/>
    <w:rsid w:val="34BA5F8F"/>
    <w:rsid w:val="34F373ED"/>
    <w:rsid w:val="359E5308"/>
    <w:rsid w:val="362C25ED"/>
    <w:rsid w:val="36820DFD"/>
    <w:rsid w:val="36852CE8"/>
    <w:rsid w:val="36D00EFD"/>
    <w:rsid w:val="36F07F06"/>
    <w:rsid w:val="37D220C5"/>
    <w:rsid w:val="38356245"/>
    <w:rsid w:val="383B38F6"/>
    <w:rsid w:val="38451629"/>
    <w:rsid w:val="392D42FA"/>
    <w:rsid w:val="398935BB"/>
    <w:rsid w:val="39CF5FE7"/>
    <w:rsid w:val="3A684EE0"/>
    <w:rsid w:val="3E274443"/>
    <w:rsid w:val="3F1D6580"/>
    <w:rsid w:val="3F6B6FCA"/>
    <w:rsid w:val="3F8F2C54"/>
    <w:rsid w:val="3FA27B9B"/>
    <w:rsid w:val="3FD036BE"/>
    <w:rsid w:val="408B4299"/>
    <w:rsid w:val="40942502"/>
    <w:rsid w:val="40D0614F"/>
    <w:rsid w:val="40DB0CE1"/>
    <w:rsid w:val="424B31A1"/>
    <w:rsid w:val="42E06844"/>
    <w:rsid w:val="42FE47A3"/>
    <w:rsid w:val="430931AF"/>
    <w:rsid w:val="43310BCC"/>
    <w:rsid w:val="435C75A2"/>
    <w:rsid w:val="43B52F07"/>
    <w:rsid w:val="45901CD7"/>
    <w:rsid w:val="46506A71"/>
    <w:rsid w:val="46752F28"/>
    <w:rsid w:val="4750030C"/>
    <w:rsid w:val="47B52C27"/>
    <w:rsid w:val="481A66E0"/>
    <w:rsid w:val="482F1EF9"/>
    <w:rsid w:val="489C0B07"/>
    <w:rsid w:val="4910755B"/>
    <w:rsid w:val="493E440D"/>
    <w:rsid w:val="49C76AE6"/>
    <w:rsid w:val="4A157A50"/>
    <w:rsid w:val="4A8B55DB"/>
    <w:rsid w:val="4B3C797D"/>
    <w:rsid w:val="4B3D45DA"/>
    <w:rsid w:val="4B8B2F80"/>
    <w:rsid w:val="4CD906A3"/>
    <w:rsid w:val="4D420FCC"/>
    <w:rsid w:val="4D426A4E"/>
    <w:rsid w:val="4D7962E3"/>
    <w:rsid w:val="4DDC11CB"/>
    <w:rsid w:val="4E7D7989"/>
    <w:rsid w:val="4F61709B"/>
    <w:rsid w:val="4F9A05D2"/>
    <w:rsid w:val="506568B4"/>
    <w:rsid w:val="50795EBC"/>
    <w:rsid w:val="50AB707C"/>
    <w:rsid w:val="51297F45"/>
    <w:rsid w:val="522E0F28"/>
    <w:rsid w:val="52635035"/>
    <w:rsid w:val="5311687F"/>
    <w:rsid w:val="53A56748"/>
    <w:rsid w:val="53DB36AF"/>
    <w:rsid w:val="55502006"/>
    <w:rsid w:val="55CB057B"/>
    <w:rsid w:val="56533C1B"/>
    <w:rsid w:val="56812378"/>
    <w:rsid w:val="57B85C78"/>
    <w:rsid w:val="5814519D"/>
    <w:rsid w:val="581D7AF8"/>
    <w:rsid w:val="595F1544"/>
    <w:rsid w:val="599A1790"/>
    <w:rsid w:val="5AFF47EC"/>
    <w:rsid w:val="5B7C7628"/>
    <w:rsid w:val="5B997C2B"/>
    <w:rsid w:val="5BC547A7"/>
    <w:rsid w:val="5C7A3CC8"/>
    <w:rsid w:val="5CBC53F6"/>
    <w:rsid w:val="5CE03CEE"/>
    <w:rsid w:val="5D525F29"/>
    <w:rsid w:val="5DEE331E"/>
    <w:rsid w:val="5E53134F"/>
    <w:rsid w:val="5EAE168A"/>
    <w:rsid w:val="5F06794C"/>
    <w:rsid w:val="5F93775D"/>
    <w:rsid w:val="600D14ED"/>
    <w:rsid w:val="60BE47E5"/>
    <w:rsid w:val="610E4A4B"/>
    <w:rsid w:val="61C83E7A"/>
    <w:rsid w:val="623B7475"/>
    <w:rsid w:val="62462600"/>
    <w:rsid w:val="62C822FB"/>
    <w:rsid w:val="62D430B2"/>
    <w:rsid w:val="63026180"/>
    <w:rsid w:val="63374C60"/>
    <w:rsid w:val="634467FD"/>
    <w:rsid w:val="63EC02FC"/>
    <w:rsid w:val="651E5F81"/>
    <w:rsid w:val="6550375D"/>
    <w:rsid w:val="65B243E4"/>
    <w:rsid w:val="665D2128"/>
    <w:rsid w:val="66BA587D"/>
    <w:rsid w:val="66E17055"/>
    <w:rsid w:val="672229B1"/>
    <w:rsid w:val="677F7E04"/>
    <w:rsid w:val="67910F1E"/>
    <w:rsid w:val="679A7B08"/>
    <w:rsid w:val="67CB4CF0"/>
    <w:rsid w:val="688014D9"/>
    <w:rsid w:val="68E17E1F"/>
    <w:rsid w:val="68E80954"/>
    <w:rsid w:val="695D4726"/>
    <w:rsid w:val="695F75B7"/>
    <w:rsid w:val="698A554C"/>
    <w:rsid w:val="6A115F93"/>
    <w:rsid w:val="6A414563"/>
    <w:rsid w:val="6A851CCC"/>
    <w:rsid w:val="6A9042E2"/>
    <w:rsid w:val="6AB53B3C"/>
    <w:rsid w:val="6B6433C1"/>
    <w:rsid w:val="6C184B0B"/>
    <w:rsid w:val="6C44756E"/>
    <w:rsid w:val="6C4B45F8"/>
    <w:rsid w:val="6CEE5BD5"/>
    <w:rsid w:val="6D2D0302"/>
    <w:rsid w:val="6D6655C2"/>
    <w:rsid w:val="6E0E551E"/>
    <w:rsid w:val="70A15B5A"/>
    <w:rsid w:val="71702730"/>
    <w:rsid w:val="717B058C"/>
    <w:rsid w:val="717E112C"/>
    <w:rsid w:val="719C3171"/>
    <w:rsid w:val="722111CB"/>
    <w:rsid w:val="731B7A7F"/>
    <w:rsid w:val="73FB3F54"/>
    <w:rsid w:val="76377102"/>
    <w:rsid w:val="767321B8"/>
    <w:rsid w:val="769929F6"/>
    <w:rsid w:val="76C8726B"/>
    <w:rsid w:val="77682CF7"/>
    <w:rsid w:val="779A199D"/>
    <w:rsid w:val="78096FFD"/>
    <w:rsid w:val="785C7ADA"/>
    <w:rsid w:val="78E53030"/>
    <w:rsid w:val="79910997"/>
    <w:rsid w:val="79D802CB"/>
    <w:rsid w:val="79DA4CFA"/>
    <w:rsid w:val="7A480529"/>
    <w:rsid w:val="7B7C6624"/>
    <w:rsid w:val="7BDF08C7"/>
    <w:rsid w:val="7CBD3B58"/>
    <w:rsid w:val="7D7D15ED"/>
    <w:rsid w:val="7D7D4E70"/>
    <w:rsid w:val="7E064983"/>
    <w:rsid w:val="7EB20667"/>
    <w:rsid w:val="7F1C7B7F"/>
    <w:rsid w:val="7F242C23"/>
    <w:rsid w:val="7F6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Lines="50" w:afterLines="50" w:line="360" w:lineRule="auto"/>
      <w:outlineLvl w:val="0"/>
    </w:pPr>
    <w:rPr>
      <w:b/>
      <w:kern w:val="44"/>
      <w:sz w:val="24"/>
    </w:rPr>
  </w:style>
  <w:style w:type="paragraph" w:styleId="3">
    <w:name w:val="heading 2"/>
    <w:basedOn w:val="1"/>
    <w:next w:val="1"/>
    <w:unhideWhenUsed/>
    <w:qFormat/>
    <w:uiPriority w:val="9"/>
    <w:pPr>
      <w:keepNext/>
      <w:keepLines/>
      <w:widowControl/>
      <w:autoSpaceDE w:val="0"/>
      <w:autoSpaceDN w:val="0"/>
      <w:spacing w:line="360" w:lineRule="auto"/>
      <w:ind w:firstLine="480" w:firstLineChars="200"/>
      <w:outlineLvl w:val="1"/>
    </w:pPr>
    <w:rPr>
      <w:b/>
      <w:sz w:val="24"/>
    </w:rPr>
  </w:style>
  <w:style w:type="paragraph" w:styleId="4">
    <w:name w:val="heading 3"/>
    <w:basedOn w:val="1"/>
    <w:next w:val="1"/>
    <w:qFormat/>
    <w:uiPriority w:val="9"/>
    <w:pPr>
      <w:keepNext/>
      <w:keepLines/>
      <w:spacing w:before="140" w:after="140" w:line="360" w:lineRule="auto"/>
      <w:outlineLvl w:val="2"/>
    </w:pPr>
    <w:rPr>
      <w:b/>
      <w:bCs/>
      <w:sz w:val="24"/>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alloon Text"/>
    <w:basedOn w:val="1"/>
    <w:link w:val="15"/>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unhideWhenUsed/>
    <w:qFormat/>
    <w:uiPriority w:val="99"/>
    <w:rPr>
      <w:color w:val="954F72"/>
      <w:u w:val="single"/>
    </w:rPr>
  </w:style>
  <w:style w:type="character" w:styleId="14">
    <w:name w:val="Hyperlink"/>
    <w:unhideWhenUsed/>
    <w:qFormat/>
    <w:uiPriority w:val="99"/>
    <w:rPr>
      <w:color w:val="0563C1"/>
      <w:u w:val="single"/>
    </w:rPr>
  </w:style>
  <w:style w:type="character" w:customStyle="1" w:styleId="15">
    <w:name w:val="批注框文本 字符"/>
    <w:link w:val="6"/>
    <w:semiHidden/>
    <w:qFormat/>
    <w:uiPriority w:val="99"/>
    <w:rPr>
      <w:kern w:val="2"/>
      <w:sz w:val="18"/>
      <w:szCs w:val="18"/>
    </w:rPr>
  </w:style>
  <w:style w:type="character" w:customStyle="1" w:styleId="16">
    <w:name w:val="页脚 字符"/>
    <w:link w:val="7"/>
    <w:qFormat/>
    <w:uiPriority w:val="99"/>
    <w:rPr>
      <w:sz w:val="18"/>
      <w:szCs w:val="18"/>
    </w:rPr>
  </w:style>
  <w:style w:type="character" w:customStyle="1" w:styleId="17">
    <w:name w:val="页眉 字符"/>
    <w:link w:val="8"/>
    <w:semiHidden/>
    <w:qFormat/>
    <w:uiPriority w:val="99"/>
    <w:rPr>
      <w:sz w:val="18"/>
      <w:szCs w:val="18"/>
    </w:rPr>
  </w:style>
  <w:style w:type="character" w:customStyle="1" w:styleId="18">
    <w:name w:val="HTML 预设格式 字符"/>
    <w:link w:val="9"/>
    <w:qFormat/>
    <w:uiPriority w:val="99"/>
    <w:rPr>
      <w:rFonts w:ascii="宋体" w:hAnsi="宋体" w:cs="宋体"/>
      <w:sz w:val="24"/>
      <w:szCs w:val="24"/>
    </w:rPr>
  </w:style>
  <w:style w:type="character" w:customStyle="1" w:styleId="19">
    <w:name w:val="未处理的提及1"/>
    <w:unhideWhenUsed/>
    <w:qFormat/>
    <w:uiPriority w:val="99"/>
    <w:rPr>
      <w:color w:val="605E5C"/>
      <w:shd w:val="clear" w:color="auto" w:fill="E1DFDD"/>
    </w:rPr>
  </w:style>
  <w:style w:type="character" w:customStyle="1" w:styleId="20">
    <w:name w:val="font11"/>
    <w:qFormat/>
    <w:uiPriority w:val="0"/>
    <w:rPr>
      <w:rFonts w:hint="default" w:ascii="Times New Roman" w:hAnsi="Times New Roman" w:cs="Times New Roman"/>
      <w:color w:val="000000"/>
      <w:sz w:val="20"/>
      <w:szCs w:val="20"/>
      <w:u w:val="none"/>
    </w:rPr>
  </w:style>
  <w:style w:type="character" w:customStyle="1" w:styleId="21">
    <w:name w:val="font31"/>
    <w:qFormat/>
    <w:uiPriority w:val="0"/>
    <w:rPr>
      <w:rFonts w:hint="eastAsia" w:ascii="宋体" w:hAnsi="宋体" w:eastAsia="宋体" w:cs="宋体"/>
      <w:color w:val="000000"/>
      <w:sz w:val="20"/>
      <w:szCs w:val="20"/>
      <w:u w:val="none"/>
    </w:rPr>
  </w:style>
  <w:style w:type="character" w:customStyle="1" w:styleId="22">
    <w:name w:val="font01"/>
    <w:qFormat/>
    <w:uiPriority w:val="0"/>
    <w:rPr>
      <w:rFonts w:hint="eastAsia" w:ascii="宋体" w:hAnsi="宋体" w:eastAsia="宋体" w:cs="宋体"/>
      <w:color w:val="FF0000"/>
      <w:sz w:val="20"/>
      <w:szCs w:val="20"/>
      <w:u w:val="none"/>
    </w:rPr>
  </w:style>
  <w:style w:type="paragraph" w:customStyle="1" w:styleId="23">
    <w:name w:val="修订1"/>
    <w:unhideWhenUsed/>
    <w:qFormat/>
    <w:uiPriority w:val="99"/>
    <w:rPr>
      <w:rFonts w:ascii="Times New Roman" w:hAnsi="Times New Roman" w:eastAsia="宋体" w:cs="Times New Roman"/>
      <w:kern w:val="2"/>
      <w:sz w:val="21"/>
      <w:szCs w:val="22"/>
      <w:lang w:val="en-US" w:eastAsia="zh-CN" w:bidi="ar-SA"/>
    </w:rPr>
  </w:style>
  <w:style w:type="table" w:customStyle="1" w:styleId="24">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5">
    <w:name w:val="标题 3 字符1"/>
    <w:qFormat/>
    <w:uiPriority w:val="9"/>
    <w:rPr>
      <w:rFonts w:ascii="Calibri" w:hAnsi="Calibri" w:eastAsia="宋体"/>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7</Pages>
  <Words>3103</Words>
  <Characters>3454</Characters>
  <Lines>35</Lines>
  <Paragraphs>10</Paragraphs>
  <TotalTime>3</TotalTime>
  <ScaleCrop>false</ScaleCrop>
  <LinksUpToDate>false</LinksUpToDate>
  <CharactersWithSpaces>3756</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2023-12-29T09:26:00Z</dcterms:created>
  <dc:creator>王琴</dc:creator>
  <cp:lastModifiedBy>cdq</cp:lastModifiedBy>
  <cp:lastPrinted>2024-11-22T05:25:00Z</cp:lastPrinted>
  <dcterms:modified xsi:type="dcterms:W3CDTF">2025-10-28T09:05:28Z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BDCBE602FF6A4DD1935B544AE25FD774</vt:lpwstr>
  </property>
  <property fmtid="{D5CDD505-2E9C-101B-9397-08002B2CF9AE}" pid="4" name="KSOTemplateDocerSaveRecord">
    <vt:lpwstr>eyJoZGlkIjoiY2Q4MDAzNjNiM2EwYjNjY2VkN2I2ZWY4OTg5YTA1ZWYiLCJ1c2VySWQiOiIxMzk5OTUwMzQxIn0=</vt:lpwstr>
  </property>
</Properties>
</file>