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145668">
      <w:pPr>
        <w:spacing w:line="360" w:lineRule="auto"/>
        <w:rPr>
          <w:rFonts w:hint="default" w:ascii="宋体" w:hAnsi="宋体" w:eastAsia="宋体" w:cs="宋体"/>
          <w:kern w:val="0"/>
          <w:sz w:val="24"/>
          <w:szCs w:val="24"/>
          <w:lang w:val="en-US" w:eastAsia="zh-CN"/>
        </w:rPr>
      </w:pPr>
      <w:r>
        <w:rPr>
          <w:rFonts w:hint="eastAsia" w:ascii="宋体" w:hAnsi="宋体" w:cs="宋体"/>
          <w:kern w:val="0"/>
          <w:sz w:val="24"/>
          <w:szCs w:val="24"/>
        </w:rPr>
        <w:t>证券代码：300436        证券简称：广生堂      公告编号：2025</w:t>
      </w:r>
      <w:r>
        <w:rPr>
          <w:rFonts w:hint="eastAsia" w:ascii="宋体" w:hAnsi="宋体" w:cs="宋体"/>
          <w:kern w:val="0"/>
          <w:sz w:val="24"/>
          <w:szCs w:val="24"/>
          <w:lang w:val="en-US" w:eastAsia="zh-CN"/>
        </w:rPr>
        <w:t>069</w:t>
      </w:r>
      <w:bookmarkStart w:id="0" w:name="_GoBack"/>
      <w:bookmarkEnd w:id="0"/>
    </w:p>
    <w:p w14:paraId="4443AA2D">
      <w:pPr>
        <w:spacing w:before="156" w:beforeLines="50"/>
        <w:jc w:val="center"/>
        <w:rPr>
          <w:rFonts w:hint="eastAsia" w:ascii="宋体" w:hAnsi="宋体" w:cs="宋体"/>
          <w:b/>
          <w:kern w:val="0"/>
          <w:sz w:val="32"/>
          <w:szCs w:val="32"/>
        </w:rPr>
      </w:pPr>
      <w:r>
        <w:rPr>
          <w:rFonts w:hint="eastAsia" w:ascii="宋体" w:hAnsi="宋体" w:cs="宋体"/>
          <w:b/>
          <w:kern w:val="0"/>
          <w:sz w:val="32"/>
          <w:szCs w:val="32"/>
        </w:rPr>
        <w:t>福建广生堂药业股份有限公司</w:t>
      </w:r>
    </w:p>
    <w:p w14:paraId="72E44FD8">
      <w:pPr>
        <w:jc w:val="center"/>
        <w:rPr>
          <w:rFonts w:hint="eastAsia" w:ascii="宋体" w:hAnsi="宋体" w:cs="宋体"/>
          <w:b/>
          <w:sz w:val="32"/>
          <w:szCs w:val="32"/>
        </w:rPr>
      </w:pPr>
      <w:r>
        <w:rPr>
          <w:rFonts w:hint="eastAsia" w:ascii="宋体" w:hAnsi="宋体" w:cs="宋体"/>
          <w:b/>
          <w:sz w:val="32"/>
          <w:szCs w:val="32"/>
        </w:rPr>
        <w:t>关于乙肝治疗一类创新药GST-HG131研究成果被</w:t>
      </w:r>
    </w:p>
    <w:p w14:paraId="3BD806F5">
      <w:pPr>
        <w:jc w:val="center"/>
        <w:rPr>
          <w:rFonts w:hint="eastAsia" w:ascii="宋体" w:hAnsi="宋体" w:cs="宋体"/>
          <w:b/>
          <w:sz w:val="32"/>
          <w:szCs w:val="32"/>
        </w:rPr>
      </w:pPr>
      <w:r>
        <w:rPr>
          <w:rFonts w:hint="eastAsia" w:ascii="宋体" w:hAnsi="宋体" w:cs="宋体"/>
          <w:b/>
          <w:sz w:val="32"/>
          <w:szCs w:val="32"/>
        </w:rPr>
        <w:t>美国肝病研究协会接受为年会最新突破摘要报告的公告</w:t>
      </w:r>
    </w:p>
    <w:p w14:paraId="698FB7A6">
      <w:pPr>
        <w:jc w:val="center"/>
        <w:rPr>
          <w:rFonts w:hint="eastAsia" w:ascii="宋体" w:hAnsi="宋体" w:cs="宋体"/>
          <w:b/>
          <w:sz w:val="24"/>
          <w:szCs w:val="24"/>
        </w:rPr>
      </w:pPr>
    </w:p>
    <w:tbl>
      <w:tblPr>
        <w:tblStyle w:val="9"/>
        <w:tblW w:w="8522"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8522"/>
      </w:tblGrid>
      <w:tr w14:paraId="185726F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457" w:hRule="atLeast"/>
        </w:trPr>
        <w:tc>
          <w:tcPr>
            <w:tcW w:w="8522" w:type="dxa"/>
            <w:vAlign w:val="center"/>
          </w:tcPr>
          <w:p w14:paraId="4985428E">
            <w:pPr>
              <w:widowControl/>
              <w:ind w:firstLine="600" w:firstLineChars="200"/>
              <w:rPr>
                <w:rFonts w:hint="eastAsia" w:ascii="宋体" w:hAnsi="宋体" w:cs="宋体"/>
                <w:b/>
                <w:sz w:val="30"/>
                <w:szCs w:val="30"/>
              </w:rPr>
            </w:pPr>
            <w:r>
              <w:rPr>
                <w:rFonts w:hint="eastAsia" w:ascii="宋体" w:hAnsi="宋体" w:cs="宋体"/>
                <w:kern w:val="0"/>
                <w:sz w:val="30"/>
                <w:szCs w:val="30"/>
              </w:rPr>
              <w:t>本公司及董事会全体成员保证信息披露的内容真实、准确、完整，没有虚假记载、误导性陈述或重大遗漏。</w:t>
            </w:r>
          </w:p>
        </w:tc>
      </w:tr>
    </w:tbl>
    <w:p w14:paraId="627EA25A">
      <w:pPr>
        <w:pStyle w:val="2"/>
        <w:spacing w:before="312" w:beforeLines="100" w:after="156"/>
        <w:rPr>
          <w:rFonts w:hint="eastAsia" w:ascii="宋体" w:hAnsi="宋体" w:cs="宋体"/>
        </w:rPr>
      </w:pPr>
      <w:r>
        <w:rPr>
          <w:rFonts w:hint="eastAsia" w:ascii="宋体" w:hAnsi="宋体" w:cs="宋体"/>
        </w:rPr>
        <w:t>一、基本情况</w:t>
      </w:r>
    </w:p>
    <w:p w14:paraId="2F27419F">
      <w:pPr>
        <w:adjustRightInd w:val="0"/>
        <w:snapToGrid w:val="0"/>
        <w:spacing w:line="360" w:lineRule="auto"/>
        <w:ind w:firstLine="482"/>
        <w:rPr>
          <w:rFonts w:hint="eastAsia" w:ascii="宋体" w:hAnsi="宋体" w:cs="宋体"/>
          <w:sz w:val="24"/>
          <w:szCs w:val="24"/>
        </w:rPr>
      </w:pPr>
      <w:r>
        <w:rPr>
          <w:rFonts w:hint="eastAsia" w:ascii="宋体" w:hAnsi="宋体" w:cs="宋体"/>
          <w:sz w:val="24"/>
          <w:szCs w:val="24"/>
        </w:rPr>
        <w:t>福建广生堂药业股份有限公司（以下简称“公司”）创新药控股子公司福建广生中霖生物科技有限公司于近日收到全球肝病研究领域的权威专业学术机构——美国肝病研究协会（AASLD）（以下简称“美肝会”）的通知，乙肝治疗</w:t>
      </w:r>
      <w:r>
        <w:rPr>
          <w:rFonts w:hint="eastAsia" w:ascii="宋体" w:hAnsi="宋体" w:cs="宋体"/>
          <w:color w:val="000000"/>
          <w:sz w:val="24"/>
          <w:szCs w:val="24"/>
          <w:shd w:val="clear" w:color="auto" w:fill="FFFFFF"/>
        </w:rPr>
        <w:t>一</w:t>
      </w:r>
      <w:r>
        <w:rPr>
          <w:rFonts w:hint="eastAsia" w:ascii="宋体" w:hAnsi="宋体" w:cs="宋体"/>
          <w:sz w:val="24"/>
          <w:szCs w:val="24"/>
        </w:rPr>
        <w:t>类创新药GST-HG131的临床II期研究完整结果已被2025年美肝会年会(The Liver Meeting® 2025)正式接受为最新突破摘要口头报告（L</w:t>
      </w:r>
      <w:r>
        <w:rPr>
          <w:rFonts w:ascii="宋体" w:hAnsi="宋体" w:cs="宋体"/>
          <w:sz w:val="24"/>
          <w:szCs w:val="24"/>
        </w:rPr>
        <w:t xml:space="preserve">ate </w:t>
      </w:r>
      <w:r>
        <w:rPr>
          <w:rFonts w:hint="eastAsia" w:ascii="宋体" w:hAnsi="宋体" w:cs="宋体"/>
          <w:sz w:val="24"/>
          <w:szCs w:val="24"/>
        </w:rPr>
        <w:t>B</w:t>
      </w:r>
      <w:r>
        <w:rPr>
          <w:rFonts w:ascii="宋体" w:hAnsi="宋体" w:cs="宋体"/>
          <w:sz w:val="24"/>
          <w:szCs w:val="24"/>
        </w:rPr>
        <w:t>reaking Abstract</w:t>
      </w:r>
      <w:r>
        <w:rPr>
          <w:rFonts w:hint="eastAsia" w:ascii="宋体" w:hAnsi="宋体" w:cs="宋体"/>
          <w:sz w:val="24"/>
          <w:szCs w:val="24"/>
        </w:rPr>
        <w:t xml:space="preserve"> P</w:t>
      </w:r>
      <w:r>
        <w:rPr>
          <w:rFonts w:ascii="宋体" w:hAnsi="宋体" w:cs="宋体"/>
          <w:sz w:val="24"/>
          <w:szCs w:val="24"/>
        </w:rPr>
        <w:t xml:space="preserve">arallel </w:t>
      </w:r>
      <w:r>
        <w:rPr>
          <w:rFonts w:hint="eastAsia" w:ascii="宋体" w:hAnsi="宋体" w:cs="宋体"/>
          <w:sz w:val="24"/>
          <w:szCs w:val="24"/>
        </w:rPr>
        <w:t>P</w:t>
      </w:r>
      <w:r>
        <w:rPr>
          <w:rFonts w:ascii="宋体" w:hAnsi="宋体" w:cs="宋体"/>
          <w:sz w:val="24"/>
          <w:szCs w:val="24"/>
        </w:rPr>
        <w:t>resentation</w:t>
      </w:r>
      <w:r>
        <w:rPr>
          <w:rFonts w:hint="eastAsia" w:ascii="宋体" w:hAnsi="宋体" w:cs="宋体"/>
          <w:sz w:val="24"/>
          <w:szCs w:val="24"/>
        </w:rPr>
        <w:t>），是国际学术界给予公司乙肝创新药GST-HG131临床研究成果的高度认可。</w:t>
      </w:r>
    </w:p>
    <w:p w14:paraId="100D2BF5">
      <w:pPr>
        <w:adjustRightInd w:val="0"/>
        <w:snapToGrid w:val="0"/>
        <w:spacing w:line="360" w:lineRule="auto"/>
        <w:ind w:firstLine="482"/>
        <w:rPr>
          <w:rFonts w:hint="eastAsia"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GST-HG131是目前全球首个完成II期临床的口服HBsAg抑制剂，可及性和患者依从性良好。II期临床试验显示，在试验患者的</w:t>
      </w:r>
      <w:r>
        <w:rPr>
          <w:rFonts w:ascii="宋体" w:hAnsi="宋体" w:cs="宋体"/>
          <w:color w:val="000000"/>
          <w:kern w:val="0"/>
          <w:sz w:val="24"/>
          <w:szCs w:val="24"/>
          <w:shd w:val="clear" w:color="auto" w:fill="FFFFFF"/>
        </w:rPr>
        <w:t>HBsAg</w:t>
      </w:r>
      <w:r>
        <w:rPr>
          <w:rFonts w:hint="eastAsia" w:ascii="宋体" w:hAnsi="宋体" w:cs="宋体"/>
          <w:color w:val="000000"/>
          <w:kern w:val="0"/>
          <w:sz w:val="24"/>
          <w:szCs w:val="24"/>
          <w:shd w:val="clear" w:color="auto" w:fill="FFFFFF"/>
        </w:rPr>
        <w:t>基线普遍较低的情况下，</w:t>
      </w:r>
      <w:r>
        <w:rPr>
          <w:rFonts w:ascii="宋体" w:hAnsi="宋体" w:cs="宋体"/>
          <w:color w:val="000000"/>
          <w:kern w:val="0"/>
          <w:sz w:val="24"/>
          <w:szCs w:val="24"/>
          <w:shd w:val="clear" w:color="auto" w:fill="FFFFFF"/>
        </w:rPr>
        <w:t>HBsAg</w:t>
      </w:r>
      <w:r>
        <w:rPr>
          <w:rFonts w:hint="eastAsia" w:ascii="宋体" w:hAnsi="宋体" w:cs="宋体"/>
          <w:color w:val="000000"/>
          <w:kern w:val="0"/>
          <w:sz w:val="24"/>
          <w:szCs w:val="24"/>
          <w:shd w:val="clear" w:color="auto" w:fill="FFFFFF"/>
        </w:rPr>
        <w:t>仍下降迅速，最快的患者7天就有约0.8 Log</w:t>
      </w:r>
      <w:r>
        <w:rPr>
          <w:rFonts w:hint="eastAsia" w:ascii="宋体" w:hAnsi="宋体" w:cs="宋体"/>
          <w:color w:val="000000"/>
          <w:kern w:val="0"/>
          <w:sz w:val="24"/>
          <w:szCs w:val="24"/>
          <w:shd w:val="clear" w:color="auto" w:fill="FFFFFF"/>
          <w:vertAlign w:val="subscript"/>
        </w:rPr>
        <w:t xml:space="preserve">10 </w:t>
      </w:r>
      <w:r>
        <w:rPr>
          <w:rFonts w:hint="eastAsia" w:ascii="宋体" w:hAnsi="宋体" w:cs="宋体"/>
          <w:color w:val="000000"/>
          <w:kern w:val="0"/>
          <w:sz w:val="24"/>
          <w:szCs w:val="24"/>
          <w:shd w:val="clear" w:color="auto" w:fill="FFFFFF"/>
        </w:rPr>
        <w:t>IU/mL的降幅，第三组（30mg，BID，三个月给药组）平均降到原值12.88%，降幅87.12%；最高降到原值2.29%，降幅97.71%；第三组研究中，76.5%的患者达到</w:t>
      </w:r>
      <w:r>
        <w:rPr>
          <w:rFonts w:ascii="宋体" w:hAnsi="宋体" w:cs="宋体"/>
          <w:color w:val="000000"/>
          <w:kern w:val="0"/>
          <w:sz w:val="24"/>
          <w:szCs w:val="24"/>
          <w:shd w:val="clear" w:color="auto" w:fill="FFFFFF"/>
        </w:rPr>
        <w:t>HBsAg</w:t>
      </w:r>
      <w:r>
        <w:rPr>
          <w:rFonts w:hint="eastAsia" w:ascii="宋体" w:hAnsi="宋体" w:cs="宋体"/>
          <w:color w:val="000000"/>
          <w:kern w:val="0"/>
          <w:sz w:val="24"/>
          <w:szCs w:val="24"/>
          <w:shd w:val="clear" w:color="auto" w:fill="FFFFFF"/>
        </w:rPr>
        <w:t>≤100 IU/mL水平(停药后HBsAg持续≤100 IU/mL, 是部分治愈的重要判定指标)，且患者</w:t>
      </w:r>
      <w:r>
        <w:rPr>
          <w:rFonts w:ascii="宋体" w:hAnsi="宋体" w:cs="宋体"/>
          <w:color w:val="000000"/>
          <w:kern w:val="0"/>
          <w:sz w:val="24"/>
          <w:szCs w:val="24"/>
          <w:shd w:val="clear" w:color="auto" w:fill="FFFFFF"/>
        </w:rPr>
        <w:t>HBsAg</w:t>
      </w:r>
      <w:r>
        <w:rPr>
          <w:rFonts w:hint="eastAsia" w:ascii="宋体" w:hAnsi="宋体" w:cs="宋体"/>
          <w:color w:val="000000"/>
          <w:kern w:val="0"/>
          <w:sz w:val="24"/>
          <w:szCs w:val="24"/>
          <w:shd w:val="clear" w:color="auto" w:fill="FFFFFF"/>
        </w:rPr>
        <w:t>水平持续降低，停药时</w:t>
      </w:r>
      <w:r>
        <w:rPr>
          <w:rFonts w:ascii="宋体" w:hAnsi="宋体" w:cs="宋体"/>
          <w:color w:val="000000"/>
          <w:kern w:val="0"/>
          <w:sz w:val="24"/>
          <w:szCs w:val="24"/>
          <w:shd w:val="clear" w:color="auto" w:fill="FFFFFF"/>
        </w:rPr>
        <w:t>HBsAg</w:t>
      </w:r>
      <w:r>
        <w:rPr>
          <w:rFonts w:hint="eastAsia" w:ascii="宋体" w:hAnsi="宋体" w:cs="宋体"/>
          <w:color w:val="000000"/>
          <w:kern w:val="0"/>
          <w:sz w:val="24"/>
          <w:szCs w:val="24"/>
          <w:shd w:val="clear" w:color="auto" w:fill="FFFFFF"/>
        </w:rPr>
        <w:t>仍有快速下降趋势，停药后</w:t>
      </w:r>
      <w:r>
        <w:rPr>
          <w:rFonts w:ascii="宋体" w:hAnsi="宋体" w:cs="宋体"/>
          <w:color w:val="000000"/>
          <w:kern w:val="0"/>
          <w:sz w:val="24"/>
          <w:szCs w:val="24"/>
          <w:shd w:val="clear" w:color="auto" w:fill="FFFFFF"/>
        </w:rPr>
        <w:t>HBsAg</w:t>
      </w:r>
      <w:r>
        <w:rPr>
          <w:rFonts w:hint="eastAsia" w:ascii="宋体" w:hAnsi="宋体" w:cs="宋体"/>
          <w:color w:val="000000"/>
          <w:kern w:val="0"/>
          <w:sz w:val="24"/>
          <w:szCs w:val="24"/>
          <w:shd w:val="clear" w:color="auto" w:fill="FFFFFF"/>
        </w:rPr>
        <w:t>反弹显著低于原基线。如延长给药时间或联合治疗，有望提供更好的疗效。2025年7月，</w:t>
      </w:r>
      <w:r>
        <w:rPr>
          <w:rFonts w:ascii="宋体" w:hAnsi="宋体" w:cs="宋体"/>
          <w:color w:val="000000"/>
          <w:kern w:val="0"/>
          <w:sz w:val="24"/>
          <w:szCs w:val="24"/>
          <w:shd w:val="clear" w:color="auto" w:fill="FFFFFF"/>
        </w:rPr>
        <w:t>GST-HG131</w:t>
      </w:r>
      <w:r>
        <w:rPr>
          <w:rFonts w:hint="eastAsia" w:ascii="宋体" w:hAnsi="宋体" w:cs="宋体"/>
          <w:color w:val="000000"/>
          <w:kern w:val="0"/>
          <w:sz w:val="24"/>
          <w:szCs w:val="24"/>
          <w:shd w:val="clear" w:color="auto" w:fill="FFFFFF"/>
        </w:rPr>
        <w:t>因现有数据提示具有明显临床优势，被国家药监局审评中心纳入突破性治疗品种名单。</w:t>
      </w:r>
    </w:p>
    <w:p w14:paraId="645C1C82">
      <w:pPr>
        <w:adjustRightInd w:val="0"/>
        <w:snapToGrid w:val="0"/>
        <w:spacing w:line="360" w:lineRule="auto"/>
        <w:ind w:firstLine="482"/>
        <w:rPr>
          <w:rFonts w:hint="eastAsia" w:ascii="宋体" w:hAnsi="宋体" w:cs="宋体"/>
          <w:sz w:val="24"/>
          <w:szCs w:val="24"/>
        </w:rPr>
      </w:pPr>
      <w:r>
        <w:rPr>
          <w:rFonts w:hint="eastAsia" w:ascii="宋体" w:hAnsi="宋体" w:cs="宋体"/>
          <w:sz w:val="24"/>
          <w:szCs w:val="24"/>
        </w:rPr>
        <w:t>GST-HG131对HBsAg具有显著抑制作用， GST-HG141在核苷类药物治疗基础上对HBV DNA进一步显著抑制且对HBV cccDNA具有潜在有效抑制和耗竭作用，从而防止病毒反弹，两者在抗病毒机制上预计存在协同互补。基于核苷（酸）类似物NUC基础治疗，</w:t>
      </w:r>
      <w:r>
        <w:rPr>
          <w:rFonts w:ascii="宋体" w:hAnsi="宋体" w:cs="宋体"/>
          <w:sz w:val="24"/>
          <w:szCs w:val="24"/>
        </w:rPr>
        <w:t>GST-HG131</w:t>
      </w:r>
      <w:r>
        <w:rPr>
          <w:rFonts w:hint="eastAsia" w:ascii="宋体" w:hAnsi="宋体" w:cs="宋体"/>
          <w:sz w:val="24"/>
          <w:szCs w:val="24"/>
        </w:rPr>
        <w:t>联合GST-HG141针对乙肝经治患者的II期临床试验项目有望挑战乙肝临床治愈，属于国家全链条支持创新药发展政策体系支持的具有明显临床价值的重点创新药，联合治疗方案已被纳入国家“优化创新药临床试验审评审批试点项目”并取得临床试验申请批准。</w:t>
      </w:r>
    </w:p>
    <w:p w14:paraId="3CBEA482">
      <w:pPr>
        <w:pStyle w:val="2"/>
        <w:spacing w:before="156" w:after="156"/>
        <w:rPr>
          <w:rFonts w:hint="eastAsia" w:ascii="宋体" w:hAnsi="宋体" w:cs="宋体"/>
        </w:rPr>
      </w:pPr>
      <w:r>
        <w:rPr>
          <w:rFonts w:hint="eastAsia" w:ascii="宋体" w:hAnsi="宋体" w:cs="宋体"/>
        </w:rPr>
        <w:t>二、同类药品状况</w:t>
      </w:r>
    </w:p>
    <w:p w14:paraId="78B9DDAC">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乙型肝炎是由乙型肝炎病毒（HBV）引起的，以肝脏炎症性病变为主，并可引起多器官损害的一种传染性疾病。它广泛流行于世界各国，主要感染对象为儿童及青壮年，与肝硬化和肝癌等疾病的发生密切相关。据世界卫生组织统计，2022年全球有2.54亿人有慢性乙肝感染，</w:t>
      </w:r>
      <w:r>
        <w:rPr>
          <w:rFonts w:hint="eastAsia" w:ascii="宋体" w:hAnsi="宋体" w:cs="宋体"/>
          <w:color w:val="000000"/>
          <w:kern w:val="0"/>
          <w:sz w:val="24"/>
          <w:szCs w:val="24"/>
          <w:shd w:val="clear" w:color="auto" w:fill="FFFFFF"/>
        </w:rPr>
        <w:t>约有120万</w:t>
      </w:r>
      <w:r>
        <w:rPr>
          <w:rFonts w:hint="eastAsia" w:ascii="宋体" w:hAnsi="宋体" w:cs="宋体"/>
          <w:kern w:val="0"/>
          <w:sz w:val="24"/>
          <w:szCs w:val="24"/>
        </w:rPr>
        <w:t>新发感染者。2022年乙肝导致约110万人死亡，主要源于肝硬化和肝细胞癌（原发性肝癌）。根据 Polaris 国际流行病学合作组织推算，我国一般人群 HBsAg 流行率为 6.1%，慢性 HBV 感染者为8600万例。乙型肝炎不仅严重影响人体健康，而且给家庭、社会带来了沉重的经济负担，已成为我国重大的公共卫生问题之一，同时也是全世界医学界共同关注的重要课题。世界卫生组织提出“消除病毒性肝炎作为公共卫生危害”的目标，届时慢性乙型肝炎（CHB）新发感染率要减少90%、死亡率减少65%、诊断率达到90%和治疗率达到80%。根据国家疾病预防控制局2025年9月研究制定的《中国防治病毒性肝炎行动计划（2025—2030年）》，目标至2030年，慢性乙肝患者诊断率达80%及以上，新报告慢性乙肝患者抗病毒治疗率达80%及以上，而我国慢性乙型肝炎的诊断率和治疗率仅分别为22%和15%，未来乙肝市场仍有广阔的市场空间。</w:t>
      </w:r>
    </w:p>
    <w:p w14:paraId="0D7A1682">
      <w:pPr>
        <w:spacing w:line="360" w:lineRule="auto"/>
        <w:ind w:firstLine="480" w:firstLineChars="200"/>
        <w:rPr>
          <w:rFonts w:hint="eastAsia"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乙肝HBsAg对维持HBV持续感染起到重要作用，患者长期暴露在高水平的HBsAg下产生的特异性T细胞凋亡和免疫耗竭状态是HBV难以清除的重要原因。研究显示，血清HBsAg定量低于100 IU/mL的非活动性HBsAg携带者的肝细胞癌（HCC）风险低于推荐的HCC监测阈值，且接近普通（非乙肝、丙肝）人群的风险水平。因此，降低HBsAg对于乙肝临床治愈和降低HCC风险具有重要意义，HBsAg的持续清除也被作为目前乙肝临床治愈的主要终点之一。</w:t>
      </w:r>
    </w:p>
    <w:p w14:paraId="1FBE38FE">
      <w:pPr>
        <w:spacing w:line="360" w:lineRule="auto"/>
        <w:ind w:firstLine="480" w:firstLineChars="200"/>
        <w:rPr>
          <w:rFonts w:hint="eastAsia" w:ascii="宋体" w:hAnsi="宋体" w:cs="宋体"/>
          <w:color w:val="000000"/>
          <w:sz w:val="24"/>
          <w:szCs w:val="24"/>
          <w:shd w:val="clear" w:color="auto" w:fill="FFFFFF"/>
        </w:rPr>
      </w:pPr>
      <w:r>
        <w:rPr>
          <w:rFonts w:hint="eastAsia" w:ascii="宋体" w:hAnsi="宋体" w:cs="宋体"/>
          <w:color w:val="000000"/>
          <w:kern w:val="0"/>
          <w:sz w:val="24"/>
          <w:szCs w:val="24"/>
          <w:shd w:val="clear" w:color="auto" w:fill="FFFFFF"/>
        </w:rPr>
        <w:t>GST-HG131作为全球首个完成II期临床研究的口服HBsAg抑制剂，能够显著抑制乙肝HBsAg的表达，从而重启免疫，其作用机制是通过抑制HBV RNA的poly(A)尾部聚合，降低HBV RNA的稳定性而加速其降解，有望给人类挑战乙肝临床治愈带来新希望。迄今为止，全球范围内尚无同类产品上市。公司拥有</w:t>
      </w:r>
      <w:r>
        <w:rPr>
          <w:rFonts w:ascii="宋体" w:hAnsi="宋体" w:cs="宋体"/>
          <w:color w:val="000000"/>
          <w:kern w:val="0"/>
          <w:sz w:val="24"/>
          <w:szCs w:val="24"/>
          <w:shd w:val="clear" w:color="auto" w:fill="FFFFFF"/>
        </w:rPr>
        <w:t>GST-HG131</w:t>
      </w:r>
      <w:r>
        <w:rPr>
          <w:rFonts w:hint="eastAsia" w:ascii="宋体" w:hAnsi="宋体" w:cs="宋体"/>
          <w:color w:val="000000"/>
          <w:kern w:val="0"/>
          <w:sz w:val="24"/>
          <w:szCs w:val="24"/>
          <w:shd w:val="clear" w:color="auto" w:fill="FFFFFF"/>
        </w:rPr>
        <w:t>化合物的全球自主知识产权。</w:t>
      </w:r>
    </w:p>
    <w:p w14:paraId="5F9D31DA">
      <w:pPr>
        <w:pStyle w:val="2"/>
        <w:spacing w:before="156" w:after="156"/>
      </w:pPr>
      <w:r>
        <w:rPr>
          <w:rFonts w:hint="eastAsia"/>
        </w:rPr>
        <w:t>三、对上市公司影响和风险提示</w:t>
      </w:r>
    </w:p>
    <w:p w14:paraId="2C8E6046">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本次</w:t>
      </w:r>
      <w:r>
        <w:rPr>
          <w:rFonts w:ascii="宋体" w:hAnsi="宋体" w:cs="宋体"/>
          <w:kern w:val="0"/>
          <w:sz w:val="24"/>
          <w:szCs w:val="24"/>
        </w:rPr>
        <w:t>GST-HG131</w:t>
      </w:r>
      <w:r>
        <w:rPr>
          <w:rFonts w:hint="eastAsia" w:ascii="宋体" w:hAnsi="宋体" w:cs="宋体"/>
          <w:kern w:val="0"/>
          <w:sz w:val="24"/>
          <w:szCs w:val="24"/>
        </w:rPr>
        <w:t>的II期临床研究数据被美肝会年会正式接受为最新突破摘要口头报告是对其临床研究成果的认可，但尚需完成相关注册性临床研究并经国家药品审评部门审批通过后方可上市。创新药研发周期长，投入大，风险高，容易受到技术、审批、政策等多方面因素的影响，临床研究存在结果不及预期甚至临床研究失败的风险，后续能否获得批准存在不确定性。敬请广大投资者注意投资风险。</w:t>
      </w:r>
    </w:p>
    <w:p w14:paraId="6D101C5E">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公司将按国家有关规定积极推进上述研发项目，并及时对项目后续进展情况履行信息披露义务。</w:t>
      </w:r>
    </w:p>
    <w:p w14:paraId="1E1D322B">
      <w:pPr>
        <w:pStyle w:val="8"/>
        <w:spacing w:before="312" w:beforeLines="100" w:beforeAutospacing="0" w:after="312" w:afterLines="100" w:afterAutospacing="0" w:line="360" w:lineRule="auto"/>
        <w:ind w:firstLine="480" w:firstLineChars="200"/>
        <w:rPr>
          <w:rFonts w:hint="eastAsia"/>
          <w:kern w:val="2"/>
          <w:szCs w:val="21"/>
        </w:rPr>
      </w:pPr>
      <w:r>
        <w:rPr>
          <w:rFonts w:hint="eastAsia"/>
        </w:rPr>
        <w:t>特此公告。</w:t>
      </w:r>
    </w:p>
    <w:p w14:paraId="611A6460">
      <w:pPr>
        <w:spacing w:before="156" w:beforeLines="50" w:after="156" w:afterLines="50" w:line="360" w:lineRule="auto"/>
        <w:rPr>
          <w:rFonts w:hint="eastAsia" w:ascii="宋体" w:hAnsi="宋体" w:cs="宋体"/>
          <w:kern w:val="0"/>
          <w:sz w:val="24"/>
          <w:szCs w:val="24"/>
        </w:rPr>
      </w:pPr>
    </w:p>
    <w:p w14:paraId="4C899F06">
      <w:pPr>
        <w:spacing w:line="360" w:lineRule="auto"/>
        <w:ind w:firstLine="480" w:firstLineChars="200"/>
        <w:rPr>
          <w:rFonts w:hint="eastAsia" w:ascii="宋体" w:hAnsi="宋体" w:cs="宋体"/>
          <w:sz w:val="24"/>
          <w:szCs w:val="21"/>
        </w:rPr>
      </w:pPr>
    </w:p>
    <w:p w14:paraId="56A69573">
      <w:pPr>
        <w:widowControl/>
        <w:adjustRightInd w:val="0"/>
        <w:snapToGrid w:val="0"/>
        <w:spacing w:line="360" w:lineRule="auto"/>
        <w:ind w:firstLine="480" w:firstLineChars="200"/>
        <w:jc w:val="right"/>
        <w:rPr>
          <w:rFonts w:hint="eastAsia" w:ascii="宋体" w:hAnsi="宋体" w:cs="宋体"/>
          <w:sz w:val="24"/>
          <w:szCs w:val="21"/>
        </w:rPr>
      </w:pPr>
      <w:r>
        <w:rPr>
          <w:rFonts w:hint="eastAsia" w:ascii="宋体" w:hAnsi="宋体" w:cs="宋体"/>
          <w:sz w:val="24"/>
          <w:szCs w:val="21"/>
        </w:rPr>
        <w:t>福建广生堂药业股份有限公司董事会</w:t>
      </w:r>
    </w:p>
    <w:p w14:paraId="4FC048AC">
      <w:pPr>
        <w:widowControl/>
        <w:adjustRightInd w:val="0"/>
        <w:snapToGrid w:val="0"/>
        <w:spacing w:line="360" w:lineRule="auto"/>
        <w:ind w:firstLine="5520" w:firstLineChars="2300"/>
        <w:jc w:val="left"/>
        <w:rPr>
          <w:rFonts w:hint="eastAsia" w:ascii="宋体" w:hAnsi="宋体" w:cs="宋体"/>
          <w:sz w:val="24"/>
          <w:szCs w:val="24"/>
        </w:rPr>
      </w:pPr>
      <w:r>
        <w:rPr>
          <w:rFonts w:hint="eastAsia" w:ascii="宋体" w:hAnsi="宋体" w:cs="宋体"/>
          <w:sz w:val="24"/>
          <w:szCs w:val="21"/>
        </w:rPr>
        <w:t>2025年10月10日</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D8B31">
    <w:pPr>
      <w:pStyle w:val="5"/>
      <w:jc w:val="center"/>
    </w:pPr>
    <w:r>
      <w:fldChar w:fldCharType="begin"/>
    </w:r>
    <w:r>
      <w:instrText xml:space="preserve">PAGE   \* MERGEFORMAT</w:instrText>
    </w:r>
    <w:r>
      <w:fldChar w:fldCharType="separate"/>
    </w:r>
    <w:r>
      <w:rPr>
        <w:lang w:val="zh-CN"/>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FA0CC">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67D05">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B83DD">
    <w:pPr>
      <w:pStyle w:val="6"/>
      <w:tabs>
        <w:tab w:val="right" w:pos="9214"/>
        <w:tab w:val="clear" w:pos="8306"/>
      </w:tabs>
      <w:ind w:left="-1277" w:leftChars="-608" w:right="-1331" w:rightChars="-634" w:firstLine="1"/>
    </w:pPr>
    <w: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7559040" cy="10692130"/>
          <wp:effectExtent l="0" t="0" r="3810" b="13970"/>
          <wp:wrapNone/>
          <wp:docPr id="3" name="WordPictureWatermark3069298" descr="通用信笺底板20140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3069298" descr="通用信笺底板20140220"/>
                  <pic:cNvPicPr>
                    <a:picLocks noChangeAspect="1"/>
                  </pic:cNvPicPr>
                </pic:nvPicPr>
                <pic:blipFill>
                  <a:blip r:embed="rId1"/>
                  <a:stretch>
                    <a:fillRect/>
                  </a:stretch>
                </pic:blipFill>
                <pic:spPr>
                  <a:xfrm>
                    <a:off x="0" y="0"/>
                    <a:ext cx="7559040" cy="1069213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067F9">
    <w:pPr>
      <w:pStyle w:val="6"/>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7559040" cy="10692130"/>
          <wp:effectExtent l="0" t="0" r="3810" b="13970"/>
          <wp:wrapNone/>
          <wp:docPr id="2" name="WordPictureWatermark3069297" descr="通用信笺底板20140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3069297" descr="通用信笺底板20140220"/>
                  <pic:cNvPicPr>
                    <a:picLocks noChangeAspect="1"/>
                  </pic:cNvPicPr>
                </pic:nvPicPr>
                <pic:blipFill>
                  <a:blip r:embed="rId1"/>
                  <a:stretch>
                    <a:fillRect/>
                  </a:stretch>
                </pic:blipFill>
                <pic:spPr>
                  <a:xfrm>
                    <a:off x="0" y="0"/>
                    <a:ext cx="7559040" cy="1069213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5F3B6">
    <w:pPr>
      <w:pStyle w:val="6"/>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7559040" cy="10692130"/>
          <wp:effectExtent l="0" t="0" r="3810" b="13970"/>
          <wp:wrapNone/>
          <wp:docPr id="1" name="WordPictureWatermark3069296" descr="通用信笺底板20140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3069296" descr="通用信笺底板20140220"/>
                  <pic:cNvPicPr>
                    <a:picLocks noChangeAspect="1"/>
                  </pic:cNvPicPr>
                </pic:nvPicPr>
                <pic:blipFill>
                  <a:blip r:embed="rId1"/>
                  <a:stretch>
                    <a:fillRect/>
                  </a:stretch>
                </pic:blipFill>
                <pic:spPr>
                  <a:xfrm>
                    <a:off x="0" y="0"/>
                    <a:ext cx="7559040" cy="1069213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4MDAzNjNiM2EwYjNjY2VkN2I2ZWY4OTg5YTA1ZWYifQ=="/>
    <w:docVar w:name="metasota_documentID" w:val="8664832032503259136"/>
  </w:docVars>
  <w:rsids>
    <w:rsidRoot w:val="00082C74"/>
    <w:rsid w:val="00043EA5"/>
    <w:rsid w:val="00062142"/>
    <w:rsid w:val="00082C74"/>
    <w:rsid w:val="000B649F"/>
    <w:rsid w:val="000F1437"/>
    <w:rsid w:val="000F1CA1"/>
    <w:rsid w:val="000F2B72"/>
    <w:rsid w:val="000F51AB"/>
    <w:rsid w:val="00116859"/>
    <w:rsid w:val="00121C1C"/>
    <w:rsid w:val="00144C6A"/>
    <w:rsid w:val="00161734"/>
    <w:rsid w:val="001E7528"/>
    <w:rsid w:val="001F5A28"/>
    <w:rsid w:val="0021331C"/>
    <w:rsid w:val="002448CC"/>
    <w:rsid w:val="0024604B"/>
    <w:rsid w:val="002505EA"/>
    <w:rsid w:val="002534AF"/>
    <w:rsid w:val="002562CC"/>
    <w:rsid w:val="002D1F1C"/>
    <w:rsid w:val="00303F01"/>
    <w:rsid w:val="00303F1D"/>
    <w:rsid w:val="003225AE"/>
    <w:rsid w:val="003670FD"/>
    <w:rsid w:val="00376191"/>
    <w:rsid w:val="00391F41"/>
    <w:rsid w:val="0039336F"/>
    <w:rsid w:val="003975DD"/>
    <w:rsid w:val="003C796A"/>
    <w:rsid w:val="003E7976"/>
    <w:rsid w:val="00432AA7"/>
    <w:rsid w:val="00441955"/>
    <w:rsid w:val="00472B98"/>
    <w:rsid w:val="00494C23"/>
    <w:rsid w:val="004C65EB"/>
    <w:rsid w:val="004C7FBE"/>
    <w:rsid w:val="004D3DF7"/>
    <w:rsid w:val="004F03D6"/>
    <w:rsid w:val="005013E0"/>
    <w:rsid w:val="00532AA5"/>
    <w:rsid w:val="00536F41"/>
    <w:rsid w:val="00547EA4"/>
    <w:rsid w:val="006062F8"/>
    <w:rsid w:val="0066395D"/>
    <w:rsid w:val="00690D05"/>
    <w:rsid w:val="006B1FE9"/>
    <w:rsid w:val="006C71F1"/>
    <w:rsid w:val="006E15EB"/>
    <w:rsid w:val="007320D8"/>
    <w:rsid w:val="007568F4"/>
    <w:rsid w:val="00756F5D"/>
    <w:rsid w:val="00791B37"/>
    <w:rsid w:val="007D07FC"/>
    <w:rsid w:val="007F5678"/>
    <w:rsid w:val="00817654"/>
    <w:rsid w:val="008A6743"/>
    <w:rsid w:val="008B3EDD"/>
    <w:rsid w:val="008D4935"/>
    <w:rsid w:val="008D666C"/>
    <w:rsid w:val="008E44A2"/>
    <w:rsid w:val="008F7F84"/>
    <w:rsid w:val="009949E8"/>
    <w:rsid w:val="009E07F6"/>
    <w:rsid w:val="00A00FE0"/>
    <w:rsid w:val="00A11EF9"/>
    <w:rsid w:val="00A344A1"/>
    <w:rsid w:val="00A4458F"/>
    <w:rsid w:val="00A805AA"/>
    <w:rsid w:val="00A97735"/>
    <w:rsid w:val="00AB4096"/>
    <w:rsid w:val="00AF1AA1"/>
    <w:rsid w:val="00B34BA9"/>
    <w:rsid w:val="00BB6AEE"/>
    <w:rsid w:val="00BE7D4C"/>
    <w:rsid w:val="00C95548"/>
    <w:rsid w:val="00CC0F8D"/>
    <w:rsid w:val="00CC3391"/>
    <w:rsid w:val="00CD4982"/>
    <w:rsid w:val="00D001AA"/>
    <w:rsid w:val="00D00605"/>
    <w:rsid w:val="00D075CC"/>
    <w:rsid w:val="00D372B2"/>
    <w:rsid w:val="00D44ECB"/>
    <w:rsid w:val="00DA523A"/>
    <w:rsid w:val="00DB2420"/>
    <w:rsid w:val="00E10BCF"/>
    <w:rsid w:val="00E424B3"/>
    <w:rsid w:val="00E71137"/>
    <w:rsid w:val="00EB30B6"/>
    <w:rsid w:val="00F40987"/>
    <w:rsid w:val="00F46DA3"/>
    <w:rsid w:val="00FC5C66"/>
    <w:rsid w:val="01832591"/>
    <w:rsid w:val="08B74923"/>
    <w:rsid w:val="093208FE"/>
    <w:rsid w:val="0B0225D9"/>
    <w:rsid w:val="0BC41804"/>
    <w:rsid w:val="106D4074"/>
    <w:rsid w:val="10AE6DBE"/>
    <w:rsid w:val="11BC4CC4"/>
    <w:rsid w:val="141B4B0A"/>
    <w:rsid w:val="14B42A93"/>
    <w:rsid w:val="15E20BAE"/>
    <w:rsid w:val="17286D0C"/>
    <w:rsid w:val="179764FD"/>
    <w:rsid w:val="17BE4DAF"/>
    <w:rsid w:val="189A41EE"/>
    <w:rsid w:val="1A4D7493"/>
    <w:rsid w:val="1AD55213"/>
    <w:rsid w:val="1E731769"/>
    <w:rsid w:val="1E756FD1"/>
    <w:rsid w:val="1F0F4DE2"/>
    <w:rsid w:val="20191E9C"/>
    <w:rsid w:val="204E03C0"/>
    <w:rsid w:val="21160150"/>
    <w:rsid w:val="215A1609"/>
    <w:rsid w:val="24A94139"/>
    <w:rsid w:val="24D35EFE"/>
    <w:rsid w:val="24EE1B49"/>
    <w:rsid w:val="25141186"/>
    <w:rsid w:val="27C56BA3"/>
    <w:rsid w:val="29961AB0"/>
    <w:rsid w:val="2A8668B4"/>
    <w:rsid w:val="2BD90527"/>
    <w:rsid w:val="2DA73BC9"/>
    <w:rsid w:val="2F4260D0"/>
    <w:rsid w:val="30333103"/>
    <w:rsid w:val="32070D49"/>
    <w:rsid w:val="35644951"/>
    <w:rsid w:val="36C10BB7"/>
    <w:rsid w:val="3A5124B9"/>
    <w:rsid w:val="3A896735"/>
    <w:rsid w:val="3BA819AA"/>
    <w:rsid w:val="3DFB283E"/>
    <w:rsid w:val="41BE5866"/>
    <w:rsid w:val="428E2D6F"/>
    <w:rsid w:val="43071F86"/>
    <w:rsid w:val="452669A6"/>
    <w:rsid w:val="462521AF"/>
    <w:rsid w:val="46A81416"/>
    <w:rsid w:val="4CBC5798"/>
    <w:rsid w:val="4D1A7B0D"/>
    <w:rsid w:val="4E520210"/>
    <w:rsid w:val="4E787F99"/>
    <w:rsid w:val="4FDE1EEA"/>
    <w:rsid w:val="4FF754A7"/>
    <w:rsid w:val="54F25B03"/>
    <w:rsid w:val="55701CD9"/>
    <w:rsid w:val="5CA23B87"/>
    <w:rsid w:val="61371BA7"/>
    <w:rsid w:val="619433E7"/>
    <w:rsid w:val="61BD594B"/>
    <w:rsid w:val="62FF1DE3"/>
    <w:rsid w:val="65B926B0"/>
    <w:rsid w:val="66F64CB2"/>
    <w:rsid w:val="67B6759E"/>
    <w:rsid w:val="67D0597C"/>
    <w:rsid w:val="68867589"/>
    <w:rsid w:val="6AC01691"/>
    <w:rsid w:val="6C1D7DFE"/>
    <w:rsid w:val="6DC538B9"/>
    <w:rsid w:val="70C0732B"/>
    <w:rsid w:val="74E51BC9"/>
    <w:rsid w:val="75BB0D44"/>
    <w:rsid w:val="78EE574A"/>
    <w:rsid w:val="79372FD8"/>
    <w:rsid w:val="798C7FDD"/>
    <w:rsid w:val="7D975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paragraph" w:styleId="2">
    <w:name w:val="heading 1"/>
    <w:basedOn w:val="1"/>
    <w:next w:val="3"/>
    <w:qFormat/>
    <w:uiPriority w:val="9"/>
    <w:pPr>
      <w:keepNext/>
      <w:keepLines/>
      <w:spacing w:beforeLines="50" w:afterLines="50" w:line="360" w:lineRule="auto"/>
      <w:outlineLvl w:val="0"/>
    </w:pPr>
    <w:rPr>
      <w:b/>
      <w:kern w:val="44"/>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qFormat/>
    <w:uiPriority w:val="0"/>
    <w:pPr>
      <w:spacing w:before="50" w:beforeLines="50" w:after="160" w:line="360" w:lineRule="auto"/>
      <w:ind w:firstLine="200" w:firstLineChars="200"/>
      <w:jc w:val="both"/>
    </w:pPr>
    <w:rPr>
      <w:rFonts w:ascii="Times New Roman" w:hAnsi="Times New Roman" w:eastAsia="宋体" w:cs="Times New Roman"/>
      <w:kern w:val="2"/>
      <w:sz w:val="24"/>
      <w:szCs w:val="23"/>
      <w:lang w:val="en-US" w:eastAsia="zh-CN" w:bidi="ar-SA"/>
    </w:rPr>
  </w:style>
  <w:style w:type="paragraph" w:styleId="4">
    <w:name w:val="annotation text"/>
    <w:basedOn w:val="1"/>
    <w:semiHidden/>
    <w:unhideWhenUsed/>
    <w:qFormat/>
    <w:uiPriority w:val="99"/>
    <w:pPr>
      <w:jc w:val="left"/>
    </w:p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link w:val="1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rPr>
  </w:style>
  <w:style w:type="character" w:customStyle="1" w:styleId="13">
    <w:name w:val="页脚 字符"/>
    <w:link w:val="5"/>
    <w:qFormat/>
    <w:uiPriority w:val="99"/>
    <w:rPr>
      <w:sz w:val="18"/>
      <w:szCs w:val="18"/>
    </w:rPr>
  </w:style>
  <w:style w:type="character" w:customStyle="1" w:styleId="14">
    <w:name w:val="页眉 字符"/>
    <w:link w:val="6"/>
    <w:semiHidden/>
    <w:qFormat/>
    <w:uiPriority w:val="99"/>
    <w:rPr>
      <w:sz w:val="18"/>
      <w:szCs w:val="18"/>
    </w:rPr>
  </w:style>
  <w:style w:type="character" w:customStyle="1" w:styleId="15">
    <w:name w:val="HTML 预设格式 字符"/>
    <w:link w:val="7"/>
    <w:qFormat/>
    <w:uiPriority w:val="99"/>
    <w:rPr>
      <w:rFonts w:ascii="宋体" w:hAnsi="宋体" w:cs="宋体"/>
      <w:sz w:val="24"/>
      <w:szCs w:val="24"/>
    </w:rPr>
  </w:style>
  <w:style w:type="table" w:customStyle="1" w:styleId="16">
    <w:name w:val="网格型1"/>
    <w:basedOn w:val="9"/>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7">
    <w:name w:val="fontstyle01"/>
    <w:qFormat/>
    <w:uiPriority w:val="0"/>
    <w:rPr>
      <w:rFonts w:hint="eastAsia" w:ascii="宋体" w:hAnsi="宋体" w:eastAsia="宋体"/>
      <w:color w:val="000000"/>
      <w:sz w:val="24"/>
      <w:szCs w:val="24"/>
    </w:rPr>
  </w:style>
  <w:style w:type="paragraph" w:customStyle="1" w:styleId="18">
    <w:name w:val="修订1"/>
    <w:hidden/>
    <w:unhideWhenUsed/>
    <w:qFormat/>
    <w:uiPriority w:val="99"/>
    <w:pPr>
      <w:spacing w:after="160" w:line="278" w:lineRule="auto"/>
    </w:pPr>
    <w:rPr>
      <w:rFonts w:ascii="Calibri" w:hAnsi="Calibri" w:eastAsia="宋体" w:cs="Times New Roman"/>
      <w:kern w:val="2"/>
      <w:sz w:val="21"/>
      <w:szCs w:val="22"/>
      <w:lang w:val="en-US" w:eastAsia="zh-CN" w:bidi="ar-SA"/>
    </w:rPr>
  </w:style>
  <w:style w:type="paragraph" w:customStyle="1" w:styleId="19">
    <w:name w:val="Revision"/>
    <w:hidden/>
    <w:unhideWhenUsed/>
    <w:uiPriority w:val="99"/>
    <w:pPr>
      <w:spacing w:after="0" w:line="240" w:lineRule="auto"/>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company</Company>
  <Pages>3</Pages>
  <Words>1806</Words>
  <Characters>2198</Characters>
  <Lines>16</Lines>
  <Paragraphs>4</Paragraphs>
  <TotalTime>1</TotalTime>
  <ScaleCrop>false</ScaleCrop>
  <LinksUpToDate>false</LinksUpToDate>
  <CharactersWithSpaces>2235</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2014-02-19T09:25:00Z</dcterms:created>
  <dc:creator>王琴</dc:creator>
  <cp:lastModifiedBy>cdq</cp:lastModifiedBy>
  <cp:lastPrinted>2025-10-10T05:43:00Z</cp:lastPrinted>
  <dcterms:modified xsi:type="dcterms:W3CDTF">2025-10-10T09:57:27Z</dcterms:modified>
  <dc:title>证券代码:300436      证券简称：广生堂     公告编号：20170</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AA7FC7C7664E468FBD22A6CC66A61750</vt:lpwstr>
  </property>
  <property fmtid="{D5CDD505-2E9C-101B-9397-08002B2CF9AE}" pid="4" name="KSOTemplateDocerSaveRecord">
    <vt:lpwstr>eyJoZGlkIjoiY2Q4MDAzNjNiM2EwYjNjY2VkN2I2ZWY4OTg5YTA1ZWYiLCJ1c2VySWQiOiIxMzk5OTUwMzQxIn0=</vt:lpwstr>
  </property>
</Properties>
</file>