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8ACFB3">
      <w:pPr>
        <w:spacing w:line="360" w:lineRule="auto"/>
        <w:rPr>
          <w:rFonts w:hint="eastAsia" w:ascii="宋体" w:hAnsi="宋体" w:cs="宋体"/>
          <w:kern w:val="0"/>
          <w:sz w:val="16"/>
          <w:szCs w:val="16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证券代码：300436       证券简称：广生堂        公告编号：2026003</w:t>
      </w:r>
    </w:p>
    <w:p w14:paraId="134ED23C">
      <w:pPr>
        <w:spacing w:before="312" w:beforeLines="10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福建广生堂药业股份有限公司</w:t>
      </w:r>
    </w:p>
    <w:p w14:paraId="51E3F0DB"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2025年度业绩预告</w:t>
      </w:r>
    </w:p>
    <w:tbl>
      <w:tblPr>
        <w:tblStyle w:val="13"/>
        <w:tblW w:w="85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560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8522" w:type="dxa"/>
            <w:vAlign w:val="center"/>
          </w:tcPr>
          <w:p w14:paraId="309BF014">
            <w:pPr>
              <w:ind w:firstLine="600" w:firstLineChars="200"/>
              <w:rPr>
                <w:rFonts w:hint="eastAsia" w:ascii="宋体" w:hAnsi="宋体" w:cs="宋体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753C529">
      <w:pPr>
        <w:spacing w:line="360" w:lineRule="auto"/>
        <w:ind w:firstLine="420" w:firstLineChars="200"/>
        <w:rPr>
          <w:rFonts w:hint="eastAsia" w:ascii="宋体" w:hAnsi="宋体" w:cs="宋体"/>
          <w:highlight w:val="none"/>
        </w:rPr>
      </w:pPr>
    </w:p>
    <w:p w14:paraId="243247C9">
      <w:pPr>
        <w:pStyle w:val="2"/>
        <w:spacing w:before="156" w:after="156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一、本期业绩预计情况</w:t>
      </w:r>
    </w:p>
    <w:p w14:paraId="37F8AC8F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1、业绩预告期间：2025年1月1日至2025年12月31日。</w:t>
      </w:r>
    </w:p>
    <w:p w14:paraId="5A00A8D0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2、业绩预告情况：预计净利润为负值</w:t>
      </w:r>
    </w:p>
    <w:tbl>
      <w:tblPr>
        <w:tblStyle w:val="13"/>
        <w:tblW w:w="8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760"/>
        <w:gridCol w:w="2920"/>
      </w:tblGrid>
      <w:tr w14:paraId="30E45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B6EA3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项  目</w:t>
            </w:r>
          </w:p>
        </w:tc>
        <w:tc>
          <w:tcPr>
            <w:tcW w:w="3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E91E30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本报告期</w:t>
            </w:r>
          </w:p>
        </w:tc>
        <w:tc>
          <w:tcPr>
            <w:tcW w:w="2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DBF59C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上年同期</w:t>
            </w:r>
          </w:p>
        </w:tc>
      </w:tr>
      <w:tr w14:paraId="497D9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0DB9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归属于上市公司股东的净利润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8BD2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亏损：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,000万元–2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,000万元</w:t>
            </w:r>
          </w:p>
        </w:tc>
        <w:tc>
          <w:tcPr>
            <w:tcW w:w="292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1018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亏损：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630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4万元</w:t>
            </w:r>
          </w:p>
        </w:tc>
      </w:tr>
      <w:tr w14:paraId="751BE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FBDDCE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扣除非经常性损益后的净利润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CFCE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亏损：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,750万元–2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,750万元</w:t>
            </w:r>
          </w:p>
        </w:tc>
        <w:tc>
          <w:tcPr>
            <w:tcW w:w="292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293D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亏损：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953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9万元</w:t>
            </w:r>
          </w:p>
        </w:tc>
      </w:tr>
    </w:tbl>
    <w:p w14:paraId="60670743">
      <w:pPr>
        <w:pStyle w:val="2"/>
        <w:spacing w:before="156" w:after="156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二、与会计师事务所沟通情况</w:t>
      </w:r>
    </w:p>
    <w:p w14:paraId="6B8E7459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本次业绩预告相关财务数据是公司财务部门初步测算的结果，未经会计师事务所审计。公司已就本报告期业绩预告有关事项与会计师事务所进行预沟通，双方在本次业绩预告方面不存在重大分歧。</w:t>
      </w:r>
    </w:p>
    <w:p w14:paraId="53126075">
      <w:pPr>
        <w:pStyle w:val="2"/>
        <w:spacing w:before="156" w:after="156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三、业绩变动原因说明</w:t>
      </w:r>
    </w:p>
    <w:p w14:paraId="42155126">
      <w:pPr>
        <w:pStyle w:val="7"/>
        <w:snapToGrid w:val="0"/>
        <w:spacing w:before="156" w:beforeLines="50" w:after="0" w:line="360" w:lineRule="auto"/>
        <w:ind w:left="0" w:leftChars="0" w:firstLine="480" w:firstLineChars="200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本报告期内，公司业绩亏损主要影响原因如下：</w:t>
      </w:r>
    </w:p>
    <w:p w14:paraId="183EA62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line="360" w:lineRule="auto"/>
        <w:ind w:left="0" w:leftChars="0" w:firstLine="480" w:firstLineChars="200"/>
        <w:textAlignment w:val="auto"/>
        <w:rPr>
          <w:rFonts w:ascii="宋体" w:hAnsi="宋体" w:cs="宋体"/>
          <w:color w:val="000000"/>
          <w:sz w:val="24"/>
          <w:highlight w:val="none"/>
        </w:rPr>
      </w:pP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cs="宋体"/>
          <w:color w:val="000000"/>
          <w:sz w:val="24"/>
          <w:highlight w:val="none"/>
        </w:rPr>
        <w:t>报告期内，</w:t>
      </w:r>
      <w:r>
        <w:rPr>
          <w:rFonts w:ascii="宋体" w:hAnsi="宋体" w:cs="宋体"/>
          <w:color w:val="000000"/>
          <w:sz w:val="24"/>
          <w:highlight w:val="none"/>
        </w:rPr>
        <w:t>公司始终坚持创新药发展战略，持续</w:t>
      </w:r>
      <w:r>
        <w:rPr>
          <w:rFonts w:hint="eastAsia" w:ascii="宋体" w:hAnsi="宋体" w:cs="宋体"/>
          <w:color w:val="000000"/>
          <w:sz w:val="24"/>
          <w:highlight w:val="none"/>
        </w:rPr>
        <w:t>研发</w:t>
      </w:r>
      <w:r>
        <w:rPr>
          <w:rFonts w:ascii="宋体" w:hAnsi="宋体" w:cs="宋体"/>
          <w:color w:val="000000"/>
          <w:sz w:val="24"/>
          <w:highlight w:val="none"/>
        </w:rPr>
        <w:t>投入</w:t>
      </w:r>
      <w:r>
        <w:rPr>
          <w:rFonts w:hint="eastAsia" w:ascii="宋体" w:hAnsi="宋体" w:cs="宋体"/>
          <w:color w:val="000000"/>
          <w:sz w:val="24"/>
          <w:highlight w:val="none"/>
        </w:rPr>
        <w:t>以快速</w:t>
      </w:r>
      <w:r>
        <w:rPr>
          <w:rFonts w:ascii="宋体" w:hAnsi="宋体" w:cs="宋体"/>
          <w:color w:val="000000"/>
          <w:sz w:val="24"/>
          <w:highlight w:val="none"/>
        </w:rPr>
        <w:t>推进</w:t>
      </w:r>
      <w:r>
        <w:rPr>
          <w:rFonts w:hint="eastAsia" w:ascii="宋体" w:hAnsi="宋体" w:cs="宋体"/>
          <w:color w:val="000000"/>
          <w:sz w:val="24"/>
          <w:highlight w:val="none"/>
        </w:rPr>
        <w:t>创新药</w:t>
      </w:r>
      <w:r>
        <w:rPr>
          <w:rFonts w:ascii="宋体" w:hAnsi="宋体" w:cs="宋体"/>
          <w:color w:val="000000"/>
          <w:sz w:val="24"/>
          <w:highlight w:val="none"/>
        </w:rPr>
        <w:t>临床研究，</w:t>
      </w:r>
      <w:r>
        <w:rPr>
          <w:rFonts w:hint="eastAsia" w:ascii="宋体" w:hAnsi="宋体" w:cs="宋体"/>
          <w:color w:val="000000"/>
          <w:sz w:val="24"/>
          <w:highlight w:val="none"/>
        </w:rPr>
        <w:t>且</w:t>
      </w:r>
      <w:r>
        <w:rPr>
          <w:rFonts w:ascii="宋体" w:hAnsi="宋体" w:cs="宋体"/>
          <w:color w:val="000000"/>
          <w:sz w:val="24"/>
          <w:highlight w:val="none"/>
        </w:rPr>
        <w:t>受前期固定资产投资较大等因素影响，</w:t>
      </w:r>
      <w:r>
        <w:rPr>
          <w:rFonts w:hint="eastAsia" w:ascii="宋体" w:hAnsi="宋体" w:cs="宋体"/>
          <w:color w:val="000000"/>
          <w:sz w:val="24"/>
          <w:highlight w:val="none"/>
        </w:rPr>
        <w:t>公司研发费用和管理费用保持在较高水平。截止目前，在研</w:t>
      </w:r>
      <w:r>
        <w:rPr>
          <w:rFonts w:ascii="宋体" w:hAnsi="宋体" w:cs="宋体"/>
          <w:color w:val="000000"/>
          <w:sz w:val="24"/>
          <w:highlight w:val="none"/>
        </w:rPr>
        <w:t>乙肝治疗一类创新药奈瑞可韦GST-HG141的III期临床试验已</w:t>
      </w:r>
      <w:r>
        <w:rPr>
          <w:rFonts w:hint="eastAsia" w:ascii="宋体" w:hAnsi="宋体" w:cs="宋体"/>
          <w:color w:val="000000"/>
          <w:sz w:val="24"/>
          <w:highlight w:val="none"/>
        </w:rPr>
        <w:t>完成</w:t>
      </w:r>
      <w:r>
        <w:rPr>
          <w:rFonts w:ascii="宋体" w:hAnsi="宋体" w:cs="宋体"/>
          <w:color w:val="000000"/>
          <w:sz w:val="24"/>
          <w:highlight w:val="none"/>
        </w:rPr>
        <w:t xml:space="preserve"> 526 例受试者入组，达到</w:t>
      </w:r>
      <w:r>
        <w:rPr>
          <w:rFonts w:hint="eastAsia" w:ascii="宋体" w:hAnsi="宋体" w:cs="宋体"/>
          <w:color w:val="000000"/>
          <w:sz w:val="24"/>
          <w:highlight w:val="none"/>
        </w:rPr>
        <w:t>临床</w:t>
      </w:r>
      <w:r>
        <w:rPr>
          <w:rFonts w:ascii="宋体" w:hAnsi="宋体" w:cs="宋体"/>
          <w:color w:val="000000"/>
          <w:sz w:val="24"/>
          <w:highlight w:val="none"/>
        </w:rPr>
        <w:t>方案</w:t>
      </w:r>
      <w:r>
        <w:rPr>
          <w:rFonts w:hint="eastAsia" w:ascii="宋体" w:hAnsi="宋体" w:cs="宋体"/>
          <w:color w:val="000000"/>
          <w:sz w:val="24"/>
          <w:highlight w:val="none"/>
        </w:rPr>
        <w:t>设定</w:t>
      </w:r>
      <w:r>
        <w:rPr>
          <w:rFonts w:ascii="宋体" w:hAnsi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cs="宋体"/>
          <w:color w:val="000000"/>
          <w:sz w:val="24"/>
          <w:highlight w:val="none"/>
        </w:rPr>
        <w:t>计划</w:t>
      </w:r>
      <w:r>
        <w:rPr>
          <w:rFonts w:ascii="宋体" w:hAnsi="宋体" w:cs="宋体"/>
          <w:color w:val="000000"/>
          <w:sz w:val="24"/>
          <w:highlight w:val="none"/>
        </w:rPr>
        <w:t>目标入组数</w:t>
      </w:r>
      <w:r>
        <w:rPr>
          <w:rFonts w:hint="eastAsia" w:ascii="宋体" w:hAnsi="宋体" w:cs="宋体"/>
          <w:color w:val="000000"/>
          <w:sz w:val="24"/>
          <w:highlight w:val="none"/>
        </w:rPr>
        <w:t>，</w:t>
      </w:r>
      <w:r>
        <w:rPr>
          <w:rFonts w:ascii="宋体" w:hAnsi="宋体" w:cs="宋体"/>
          <w:color w:val="000000"/>
          <w:sz w:val="24"/>
          <w:highlight w:val="none"/>
        </w:rPr>
        <w:t>后续将继续推进受试者入组工作</w:t>
      </w:r>
      <w:r>
        <w:rPr>
          <w:rFonts w:hint="eastAsia" w:ascii="宋体" w:hAnsi="宋体" w:cs="宋体"/>
          <w:color w:val="000000"/>
          <w:sz w:val="24"/>
          <w:highlight w:val="none"/>
        </w:rPr>
        <w:t>，</w:t>
      </w:r>
      <w:r>
        <w:rPr>
          <w:rFonts w:ascii="宋体" w:hAnsi="宋体" w:cs="宋体"/>
          <w:color w:val="000000"/>
          <w:sz w:val="24"/>
          <w:highlight w:val="none"/>
        </w:rPr>
        <w:t>预计</w:t>
      </w:r>
      <w:r>
        <w:rPr>
          <w:rFonts w:hint="eastAsia" w:ascii="宋体" w:hAnsi="宋体" w:cs="宋体"/>
          <w:color w:val="000000"/>
          <w:sz w:val="24"/>
          <w:highlight w:val="none"/>
        </w:rPr>
        <w:t>于2026年2月中旬完成全部入组，</w:t>
      </w:r>
      <w:r>
        <w:rPr>
          <w:rFonts w:ascii="宋体" w:hAnsi="宋体" w:cs="宋体"/>
          <w:color w:val="000000"/>
          <w:sz w:val="24"/>
          <w:highlight w:val="none"/>
        </w:rPr>
        <w:t>最终入组人数可能在原计划目标基础上</w:t>
      </w:r>
      <w:r>
        <w:rPr>
          <w:rFonts w:hint="eastAsia" w:ascii="宋体" w:hAnsi="宋体" w:cs="宋体"/>
          <w:color w:val="000000"/>
          <w:sz w:val="24"/>
          <w:highlight w:val="none"/>
        </w:rPr>
        <w:t>有少部分</w:t>
      </w:r>
      <w:r>
        <w:rPr>
          <w:rFonts w:ascii="宋体" w:hAnsi="宋体" w:cs="宋体"/>
          <w:color w:val="000000"/>
          <w:sz w:val="24"/>
          <w:highlight w:val="none"/>
        </w:rPr>
        <w:t>增加。</w:t>
      </w:r>
    </w:p>
    <w:p w14:paraId="30525B7E"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line="360" w:lineRule="auto"/>
        <w:ind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创新药研发周期长，投入大，风险高，容易受到多方面因素的影响，临床研究存在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研究进度和</w:t>
      </w:r>
      <w:r>
        <w:rPr>
          <w:rFonts w:hint="eastAsia" w:ascii="宋体" w:hAnsi="宋体" w:cs="宋体"/>
          <w:color w:val="000000"/>
          <w:sz w:val="24"/>
          <w:highlight w:val="none"/>
        </w:rPr>
        <w:t>结果不及预期甚至失败的风险，后续能否获得批准存在不确定性。敬请广大投资者谨慎决策，注意防范投资风险。</w:t>
      </w:r>
    </w:p>
    <w:p w14:paraId="41D98E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2、</w:t>
      </w:r>
      <w:r>
        <w:rPr>
          <w:rFonts w:ascii="宋体" w:hAnsi="宋体" w:cs="宋体"/>
          <w:color w:val="000000"/>
          <w:sz w:val="24"/>
          <w:highlight w:val="none"/>
        </w:rPr>
        <w:t>公司基于谨慎性原则，对报告期末合并报表范围内无形资产、存货、</w:t>
      </w:r>
      <w:r>
        <w:rPr>
          <w:rFonts w:hint="eastAsia" w:ascii="宋体" w:hAnsi="宋体" w:cs="宋体"/>
          <w:color w:val="000000"/>
          <w:sz w:val="24"/>
          <w:highlight w:val="none"/>
        </w:rPr>
        <w:t>固定资产</w:t>
      </w:r>
      <w:r>
        <w:rPr>
          <w:rFonts w:ascii="宋体" w:hAnsi="宋体" w:cs="宋体"/>
          <w:color w:val="000000"/>
          <w:sz w:val="24"/>
          <w:highlight w:val="none"/>
        </w:rPr>
        <w:t>等资产进行减值测试，对发生减值的资产计提减值准备</w:t>
      </w:r>
      <w:r>
        <w:rPr>
          <w:rFonts w:hint="eastAsia" w:ascii="宋体" w:hAnsi="宋体" w:cs="宋体"/>
          <w:color w:val="000000"/>
          <w:sz w:val="24"/>
          <w:highlight w:val="none"/>
        </w:rPr>
        <w:t xml:space="preserve">。 </w:t>
      </w:r>
    </w:p>
    <w:p w14:paraId="524CC5E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3、报告期内，预计非经常性损益对公司归属于上市公司股东的净利润的影响约750万元，同比减少约3,573万元，主要是政府补助大幅减少。</w:t>
      </w:r>
    </w:p>
    <w:p w14:paraId="4A38CC4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上述计提资产减值准备等财务数据情况未经会计师事务所审计，计提资产减值准备的相关评估工作正在进行中，最终数据以会计师事务所审计结果为准。</w:t>
      </w:r>
    </w:p>
    <w:p w14:paraId="08A25E11">
      <w:pPr>
        <w:pStyle w:val="2"/>
        <w:spacing w:before="156" w:after="156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 xml:space="preserve">四、其他相关说明 </w:t>
      </w:r>
    </w:p>
    <w:p w14:paraId="57FF5936">
      <w:pPr>
        <w:pStyle w:val="7"/>
        <w:snapToGrid w:val="0"/>
        <w:spacing w:after="0" w:line="360" w:lineRule="auto"/>
        <w:ind w:left="0" w:leftChars="0" w:firstLine="480" w:firstLineChars="200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 xml:space="preserve">2025年年度具体财务数据将在公司2025年年度报告中详细披露，敬请广大投资者谨慎决策，注意投资风险。 </w:t>
      </w:r>
    </w:p>
    <w:p w14:paraId="7A0E5ECE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 w14:paraId="0EBDAE48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 xml:space="preserve">特此公告。 </w:t>
      </w:r>
    </w:p>
    <w:p w14:paraId="7A8E3D67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 w14:paraId="1DD3B5A8">
      <w:pPr>
        <w:adjustRightInd w:val="0"/>
        <w:spacing w:line="360" w:lineRule="auto"/>
        <w:ind w:firstLine="480" w:firstLineChars="200"/>
        <w:jc w:val="right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 xml:space="preserve">                           福建广生堂药业股份有限公司董事会 </w:t>
      </w:r>
    </w:p>
    <w:p w14:paraId="5DECBC08">
      <w:pPr>
        <w:adjustRightInd w:val="0"/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 xml:space="preserve">                                   2026年1月30日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2A727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1EE34EA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F528B">
    <w:pPr>
      <w:pStyle w:val="10"/>
      <w:tabs>
        <w:tab w:val="right" w:pos="9214"/>
        <w:tab w:val="clear" w:pos="8306"/>
      </w:tabs>
      <w:ind w:left="-1277" w:leftChars="-608" w:right="-1331" w:rightChars="-634" w:firstLine="1"/>
    </w:pPr>
    <w:r>
      <w:pict>
        <v:shape id="WordPictureWatermark3069298" o:spid="_x0000_s1026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31347">
    <w:pPr>
      <w:pStyle w:val="10"/>
    </w:pPr>
    <w:r>
      <w:pict>
        <v:shape id="WordPictureWatermark3069297" o:spid="_x0000_s1027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1A270">
    <w:pPr>
      <w:pStyle w:val="10"/>
    </w:pPr>
    <w:r>
      <w:pict>
        <v:shape id="WordPictureWatermark3069296" o:spid="_x0000_s1025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2ZWIyNTliNDI0ZWQxMTJlMTA0YzJiYjFkMGY2OTAifQ=="/>
    <w:docVar w:name="metasota_documentID" w:val="8705434078864293888"/>
  </w:docVars>
  <w:rsids>
    <w:rsidRoot w:val="00172A27"/>
    <w:rsid w:val="00000280"/>
    <w:rsid w:val="000020B8"/>
    <w:rsid w:val="00002D88"/>
    <w:rsid w:val="00003F65"/>
    <w:rsid w:val="00016FCA"/>
    <w:rsid w:val="000216F9"/>
    <w:rsid w:val="00025414"/>
    <w:rsid w:val="00033038"/>
    <w:rsid w:val="0004200F"/>
    <w:rsid w:val="00052C8E"/>
    <w:rsid w:val="00054481"/>
    <w:rsid w:val="00077FE5"/>
    <w:rsid w:val="000801BB"/>
    <w:rsid w:val="00081D80"/>
    <w:rsid w:val="0008291C"/>
    <w:rsid w:val="00082C74"/>
    <w:rsid w:val="000A0403"/>
    <w:rsid w:val="000A275D"/>
    <w:rsid w:val="000A30FD"/>
    <w:rsid w:val="000A323A"/>
    <w:rsid w:val="000B259C"/>
    <w:rsid w:val="000C2C6E"/>
    <w:rsid w:val="000C5061"/>
    <w:rsid w:val="000D24E1"/>
    <w:rsid w:val="000E160E"/>
    <w:rsid w:val="000E1C57"/>
    <w:rsid w:val="000F0D32"/>
    <w:rsid w:val="000F1AA8"/>
    <w:rsid w:val="000F46E4"/>
    <w:rsid w:val="000F51AB"/>
    <w:rsid w:val="00104638"/>
    <w:rsid w:val="00112572"/>
    <w:rsid w:val="00114BAF"/>
    <w:rsid w:val="001201DC"/>
    <w:rsid w:val="00123E31"/>
    <w:rsid w:val="00124048"/>
    <w:rsid w:val="00135B12"/>
    <w:rsid w:val="001368B9"/>
    <w:rsid w:val="00141996"/>
    <w:rsid w:val="0015392F"/>
    <w:rsid w:val="00154D55"/>
    <w:rsid w:val="001571D6"/>
    <w:rsid w:val="001635CE"/>
    <w:rsid w:val="00170B60"/>
    <w:rsid w:val="00172A27"/>
    <w:rsid w:val="001745DB"/>
    <w:rsid w:val="0018792D"/>
    <w:rsid w:val="001944F3"/>
    <w:rsid w:val="001B1B41"/>
    <w:rsid w:val="001B2628"/>
    <w:rsid w:val="001B34EF"/>
    <w:rsid w:val="001B36AB"/>
    <w:rsid w:val="001B5759"/>
    <w:rsid w:val="001C6D6B"/>
    <w:rsid w:val="001D6CAB"/>
    <w:rsid w:val="001E1FF1"/>
    <w:rsid w:val="001E796C"/>
    <w:rsid w:val="001F15B6"/>
    <w:rsid w:val="001F6F1A"/>
    <w:rsid w:val="00202AC1"/>
    <w:rsid w:val="00212619"/>
    <w:rsid w:val="0021331C"/>
    <w:rsid w:val="002301F2"/>
    <w:rsid w:val="00230ABF"/>
    <w:rsid w:val="0023370F"/>
    <w:rsid w:val="002407C8"/>
    <w:rsid w:val="00253D35"/>
    <w:rsid w:val="00262C1A"/>
    <w:rsid w:val="002652B3"/>
    <w:rsid w:val="00266E2F"/>
    <w:rsid w:val="00282368"/>
    <w:rsid w:val="002946FE"/>
    <w:rsid w:val="002969C6"/>
    <w:rsid w:val="002A452E"/>
    <w:rsid w:val="002A6767"/>
    <w:rsid w:val="002B37D9"/>
    <w:rsid w:val="002C15F0"/>
    <w:rsid w:val="002C3822"/>
    <w:rsid w:val="002D187D"/>
    <w:rsid w:val="002E2A1F"/>
    <w:rsid w:val="002E7B26"/>
    <w:rsid w:val="002F6938"/>
    <w:rsid w:val="0030109C"/>
    <w:rsid w:val="0030770E"/>
    <w:rsid w:val="00311DC0"/>
    <w:rsid w:val="003138FE"/>
    <w:rsid w:val="003225AE"/>
    <w:rsid w:val="00322A41"/>
    <w:rsid w:val="00327CC5"/>
    <w:rsid w:val="00331307"/>
    <w:rsid w:val="0033216F"/>
    <w:rsid w:val="003326DE"/>
    <w:rsid w:val="003337DE"/>
    <w:rsid w:val="003368E1"/>
    <w:rsid w:val="0035610F"/>
    <w:rsid w:val="00371FB1"/>
    <w:rsid w:val="00376191"/>
    <w:rsid w:val="00376871"/>
    <w:rsid w:val="00380B6E"/>
    <w:rsid w:val="00385AE1"/>
    <w:rsid w:val="003867AF"/>
    <w:rsid w:val="003A1EAB"/>
    <w:rsid w:val="003C5EF2"/>
    <w:rsid w:val="003C796A"/>
    <w:rsid w:val="003E3A55"/>
    <w:rsid w:val="003E51AF"/>
    <w:rsid w:val="0040067E"/>
    <w:rsid w:val="004131F0"/>
    <w:rsid w:val="00414F53"/>
    <w:rsid w:val="00416401"/>
    <w:rsid w:val="00427740"/>
    <w:rsid w:val="00434A9A"/>
    <w:rsid w:val="00465FC3"/>
    <w:rsid w:val="00471384"/>
    <w:rsid w:val="004740F0"/>
    <w:rsid w:val="00480FE0"/>
    <w:rsid w:val="00484546"/>
    <w:rsid w:val="004B43EA"/>
    <w:rsid w:val="004C264F"/>
    <w:rsid w:val="004C65EB"/>
    <w:rsid w:val="004C7FBE"/>
    <w:rsid w:val="004D6979"/>
    <w:rsid w:val="004D6C43"/>
    <w:rsid w:val="004F077E"/>
    <w:rsid w:val="004F55E7"/>
    <w:rsid w:val="004F6961"/>
    <w:rsid w:val="004F6C43"/>
    <w:rsid w:val="00514F3F"/>
    <w:rsid w:val="00524548"/>
    <w:rsid w:val="00531645"/>
    <w:rsid w:val="00532AA5"/>
    <w:rsid w:val="00533811"/>
    <w:rsid w:val="005405AB"/>
    <w:rsid w:val="00547EA4"/>
    <w:rsid w:val="00554066"/>
    <w:rsid w:val="005547C9"/>
    <w:rsid w:val="00555233"/>
    <w:rsid w:val="005566D1"/>
    <w:rsid w:val="00560E6D"/>
    <w:rsid w:val="00561B73"/>
    <w:rsid w:val="0057385D"/>
    <w:rsid w:val="0057432C"/>
    <w:rsid w:val="00576A47"/>
    <w:rsid w:val="00580378"/>
    <w:rsid w:val="005816A6"/>
    <w:rsid w:val="005833D2"/>
    <w:rsid w:val="005A1A81"/>
    <w:rsid w:val="005D348A"/>
    <w:rsid w:val="005D4E28"/>
    <w:rsid w:val="00613F5E"/>
    <w:rsid w:val="00625641"/>
    <w:rsid w:val="00651DD7"/>
    <w:rsid w:val="00662525"/>
    <w:rsid w:val="0066322C"/>
    <w:rsid w:val="00666EB8"/>
    <w:rsid w:val="00671519"/>
    <w:rsid w:val="00673238"/>
    <w:rsid w:val="0068410C"/>
    <w:rsid w:val="0068693F"/>
    <w:rsid w:val="00693055"/>
    <w:rsid w:val="00694A5C"/>
    <w:rsid w:val="006A166F"/>
    <w:rsid w:val="006A29B5"/>
    <w:rsid w:val="006C1330"/>
    <w:rsid w:val="006C435C"/>
    <w:rsid w:val="006D2394"/>
    <w:rsid w:val="006E30F8"/>
    <w:rsid w:val="006E3FE5"/>
    <w:rsid w:val="006E6E4A"/>
    <w:rsid w:val="006F45B5"/>
    <w:rsid w:val="00703E3E"/>
    <w:rsid w:val="007043BB"/>
    <w:rsid w:val="00704BC0"/>
    <w:rsid w:val="00710A17"/>
    <w:rsid w:val="00725DCA"/>
    <w:rsid w:val="007275E7"/>
    <w:rsid w:val="007423E1"/>
    <w:rsid w:val="007460C7"/>
    <w:rsid w:val="00746662"/>
    <w:rsid w:val="007665D7"/>
    <w:rsid w:val="00767FA6"/>
    <w:rsid w:val="0077579C"/>
    <w:rsid w:val="007A0250"/>
    <w:rsid w:val="007A1C05"/>
    <w:rsid w:val="007A30F5"/>
    <w:rsid w:val="007B5DC4"/>
    <w:rsid w:val="007C06DF"/>
    <w:rsid w:val="007C5E7B"/>
    <w:rsid w:val="007C6B1A"/>
    <w:rsid w:val="007D07FC"/>
    <w:rsid w:val="007D0F78"/>
    <w:rsid w:val="007D51DE"/>
    <w:rsid w:val="007E778B"/>
    <w:rsid w:val="0080634F"/>
    <w:rsid w:val="00812014"/>
    <w:rsid w:val="008219BC"/>
    <w:rsid w:val="008321F0"/>
    <w:rsid w:val="008324FC"/>
    <w:rsid w:val="008518E9"/>
    <w:rsid w:val="0085490A"/>
    <w:rsid w:val="0085495B"/>
    <w:rsid w:val="008563A7"/>
    <w:rsid w:val="00860F8D"/>
    <w:rsid w:val="008641E0"/>
    <w:rsid w:val="00874E1F"/>
    <w:rsid w:val="00874F5C"/>
    <w:rsid w:val="008807F7"/>
    <w:rsid w:val="00881287"/>
    <w:rsid w:val="008815CE"/>
    <w:rsid w:val="008834D0"/>
    <w:rsid w:val="00883650"/>
    <w:rsid w:val="00895482"/>
    <w:rsid w:val="008A7399"/>
    <w:rsid w:val="008B6610"/>
    <w:rsid w:val="008C0506"/>
    <w:rsid w:val="008C27D2"/>
    <w:rsid w:val="008C426B"/>
    <w:rsid w:val="008C6458"/>
    <w:rsid w:val="008C71E7"/>
    <w:rsid w:val="008D0465"/>
    <w:rsid w:val="008D3D23"/>
    <w:rsid w:val="008D4935"/>
    <w:rsid w:val="008D666C"/>
    <w:rsid w:val="008D7BD8"/>
    <w:rsid w:val="008D7F1A"/>
    <w:rsid w:val="008D7FFA"/>
    <w:rsid w:val="008E563A"/>
    <w:rsid w:val="008F6BE5"/>
    <w:rsid w:val="009016CE"/>
    <w:rsid w:val="00903DDE"/>
    <w:rsid w:val="00906A6D"/>
    <w:rsid w:val="00906E1F"/>
    <w:rsid w:val="00916DC1"/>
    <w:rsid w:val="00917566"/>
    <w:rsid w:val="009327CB"/>
    <w:rsid w:val="00932BC4"/>
    <w:rsid w:val="00933CE2"/>
    <w:rsid w:val="00935F9B"/>
    <w:rsid w:val="00936D45"/>
    <w:rsid w:val="009378BB"/>
    <w:rsid w:val="0094267F"/>
    <w:rsid w:val="00945815"/>
    <w:rsid w:val="00945B35"/>
    <w:rsid w:val="009471A0"/>
    <w:rsid w:val="00960FEB"/>
    <w:rsid w:val="00971EFB"/>
    <w:rsid w:val="00977C2B"/>
    <w:rsid w:val="0098076C"/>
    <w:rsid w:val="00982EEA"/>
    <w:rsid w:val="00984058"/>
    <w:rsid w:val="0098590B"/>
    <w:rsid w:val="00987010"/>
    <w:rsid w:val="0099026F"/>
    <w:rsid w:val="00993797"/>
    <w:rsid w:val="009B5C81"/>
    <w:rsid w:val="009C64E8"/>
    <w:rsid w:val="009D63BC"/>
    <w:rsid w:val="009E07BA"/>
    <w:rsid w:val="009E12A6"/>
    <w:rsid w:val="009E70DE"/>
    <w:rsid w:val="009F7573"/>
    <w:rsid w:val="00A00CDF"/>
    <w:rsid w:val="00A03A4B"/>
    <w:rsid w:val="00A13724"/>
    <w:rsid w:val="00A16E7A"/>
    <w:rsid w:val="00A17658"/>
    <w:rsid w:val="00A203F7"/>
    <w:rsid w:val="00A22E0D"/>
    <w:rsid w:val="00A23195"/>
    <w:rsid w:val="00A320CE"/>
    <w:rsid w:val="00A33144"/>
    <w:rsid w:val="00A3716D"/>
    <w:rsid w:val="00A41CCD"/>
    <w:rsid w:val="00A42EA7"/>
    <w:rsid w:val="00A465B8"/>
    <w:rsid w:val="00A57300"/>
    <w:rsid w:val="00A57505"/>
    <w:rsid w:val="00A66FA3"/>
    <w:rsid w:val="00A67574"/>
    <w:rsid w:val="00A728EE"/>
    <w:rsid w:val="00A77552"/>
    <w:rsid w:val="00A80B26"/>
    <w:rsid w:val="00AA786E"/>
    <w:rsid w:val="00AA7C2A"/>
    <w:rsid w:val="00AB199E"/>
    <w:rsid w:val="00AB23D2"/>
    <w:rsid w:val="00AB61B4"/>
    <w:rsid w:val="00AB6C94"/>
    <w:rsid w:val="00AD2925"/>
    <w:rsid w:val="00AD395B"/>
    <w:rsid w:val="00AD3D0A"/>
    <w:rsid w:val="00AD70FF"/>
    <w:rsid w:val="00AE2863"/>
    <w:rsid w:val="00AE399B"/>
    <w:rsid w:val="00AF1AA1"/>
    <w:rsid w:val="00B12C97"/>
    <w:rsid w:val="00B12F4F"/>
    <w:rsid w:val="00B2372B"/>
    <w:rsid w:val="00B3332C"/>
    <w:rsid w:val="00B45789"/>
    <w:rsid w:val="00B470C3"/>
    <w:rsid w:val="00B5190B"/>
    <w:rsid w:val="00B531B0"/>
    <w:rsid w:val="00B60692"/>
    <w:rsid w:val="00B77758"/>
    <w:rsid w:val="00B852D5"/>
    <w:rsid w:val="00B91C47"/>
    <w:rsid w:val="00B942FD"/>
    <w:rsid w:val="00BA2D07"/>
    <w:rsid w:val="00BA382A"/>
    <w:rsid w:val="00BA54BF"/>
    <w:rsid w:val="00BC3541"/>
    <w:rsid w:val="00BC3A33"/>
    <w:rsid w:val="00BD0E6E"/>
    <w:rsid w:val="00BD42C7"/>
    <w:rsid w:val="00BD7CC5"/>
    <w:rsid w:val="00BE6B2C"/>
    <w:rsid w:val="00BF2EE4"/>
    <w:rsid w:val="00BF49C5"/>
    <w:rsid w:val="00BF6007"/>
    <w:rsid w:val="00C05D6F"/>
    <w:rsid w:val="00C10AD1"/>
    <w:rsid w:val="00C13842"/>
    <w:rsid w:val="00C17387"/>
    <w:rsid w:val="00C208A8"/>
    <w:rsid w:val="00C4508D"/>
    <w:rsid w:val="00C520BC"/>
    <w:rsid w:val="00C6343F"/>
    <w:rsid w:val="00C63831"/>
    <w:rsid w:val="00C667E0"/>
    <w:rsid w:val="00C72AC9"/>
    <w:rsid w:val="00CA7816"/>
    <w:rsid w:val="00CB0471"/>
    <w:rsid w:val="00CB311C"/>
    <w:rsid w:val="00CB72C5"/>
    <w:rsid w:val="00CC21A5"/>
    <w:rsid w:val="00CC3EE7"/>
    <w:rsid w:val="00CD000B"/>
    <w:rsid w:val="00CD0EA9"/>
    <w:rsid w:val="00CD4982"/>
    <w:rsid w:val="00CD4AD5"/>
    <w:rsid w:val="00CD5BDA"/>
    <w:rsid w:val="00CE23D1"/>
    <w:rsid w:val="00CF085E"/>
    <w:rsid w:val="00D001AA"/>
    <w:rsid w:val="00D05C59"/>
    <w:rsid w:val="00D251ED"/>
    <w:rsid w:val="00D25516"/>
    <w:rsid w:val="00D26E29"/>
    <w:rsid w:val="00D302DD"/>
    <w:rsid w:val="00D32EC0"/>
    <w:rsid w:val="00D3320B"/>
    <w:rsid w:val="00D346DE"/>
    <w:rsid w:val="00D47D3E"/>
    <w:rsid w:val="00D512BE"/>
    <w:rsid w:val="00D53E5E"/>
    <w:rsid w:val="00D57B96"/>
    <w:rsid w:val="00D749CE"/>
    <w:rsid w:val="00D81383"/>
    <w:rsid w:val="00D9225C"/>
    <w:rsid w:val="00D9291D"/>
    <w:rsid w:val="00DA3CE6"/>
    <w:rsid w:val="00DC474F"/>
    <w:rsid w:val="00DD417B"/>
    <w:rsid w:val="00DE6FDD"/>
    <w:rsid w:val="00DE7A52"/>
    <w:rsid w:val="00DF171A"/>
    <w:rsid w:val="00DF193C"/>
    <w:rsid w:val="00E02832"/>
    <w:rsid w:val="00E0558F"/>
    <w:rsid w:val="00E1146E"/>
    <w:rsid w:val="00E24D07"/>
    <w:rsid w:val="00E3304D"/>
    <w:rsid w:val="00E445AE"/>
    <w:rsid w:val="00E44B0D"/>
    <w:rsid w:val="00E51B00"/>
    <w:rsid w:val="00E636BB"/>
    <w:rsid w:val="00E63E87"/>
    <w:rsid w:val="00E76BFB"/>
    <w:rsid w:val="00E8408B"/>
    <w:rsid w:val="00EA591F"/>
    <w:rsid w:val="00EC3BFD"/>
    <w:rsid w:val="00EC3E32"/>
    <w:rsid w:val="00EC4018"/>
    <w:rsid w:val="00EC7B88"/>
    <w:rsid w:val="00ED11F7"/>
    <w:rsid w:val="00EE3FD3"/>
    <w:rsid w:val="00EE4FB1"/>
    <w:rsid w:val="00F0345F"/>
    <w:rsid w:val="00F17844"/>
    <w:rsid w:val="00F221D4"/>
    <w:rsid w:val="00F22E3D"/>
    <w:rsid w:val="00F34CA8"/>
    <w:rsid w:val="00F40456"/>
    <w:rsid w:val="00F43CA8"/>
    <w:rsid w:val="00F449DC"/>
    <w:rsid w:val="00F65DE9"/>
    <w:rsid w:val="00F73824"/>
    <w:rsid w:val="00F74B90"/>
    <w:rsid w:val="00F811F1"/>
    <w:rsid w:val="00F835FE"/>
    <w:rsid w:val="00F9458F"/>
    <w:rsid w:val="00FA111C"/>
    <w:rsid w:val="00FA2F32"/>
    <w:rsid w:val="00FB6044"/>
    <w:rsid w:val="00FC3106"/>
    <w:rsid w:val="00FC5017"/>
    <w:rsid w:val="00FC648D"/>
    <w:rsid w:val="00FD7CC1"/>
    <w:rsid w:val="00FE3714"/>
    <w:rsid w:val="00FE406E"/>
    <w:rsid w:val="00FF2DA0"/>
    <w:rsid w:val="00FF5D6F"/>
    <w:rsid w:val="010A2A54"/>
    <w:rsid w:val="011027CE"/>
    <w:rsid w:val="01AC1EE3"/>
    <w:rsid w:val="01D91AAE"/>
    <w:rsid w:val="020874E3"/>
    <w:rsid w:val="02395596"/>
    <w:rsid w:val="025901E7"/>
    <w:rsid w:val="02780EBE"/>
    <w:rsid w:val="03A34D06"/>
    <w:rsid w:val="03D37A53"/>
    <w:rsid w:val="040327B2"/>
    <w:rsid w:val="040F3A27"/>
    <w:rsid w:val="044D191B"/>
    <w:rsid w:val="0511773C"/>
    <w:rsid w:val="05272E46"/>
    <w:rsid w:val="05313213"/>
    <w:rsid w:val="055B78DA"/>
    <w:rsid w:val="05DC4FB7"/>
    <w:rsid w:val="05EB7ACA"/>
    <w:rsid w:val="05FD5DDE"/>
    <w:rsid w:val="06B31DB5"/>
    <w:rsid w:val="06BB591A"/>
    <w:rsid w:val="07212C19"/>
    <w:rsid w:val="072239C3"/>
    <w:rsid w:val="07913C76"/>
    <w:rsid w:val="079C3BAC"/>
    <w:rsid w:val="079D330C"/>
    <w:rsid w:val="07A11279"/>
    <w:rsid w:val="07ED4390"/>
    <w:rsid w:val="0839318B"/>
    <w:rsid w:val="084611B7"/>
    <w:rsid w:val="08EE2548"/>
    <w:rsid w:val="0A240D12"/>
    <w:rsid w:val="0A3C6411"/>
    <w:rsid w:val="0AA55803"/>
    <w:rsid w:val="0ADA025B"/>
    <w:rsid w:val="0AE72DF4"/>
    <w:rsid w:val="0AE77571"/>
    <w:rsid w:val="0AFB3A26"/>
    <w:rsid w:val="0B375B24"/>
    <w:rsid w:val="0BB951AD"/>
    <w:rsid w:val="0BE07789"/>
    <w:rsid w:val="0BF050BC"/>
    <w:rsid w:val="0C9814B6"/>
    <w:rsid w:val="0CA04AB7"/>
    <w:rsid w:val="0D2B1D29"/>
    <w:rsid w:val="0E263246"/>
    <w:rsid w:val="0F02192F"/>
    <w:rsid w:val="0F4942A2"/>
    <w:rsid w:val="10483D83"/>
    <w:rsid w:val="107B7E97"/>
    <w:rsid w:val="10E62DCA"/>
    <w:rsid w:val="114A726B"/>
    <w:rsid w:val="11BE502B"/>
    <w:rsid w:val="11E74B6B"/>
    <w:rsid w:val="132862FB"/>
    <w:rsid w:val="1369778C"/>
    <w:rsid w:val="14181987"/>
    <w:rsid w:val="14214815"/>
    <w:rsid w:val="142B2BA6"/>
    <w:rsid w:val="143F3FFF"/>
    <w:rsid w:val="144968D3"/>
    <w:rsid w:val="14763F1F"/>
    <w:rsid w:val="1521383F"/>
    <w:rsid w:val="157536D9"/>
    <w:rsid w:val="15E9057E"/>
    <w:rsid w:val="16B36D4D"/>
    <w:rsid w:val="16B71ED0"/>
    <w:rsid w:val="16CA7464"/>
    <w:rsid w:val="16E60822"/>
    <w:rsid w:val="17733908"/>
    <w:rsid w:val="17E11842"/>
    <w:rsid w:val="18014470"/>
    <w:rsid w:val="192667D1"/>
    <w:rsid w:val="19A971C2"/>
    <w:rsid w:val="1A0C6016"/>
    <w:rsid w:val="1A0D104E"/>
    <w:rsid w:val="1AC81CFA"/>
    <w:rsid w:val="1AE709B1"/>
    <w:rsid w:val="1AF866CC"/>
    <w:rsid w:val="1B8F7EC5"/>
    <w:rsid w:val="1B9E09DE"/>
    <w:rsid w:val="1BA16EE5"/>
    <w:rsid w:val="1BA36B65"/>
    <w:rsid w:val="1BF765EF"/>
    <w:rsid w:val="1C886DAC"/>
    <w:rsid w:val="1CA86413"/>
    <w:rsid w:val="1CE115A3"/>
    <w:rsid w:val="1CF13A6A"/>
    <w:rsid w:val="1CF14289"/>
    <w:rsid w:val="1D22178A"/>
    <w:rsid w:val="1DE928A7"/>
    <w:rsid w:val="1E027949"/>
    <w:rsid w:val="1E5D1F93"/>
    <w:rsid w:val="1F1433A6"/>
    <w:rsid w:val="1F5259A2"/>
    <w:rsid w:val="1FA712FF"/>
    <w:rsid w:val="1FAD7985"/>
    <w:rsid w:val="1FF5E3CD"/>
    <w:rsid w:val="205C0F61"/>
    <w:rsid w:val="20F35A9E"/>
    <w:rsid w:val="21583244"/>
    <w:rsid w:val="21AD2AE4"/>
    <w:rsid w:val="21C27070"/>
    <w:rsid w:val="21F22F60"/>
    <w:rsid w:val="2217060F"/>
    <w:rsid w:val="223C6D39"/>
    <w:rsid w:val="22A361E0"/>
    <w:rsid w:val="22D514B6"/>
    <w:rsid w:val="23651DDE"/>
    <w:rsid w:val="243A2F7C"/>
    <w:rsid w:val="25611454"/>
    <w:rsid w:val="258874B3"/>
    <w:rsid w:val="25A55103"/>
    <w:rsid w:val="25DA2675"/>
    <w:rsid w:val="268A4DCA"/>
    <w:rsid w:val="26FC3E04"/>
    <w:rsid w:val="271D1DBA"/>
    <w:rsid w:val="274A50E1"/>
    <w:rsid w:val="27A40D9A"/>
    <w:rsid w:val="28AB5803"/>
    <w:rsid w:val="28E31CE4"/>
    <w:rsid w:val="28F60E22"/>
    <w:rsid w:val="29151500"/>
    <w:rsid w:val="298A1EB4"/>
    <w:rsid w:val="2A1E2591"/>
    <w:rsid w:val="2A932085"/>
    <w:rsid w:val="2B3D52CD"/>
    <w:rsid w:val="2B4E2A99"/>
    <w:rsid w:val="2B6B18CD"/>
    <w:rsid w:val="2B980E4E"/>
    <w:rsid w:val="2BA45289"/>
    <w:rsid w:val="2C645E65"/>
    <w:rsid w:val="2C971B37"/>
    <w:rsid w:val="2CAF4ABC"/>
    <w:rsid w:val="2CF91854"/>
    <w:rsid w:val="2D780E25"/>
    <w:rsid w:val="2E001109"/>
    <w:rsid w:val="2E013307"/>
    <w:rsid w:val="2E1D2C38"/>
    <w:rsid w:val="2E3502DE"/>
    <w:rsid w:val="2E84005D"/>
    <w:rsid w:val="2F4D0EBD"/>
    <w:rsid w:val="2FBB2AA3"/>
    <w:rsid w:val="300C4661"/>
    <w:rsid w:val="30C856D8"/>
    <w:rsid w:val="31833619"/>
    <w:rsid w:val="319D3AF3"/>
    <w:rsid w:val="31E354EF"/>
    <w:rsid w:val="32296F5A"/>
    <w:rsid w:val="3250281F"/>
    <w:rsid w:val="325C2C2C"/>
    <w:rsid w:val="32AD3237"/>
    <w:rsid w:val="32DD447F"/>
    <w:rsid w:val="32FF7EB7"/>
    <w:rsid w:val="33F06C7A"/>
    <w:rsid w:val="34802092"/>
    <w:rsid w:val="34A075E3"/>
    <w:rsid w:val="355E4668"/>
    <w:rsid w:val="35C209BF"/>
    <w:rsid w:val="36314876"/>
    <w:rsid w:val="36540BFF"/>
    <w:rsid w:val="373A0948"/>
    <w:rsid w:val="379571C6"/>
    <w:rsid w:val="37965442"/>
    <w:rsid w:val="37AB163F"/>
    <w:rsid w:val="37CE516F"/>
    <w:rsid w:val="37CF3D85"/>
    <w:rsid w:val="383A0DD3"/>
    <w:rsid w:val="3849527D"/>
    <w:rsid w:val="394F6992"/>
    <w:rsid w:val="39976941"/>
    <w:rsid w:val="39C54DE2"/>
    <w:rsid w:val="3A141CA4"/>
    <w:rsid w:val="3AF44AC4"/>
    <w:rsid w:val="3B200A48"/>
    <w:rsid w:val="3B22484E"/>
    <w:rsid w:val="3B751B9A"/>
    <w:rsid w:val="3BA62369"/>
    <w:rsid w:val="3C4C18D2"/>
    <w:rsid w:val="3C7026E0"/>
    <w:rsid w:val="3C7C607D"/>
    <w:rsid w:val="3C8D4BE6"/>
    <w:rsid w:val="3C8F7C6D"/>
    <w:rsid w:val="3D20135F"/>
    <w:rsid w:val="3D532B05"/>
    <w:rsid w:val="3D8418FA"/>
    <w:rsid w:val="3E166C6B"/>
    <w:rsid w:val="3E346123"/>
    <w:rsid w:val="3E572F58"/>
    <w:rsid w:val="3E663EDE"/>
    <w:rsid w:val="3EAE6A2B"/>
    <w:rsid w:val="3ED42521"/>
    <w:rsid w:val="3F63308A"/>
    <w:rsid w:val="3F8832C9"/>
    <w:rsid w:val="3FF638FD"/>
    <w:rsid w:val="4015092F"/>
    <w:rsid w:val="40193B13"/>
    <w:rsid w:val="4026664B"/>
    <w:rsid w:val="4061040B"/>
    <w:rsid w:val="406B48F3"/>
    <w:rsid w:val="41335944"/>
    <w:rsid w:val="413614ED"/>
    <w:rsid w:val="415C59B8"/>
    <w:rsid w:val="424F2096"/>
    <w:rsid w:val="42A36480"/>
    <w:rsid w:val="433E7EE2"/>
    <w:rsid w:val="4347211D"/>
    <w:rsid w:val="439E377F"/>
    <w:rsid w:val="43FF76F8"/>
    <w:rsid w:val="442858E1"/>
    <w:rsid w:val="447830E2"/>
    <w:rsid w:val="450042C0"/>
    <w:rsid w:val="45045DE0"/>
    <w:rsid w:val="45235861"/>
    <w:rsid w:val="456B71F2"/>
    <w:rsid w:val="456D38C5"/>
    <w:rsid w:val="459270B2"/>
    <w:rsid w:val="464F3363"/>
    <w:rsid w:val="47257848"/>
    <w:rsid w:val="47531291"/>
    <w:rsid w:val="47862D65"/>
    <w:rsid w:val="48804281"/>
    <w:rsid w:val="48A06010"/>
    <w:rsid w:val="48A37CB9"/>
    <w:rsid w:val="49222CC5"/>
    <w:rsid w:val="49E360C7"/>
    <w:rsid w:val="4A686BC3"/>
    <w:rsid w:val="4A944BE6"/>
    <w:rsid w:val="4AD56CD4"/>
    <w:rsid w:val="4AEA6060"/>
    <w:rsid w:val="4B5A4F44"/>
    <w:rsid w:val="4C274FFC"/>
    <w:rsid w:val="4CC84E8C"/>
    <w:rsid w:val="4CEC1159"/>
    <w:rsid w:val="4DD92BB8"/>
    <w:rsid w:val="4F2711ED"/>
    <w:rsid w:val="4F707062"/>
    <w:rsid w:val="4F745B6E"/>
    <w:rsid w:val="5007571D"/>
    <w:rsid w:val="501C4E85"/>
    <w:rsid w:val="501F267E"/>
    <w:rsid w:val="506C72F2"/>
    <w:rsid w:val="50E12080"/>
    <w:rsid w:val="51147713"/>
    <w:rsid w:val="532A3753"/>
    <w:rsid w:val="53AE65CA"/>
    <w:rsid w:val="53B87967"/>
    <w:rsid w:val="53DD6B9E"/>
    <w:rsid w:val="53DD7F26"/>
    <w:rsid w:val="544C3E4B"/>
    <w:rsid w:val="548D0C44"/>
    <w:rsid w:val="559417F6"/>
    <w:rsid w:val="55C44544"/>
    <w:rsid w:val="56161548"/>
    <w:rsid w:val="57E37B41"/>
    <w:rsid w:val="58406E4B"/>
    <w:rsid w:val="58C75E36"/>
    <w:rsid w:val="58E2665F"/>
    <w:rsid w:val="58F66C32"/>
    <w:rsid w:val="59754CD5"/>
    <w:rsid w:val="59F83E12"/>
    <w:rsid w:val="5A4A559B"/>
    <w:rsid w:val="5A5E4DB8"/>
    <w:rsid w:val="5A6516AD"/>
    <w:rsid w:val="5AFA4AD0"/>
    <w:rsid w:val="5B243716"/>
    <w:rsid w:val="5B6E700E"/>
    <w:rsid w:val="5BFDE161"/>
    <w:rsid w:val="5C3E3E63"/>
    <w:rsid w:val="5C407366"/>
    <w:rsid w:val="5CAE321D"/>
    <w:rsid w:val="5CE94535"/>
    <w:rsid w:val="5D0B4F26"/>
    <w:rsid w:val="5D4C4020"/>
    <w:rsid w:val="5D6542B1"/>
    <w:rsid w:val="5D872AF1"/>
    <w:rsid w:val="5DBDA04C"/>
    <w:rsid w:val="5DD94F09"/>
    <w:rsid w:val="5DE62F1A"/>
    <w:rsid w:val="5E070ED0"/>
    <w:rsid w:val="5E07154B"/>
    <w:rsid w:val="5EBC54FC"/>
    <w:rsid w:val="5F06794C"/>
    <w:rsid w:val="5F697FE2"/>
    <w:rsid w:val="5F7836B0"/>
    <w:rsid w:val="5FAF7F87"/>
    <w:rsid w:val="5FC37DE4"/>
    <w:rsid w:val="5FEF342B"/>
    <w:rsid w:val="5FF32FFA"/>
    <w:rsid w:val="6029391B"/>
    <w:rsid w:val="60DD623B"/>
    <w:rsid w:val="61032E37"/>
    <w:rsid w:val="61041CC2"/>
    <w:rsid w:val="61060A78"/>
    <w:rsid w:val="6107183D"/>
    <w:rsid w:val="61D25911"/>
    <w:rsid w:val="62090166"/>
    <w:rsid w:val="62394BBB"/>
    <w:rsid w:val="627556BB"/>
    <w:rsid w:val="627A171F"/>
    <w:rsid w:val="628F3F2C"/>
    <w:rsid w:val="63124349"/>
    <w:rsid w:val="639725D2"/>
    <w:rsid w:val="63996396"/>
    <w:rsid w:val="64510A1B"/>
    <w:rsid w:val="646B1ECF"/>
    <w:rsid w:val="647228CF"/>
    <w:rsid w:val="64BE0654"/>
    <w:rsid w:val="65134C7E"/>
    <w:rsid w:val="656655EA"/>
    <w:rsid w:val="65B110CD"/>
    <w:rsid w:val="65C45D3F"/>
    <w:rsid w:val="65E43CBA"/>
    <w:rsid w:val="66027101"/>
    <w:rsid w:val="66605802"/>
    <w:rsid w:val="666F5E1C"/>
    <w:rsid w:val="667E4DB2"/>
    <w:rsid w:val="66BA587D"/>
    <w:rsid w:val="66DF3B52"/>
    <w:rsid w:val="6750514B"/>
    <w:rsid w:val="67654F94"/>
    <w:rsid w:val="67CB4CF0"/>
    <w:rsid w:val="67F97B21"/>
    <w:rsid w:val="68375408"/>
    <w:rsid w:val="68AD08CA"/>
    <w:rsid w:val="68BB7BDF"/>
    <w:rsid w:val="68BE1518"/>
    <w:rsid w:val="68C55F71"/>
    <w:rsid w:val="68CF2103"/>
    <w:rsid w:val="699D5FD4"/>
    <w:rsid w:val="69C06C16"/>
    <w:rsid w:val="69C27BA9"/>
    <w:rsid w:val="69DF7D42"/>
    <w:rsid w:val="6A115F93"/>
    <w:rsid w:val="6A820DCC"/>
    <w:rsid w:val="6AFC6872"/>
    <w:rsid w:val="6B1000B4"/>
    <w:rsid w:val="6B106F56"/>
    <w:rsid w:val="6BEF52D7"/>
    <w:rsid w:val="6C0079BC"/>
    <w:rsid w:val="6C37119B"/>
    <w:rsid w:val="6C3F2161"/>
    <w:rsid w:val="6C4F5883"/>
    <w:rsid w:val="6C54397F"/>
    <w:rsid w:val="6C5E66E4"/>
    <w:rsid w:val="6CA8161A"/>
    <w:rsid w:val="6CE13B64"/>
    <w:rsid w:val="6D696E68"/>
    <w:rsid w:val="6D6E4FE8"/>
    <w:rsid w:val="6DB44E8F"/>
    <w:rsid w:val="6DCC37B0"/>
    <w:rsid w:val="6DD2422A"/>
    <w:rsid w:val="6E092EAB"/>
    <w:rsid w:val="6E136122"/>
    <w:rsid w:val="6E2F5A53"/>
    <w:rsid w:val="6E393D5D"/>
    <w:rsid w:val="6E53278F"/>
    <w:rsid w:val="6EAB0940"/>
    <w:rsid w:val="6EBB77B6"/>
    <w:rsid w:val="6EDB0540"/>
    <w:rsid w:val="6F7118E2"/>
    <w:rsid w:val="6FBF5F0A"/>
    <w:rsid w:val="700852D9"/>
    <w:rsid w:val="70A94E62"/>
    <w:rsid w:val="710107F7"/>
    <w:rsid w:val="71072C7D"/>
    <w:rsid w:val="715C5796"/>
    <w:rsid w:val="71905160"/>
    <w:rsid w:val="71C730BB"/>
    <w:rsid w:val="723658ED"/>
    <w:rsid w:val="72442685"/>
    <w:rsid w:val="727E7FA2"/>
    <w:rsid w:val="7288628B"/>
    <w:rsid w:val="72E93FAE"/>
    <w:rsid w:val="72ED2132"/>
    <w:rsid w:val="731A4C66"/>
    <w:rsid w:val="73832DD2"/>
    <w:rsid w:val="73B415E2"/>
    <w:rsid w:val="741661E7"/>
    <w:rsid w:val="741D7737"/>
    <w:rsid w:val="74294EF5"/>
    <w:rsid w:val="742A3281"/>
    <w:rsid w:val="742E1104"/>
    <w:rsid w:val="7432183C"/>
    <w:rsid w:val="7463267F"/>
    <w:rsid w:val="747247FB"/>
    <w:rsid w:val="748F47C8"/>
    <w:rsid w:val="74CC6652"/>
    <w:rsid w:val="74D636CD"/>
    <w:rsid w:val="75124DA1"/>
    <w:rsid w:val="7519692A"/>
    <w:rsid w:val="75400D68"/>
    <w:rsid w:val="75822AD7"/>
    <w:rsid w:val="75E450FA"/>
    <w:rsid w:val="769C314D"/>
    <w:rsid w:val="76B22E8F"/>
    <w:rsid w:val="773F548C"/>
    <w:rsid w:val="78351146"/>
    <w:rsid w:val="78892558"/>
    <w:rsid w:val="78A87E00"/>
    <w:rsid w:val="78AD4288"/>
    <w:rsid w:val="78EA7FA9"/>
    <w:rsid w:val="799B610F"/>
    <w:rsid w:val="79A1389B"/>
    <w:rsid w:val="79C1634F"/>
    <w:rsid w:val="79D95D4E"/>
    <w:rsid w:val="79F301DD"/>
    <w:rsid w:val="7A382A7C"/>
    <w:rsid w:val="7AAC16F7"/>
    <w:rsid w:val="7AB66B05"/>
    <w:rsid w:val="7ACA1599"/>
    <w:rsid w:val="7ADB6844"/>
    <w:rsid w:val="7AFA6219"/>
    <w:rsid w:val="7B1E0809"/>
    <w:rsid w:val="7B242B7D"/>
    <w:rsid w:val="7BD37033"/>
    <w:rsid w:val="7BF604ED"/>
    <w:rsid w:val="7C757377"/>
    <w:rsid w:val="7CC63144"/>
    <w:rsid w:val="7CF9745D"/>
    <w:rsid w:val="7D0739D3"/>
    <w:rsid w:val="7D741FE3"/>
    <w:rsid w:val="7D8A5F9B"/>
    <w:rsid w:val="7DBD7E58"/>
    <w:rsid w:val="7DCA32B1"/>
    <w:rsid w:val="7EB34784"/>
    <w:rsid w:val="7EBF0D00"/>
    <w:rsid w:val="7F361C43"/>
    <w:rsid w:val="7F5646F6"/>
    <w:rsid w:val="7F867444"/>
    <w:rsid w:val="7F960A42"/>
    <w:rsid w:val="7FF3698D"/>
    <w:rsid w:val="E6FD42F4"/>
    <w:rsid w:val="E9DFC778"/>
    <w:rsid w:val="EB97A8B3"/>
    <w:rsid w:val="F77ED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Lines="50" w:afterLines="50" w:line="360" w:lineRule="auto"/>
      <w:outlineLvl w:val="0"/>
    </w:pPr>
    <w:rPr>
      <w:b/>
      <w:kern w:val="44"/>
      <w:sz w:val="24"/>
    </w:rPr>
  </w:style>
  <w:style w:type="paragraph" w:styleId="4">
    <w:name w:val="heading 3"/>
    <w:basedOn w:val="1"/>
    <w:next w:val="1"/>
    <w:link w:val="22"/>
    <w:qFormat/>
    <w:uiPriority w:val="9"/>
    <w:pPr>
      <w:keepNext/>
      <w:keepLines/>
      <w:spacing w:before="200" w:after="200" w:line="360" w:lineRule="auto"/>
      <w:ind w:firstLine="480" w:firstLineChars="200"/>
      <w:outlineLvl w:val="2"/>
    </w:pPr>
    <w:rPr>
      <w:rFonts w:ascii="Calibri" w:hAnsi="Calibri"/>
      <w:b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3"/>
      <w:lang w:val="en-US" w:eastAsia="zh-CN" w:bidi="ar-SA"/>
    </w:rPr>
  </w:style>
  <w:style w:type="paragraph" w:styleId="5">
    <w:name w:val="annotation text"/>
    <w:basedOn w:val="1"/>
    <w:link w:val="36"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7">
    <w:name w:val="Body Text Indent"/>
    <w:basedOn w:val="1"/>
    <w:unhideWhenUsed/>
    <w:qFormat/>
    <w:uiPriority w:val="99"/>
    <w:pPr>
      <w:adjustRightInd w:val="0"/>
      <w:spacing w:after="120" w:line="360" w:lineRule="atLeast"/>
      <w:ind w:left="200" w:leftChars="200"/>
    </w:pPr>
    <w:rPr>
      <w:szCs w:val="24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37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unhideWhenUsed/>
    <w:qFormat/>
    <w:uiPriority w:val="99"/>
    <w:rPr>
      <w:rFonts w:cs="Times New Roman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页脚 字符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标题 3 字符"/>
    <w:link w:val="4"/>
    <w:qFormat/>
    <w:uiPriority w:val="9"/>
    <w:rPr>
      <w:rFonts w:ascii="Calibri" w:hAnsi="Calibri" w:eastAsia="宋体"/>
      <w:b/>
      <w:sz w:val="24"/>
    </w:rPr>
  </w:style>
  <w:style w:type="character" w:customStyle="1" w:styleId="23">
    <w:name w:val="页眉 字符"/>
    <w:link w:val="10"/>
    <w:semiHidden/>
    <w:qFormat/>
    <w:uiPriority w:val="99"/>
    <w:rPr>
      <w:sz w:val="18"/>
      <w:szCs w:val="18"/>
    </w:rPr>
  </w:style>
  <w:style w:type="character" w:customStyle="1" w:styleId="24">
    <w:name w:val="HTML 预设格式 字符"/>
    <w:link w:val="11"/>
    <w:qFormat/>
    <w:uiPriority w:val="99"/>
    <w:rPr>
      <w:rFonts w:ascii="宋体" w:hAnsi="宋体" w:cs="宋体"/>
      <w:sz w:val="24"/>
      <w:szCs w:val="24"/>
    </w:rPr>
  </w:style>
  <w:style w:type="table" w:customStyle="1" w:styleId="25">
    <w:name w:val="网格型1"/>
    <w:basedOn w:val="1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font51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27">
    <w:name w:val="font4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8">
    <w:name w:val="font3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9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5">
    <w:name w:val="List Paragraph"/>
    <w:basedOn w:val="1"/>
    <w:qFormat/>
    <w:uiPriority w:val="99"/>
    <w:pPr>
      <w:ind w:firstLine="420" w:firstLineChars="200"/>
    </w:pPr>
  </w:style>
  <w:style w:type="character" w:customStyle="1" w:styleId="36">
    <w:name w:val="批注文字 字符"/>
    <w:basedOn w:val="15"/>
    <w:link w:val="5"/>
    <w:qFormat/>
    <w:uiPriority w:val="99"/>
    <w:rPr>
      <w:kern w:val="2"/>
      <w:sz w:val="21"/>
      <w:szCs w:val="22"/>
    </w:rPr>
  </w:style>
  <w:style w:type="character" w:customStyle="1" w:styleId="37">
    <w:name w:val="批注主题 字符"/>
    <w:basedOn w:val="36"/>
    <w:link w:val="12"/>
    <w:semiHidden/>
    <w:qFormat/>
    <w:uiPriority w:val="99"/>
    <w:rPr>
      <w:b/>
      <w:bCs/>
      <w:kern w:val="2"/>
      <w:sz w:val="21"/>
      <w:szCs w:val="22"/>
    </w:rPr>
  </w:style>
  <w:style w:type="paragraph" w:customStyle="1" w:styleId="3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4105CF-E18C-4EB6-B333-9E47F14AC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</Pages>
  <Words>791</Words>
  <Characters>880</Characters>
  <Lines>7</Lines>
  <Paragraphs>2</Paragraphs>
  <TotalTime>1</TotalTime>
  <ScaleCrop>false</ScaleCrop>
  <LinksUpToDate>false</LinksUpToDate>
  <CharactersWithSpaces>966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2024-01-30T07:28:00Z</dcterms:created>
  <dc:creator>王琴</dc:creator>
  <cp:lastModifiedBy>cdq</cp:lastModifiedBy>
  <cp:lastPrinted>2025-01-21T03:53:00Z</cp:lastPrinted>
  <dcterms:modified xsi:type="dcterms:W3CDTF">2026-01-30T07:34:43Z</dcterms:modified>
  <dc:title>证券代码：300436           证券简称：广生堂           公告编号：2021035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2CBFC82545164B54A3033356DCC9F01A</vt:lpwstr>
  </property>
  <property fmtid="{D5CDD505-2E9C-101B-9397-08002B2CF9AE}" pid="4" name="KSOTemplateDocerSaveRecord">
    <vt:lpwstr>eyJoZGlkIjoiY2Q4MDAzNjNiM2EwYjNjY2VkN2I2ZWY4OTg5YTA1ZWYiLCJ1c2VySWQiOiIxMzk5OTUwMzQxIn0=</vt:lpwstr>
  </property>
</Properties>
</file>