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5D19">
      <w:pPr>
        <w:spacing w:line="360" w:lineRule="auto"/>
        <w:rPr>
          <w:rFonts w:hint="eastAsia" w:ascii="宋体" w:hAnsi="宋体" w:cs="宋体"/>
          <w:kern w:val="0"/>
          <w:sz w:val="24"/>
          <w:szCs w:val="24"/>
        </w:rPr>
      </w:pPr>
      <w:r>
        <w:rPr>
          <w:rFonts w:ascii="宋体" w:hAnsi="宋体" w:cs="宋体"/>
          <w:kern w:val="0"/>
          <w:sz w:val="24"/>
          <w:szCs w:val="24"/>
        </w:rPr>
        <w:t>证</w:t>
      </w:r>
      <w:r>
        <w:rPr>
          <w:rFonts w:hint="eastAsia" w:ascii="宋体" w:hAnsi="宋体" w:cs="宋体"/>
          <w:kern w:val="0"/>
          <w:sz w:val="24"/>
          <w:szCs w:val="24"/>
        </w:rPr>
        <w:t>券代码：300436        证券简称：广生堂      公告编号：2026004</w:t>
      </w:r>
    </w:p>
    <w:p w14:paraId="64E26CA2">
      <w:pPr>
        <w:spacing w:before="156" w:beforeLines="50"/>
        <w:jc w:val="center"/>
        <w:rPr>
          <w:rFonts w:hint="eastAsia" w:ascii="宋体" w:hAnsi="宋体" w:cs="宋体"/>
          <w:b/>
          <w:kern w:val="0"/>
          <w:sz w:val="32"/>
          <w:szCs w:val="32"/>
        </w:rPr>
      </w:pPr>
      <w:r>
        <w:rPr>
          <w:rFonts w:hint="eastAsia" w:ascii="宋体" w:hAnsi="宋体" w:cs="宋体"/>
          <w:b/>
          <w:kern w:val="0"/>
          <w:sz w:val="32"/>
          <w:szCs w:val="32"/>
        </w:rPr>
        <w:t>福建广生堂药业股份有限公司</w:t>
      </w:r>
    </w:p>
    <w:p w14:paraId="5D6E79E9">
      <w:pPr>
        <w:jc w:val="center"/>
        <w:rPr>
          <w:rFonts w:hint="eastAsia" w:ascii="宋体" w:hAnsi="宋体" w:cs="宋体"/>
          <w:b/>
          <w:sz w:val="32"/>
          <w:szCs w:val="32"/>
        </w:rPr>
      </w:pPr>
      <w:r>
        <w:rPr>
          <w:rFonts w:hint="eastAsia" w:ascii="宋体" w:hAnsi="宋体" w:cs="宋体"/>
          <w:b/>
          <w:sz w:val="32"/>
          <w:szCs w:val="32"/>
        </w:rPr>
        <w:t>关于乙肝治疗一类创新药奈瑞可韦GST-HG141完成III期</w:t>
      </w:r>
    </w:p>
    <w:p w14:paraId="7247D188">
      <w:pPr>
        <w:jc w:val="center"/>
        <w:rPr>
          <w:rFonts w:hint="eastAsia" w:ascii="宋体" w:hAnsi="宋体" w:cs="宋体"/>
          <w:b/>
          <w:sz w:val="32"/>
          <w:szCs w:val="32"/>
        </w:rPr>
      </w:pPr>
      <w:r>
        <w:rPr>
          <w:rFonts w:hint="eastAsia" w:ascii="宋体" w:hAnsi="宋体" w:cs="宋体"/>
          <w:b/>
          <w:sz w:val="32"/>
          <w:szCs w:val="32"/>
        </w:rPr>
        <w:t>临床试验受试者入组的公告</w:t>
      </w:r>
    </w:p>
    <w:p w14:paraId="483E5234">
      <w:pPr>
        <w:jc w:val="center"/>
        <w:rPr>
          <w:rFonts w:hint="eastAsia" w:ascii="宋体" w:hAnsi="宋体" w:cs="宋体"/>
          <w:b/>
          <w:sz w:val="24"/>
          <w:szCs w:val="24"/>
        </w:rPr>
      </w:pPr>
    </w:p>
    <w:tbl>
      <w:tblPr>
        <w:tblStyle w:val="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6E642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19E48237">
            <w:pPr>
              <w:widowControl/>
              <w:ind w:firstLine="600" w:firstLineChars="200"/>
              <w:rPr>
                <w:rFonts w:hint="eastAsia" w:ascii="宋体" w:hAnsi="宋体" w:cs="宋体"/>
                <w:b/>
                <w:sz w:val="30"/>
                <w:szCs w:val="30"/>
              </w:rPr>
            </w:pPr>
            <w:r>
              <w:rPr>
                <w:rFonts w:hint="eastAsia" w:ascii="宋体" w:hAnsi="宋体" w:cs="宋体"/>
                <w:kern w:val="0"/>
                <w:sz w:val="30"/>
                <w:szCs w:val="30"/>
              </w:rPr>
              <w:t>本公司及董事会全体成员保证信息披露的内容真实、准确、完整，没有虚假记载、误导性陈述或重大遗漏。</w:t>
            </w:r>
          </w:p>
        </w:tc>
      </w:tr>
    </w:tbl>
    <w:p w14:paraId="13F81846">
      <w:pPr>
        <w:adjustRightInd w:val="0"/>
        <w:snapToGrid w:val="0"/>
        <w:spacing w:before="312" w:beforeLines="100" w:line="360" w:lineRule="auto"/>
        <w:ind w:firstLine="480" w:firstLineChars="200"/>
        <w:rPr>
          <w:rFonts w:hint="eastAsia" w:ascii="宋体" w:hAnsi="宋体" w:cs="宋体"/>
          <w:sz w:val="24"/>
          <w:szCs w:val="24"/>
        </w:rPr>
      </w:pPr>
      <w:r>
        <w:rPr>
          <w:rFonts w:hint="eastAsia" w:ascii="宋体" w:hAnsi="宋体" w:cs="宋体"/>
          <w:sz w:val="24"/>
          <w:szCs w:val="24"/>
        </w:rPr>
        <w:t>福建广生堂药业股份有限公司（以下简称“公司”）创新药控股子公司福建广生中霖生物科技有限公司的在研乙肝治疗一类创新药奈瑞可韦GST-HG141的III期临床试验，已于</w:t>
      </w:r>
      <w:r>
        <w:rPr>
          <w:rFonts w:ascii="宋体" w:hAnsi="宋体" w:cs="宋体"/>
          <w:sz w:val="24"/>
          <w:szCs w:val="24"/>
        </w:rPr>
        <w:t>近日</w:t>
      </w:r>
      <w:r>
        <w:rPr>
          <w:rFonts w:hint="eastAsia" w:ascii="宋体" w:hAnsi="宋体" w:cs="宋体"/>
          <w:sz w:val="24"/>
          <w:szCs w:val="24"/>
        </w:rPr>
        <w:t>完成全部受试者入组，合计入组</w:t>
      </w:r>
      <w:r>
        <w:rPr>
          <w:rFonts w:ascii="宋体" w:hAnsi="宋体" w:cs="宋体"/>
          <w:sz w:val="24"/>
          <w:szCs w:val="24"/>
        </w:rPr>
        <w:t>578</w:t>
      </w:r>
      <w:r>
        <w:rPr>
          <w:rFonts w:hint="eastAsia" w:ascii="宋体" w:hAnsi="宋体" w:cs="宋体"/>
          <w:sz w:val="24"/>
          <w:szCs w:val="24"/>
        </w:rPr>
        <w:t>例。</w:t>
      </w:r>
    </w:p>
    <w:p w14:paraId="2FC7F2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GST-HG141用于慢性乙型肝炎（CHB）抗病毒药物应答不佳患者联合治疗（add-on）的随机、双盲、安慰剂对照、多中心III期临床试验，</w:t>
      </w:r>
      <w:r>
        <w:rPr>
          <w:rFonts w:ascii="宋体" w:hAnsi="宋体" w:cs="宋体"/>
          <w:sz w:val="24"/>
          <w:szCs w:val="24"/>
        </w:rPr>
        <w:t>主要目的</w:t>
      </w:r>
      <w:r>
        <w:rPr>
          <w:rFonts w:hint="eastAsia" w:ascii="宋体" w:hAnsi="宋体" w:cs="宋体"/>
          <w:sz w:val="24"/>
          <w:szCs w:val="24"/>
        </w:rPr>
        <w:t>是</w:t>
      </w:r>
      <w:r>
        <w:rPr>
          <w:rFonts w:ascii="宋体" w:hAnsi="宋体" w:cs="宋体"/>
          <w:sz w:val="24"/>
          <w:szCs w:val="24"/>
        </w:rPr>
        <w:t>在经过抗病毒药物治疗的CHB应答不佳患者中评估GST-HG141治疗的有效性和安全性</w:t>
      </w:r>
      <w:r>
        <w:rPr>
          <w:rFonts w:hint="eastAsia" w:ascii="宋体" w:hAnsi="宋体" w:cs="宋体"/>
          <w:sz w:val="24"/>
          <w:szCs w:val="24"/>
        </w:rPr>
        <w:t>，联合组长单位为树兰（杭州）医院和北京大学第一医院。2026年1月，GST-HG141的III期临床及拓展研究入选</w:t>
      </w:r>
      <w:r>
        <w:rPr>
          <w:rFonts w:ascii="宋体" w:hAnsi="宋体" w:cs="宋体"/>
          <w:sz w:val="24"/>
          <w:szCs w:val="24"/>
        </w:rPr>
        <w:t>新发突发与重大传染病防控国家科技重大专项“慢性乙型肝炎临床治愈联合治疗新方案研究”项目课题三</w:t>
      </w:r>
      <w:r>
        <w:rPr>
          <w:rFonts w:hint="eastAsia" w:ascii="宋体" w:hAnsi="宋体" w:cs="宋体"/>
          <w:sz w:val="24"/>
          <w:szCs w:val="24"/>
        </w:rPr>
        <w:t>，后期拓展研究将进一步评价</w:t>
      </w:r>
      <w:r>
        <w:rPr>
          <w:rFonts w:ascii="宋体" w:hAnsi="宋体" w:cs="宋体"/>
          <w:sz w:val="24"/>
          <w:szCs w:val="24"/>
        </w:rPr>
        <w:t>GST-HG141</w:t>
      </w:r>
      <w:bookmarkStart w:id="0" w:name="_GoBack"/>
      <w:bookmarkEnd w:id="0"/>
      <w:r>
        <w:rPr>
          <w:rFonts w:hint="eastAsia" w:ascii="宋体" w:hAnsi="宋体" w:cs="宋体"/>
          <w:sz w:val="24"/>
          <w:szCs w:val="24"/>
        </w:rPr>
        <w:t>长期用药后对于cccDNA的潜在耗竭作用，并续贯联合</w:t>
      </w:r>
      <w:r>
        <w:rPr>
          <w:rFonts w:ascii="宋体" w:hAnsi="宋体" w:cs="宋体"/>
          <w:sz w:val="24"/>
          <w:szCs w:val="24"/>
        </w:rPr>
        <w:t>口服表面抗原抑制剂 GST-HG131</w:t>
      </w:r>
      <w:r>
        <w:rPr>
          <w:rFonts w:hint="eastAsia" w:ascii="宋体" w:hAnsi="宋体" w:cs="宋体"/>
          <w:sz w:val="24"/>
          <w:szCs w:val="24"/>
        </w:rPr>
        <w:t>等</w:t>
      </w:r>
      <w:r>
        <w:rPr>
          <w:rFonts w:ascii="宋体" w:hAnsi="宋体" w:cs="宋体"/>
          <w:sz w:val="24"/>
          <w:szCs w:val="24"/>
        </w:rPr>
        <w:t>的临床治愈有效性</w:t>
      </w:r>
      <w:r>
        <w:rPr>
          <w:rFonts w:hint="eastAsia" w:ascii="宋体" w:hAnsi="宋体" w:cs="宋体"/>
          <w:sz w:val="24"/>
          <w:szCs w:val="24"/>
        </w:rPr>
        <w:t>，是凸显重要临床价值的前瞻性研究。</w:t>
      </w:r>
    </w:p>
    <w:p w14:paraId="249D8E2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奈瑞可韦GST-HG141是新型乙肝核心蛋白/核衣壳调节剂，属于全新机制的在研抗乙肝病毒的一类创新药。迄今为止，全球范围内尚无同类产品上市，属潜在FIC（First in class）项目。Ib期和II期临床试验研究结果显示，GST-HG141片具有显著药效和良好的安全性，并且起效快，在核苷类药物治疗基础上对HBV DNA具有进一步显著抑制和转阴效果，且明显降低和转阴HBV pgRNA，间接体现了对HBV cccDNA的潜在有效抑制和耗竭作用，因此有潜力成为新的乙肝治疗基石药物，重构乙肝防线。2024年11月，GST-HG141的II期临床研究成果被全球肝病研究领域专业学术机构美国肝病研究协会（AASLD）作为最新突破摘要(Late-breaking Abstract)形式接受并展示。2024年12 月，GST-HG141被国家药品监督管理局药品审评中心纳入突破性治疗品种名单。</w:t>
      </w:r>
    </w:p>
    <w:p w14:paraId="4B6429B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本次GST-HG141完成III期临床试验全部</w:t>
      </w:r>
      <w:r>
        <w:rPr>
          <w:rFonts w:ascii="宋体" w:hAnsi="宋体" w:cs="宋体"/>
          <w:sz w:val="24"/>
          <w:szCs w:val="24"/>
        </w:rPr>
        <w:t>受试者入组</w:t>
      </w:r>
      <w:r>
        <w:rPr>
          <w:rFonts w:hint="eastAsia" w:ascii="宋体" w:hAnsi="宋体" w:cs="宋体"/>
          <w:sz w:val="24"/>
          <w:szCs w:val="24"/>
        </w:rPr>
        <w:t>后，尚需按照已制定临床方案和要求继续推进临床试验，并经国家药品审评部门注册审批通过后方可上市。公司已有成功开发抗新冠病毒创新药泰中定的全链条创新药研发经验，但创新药研发周期长，投入大，风险高，容易受到多方面因素的影响，临床研究存在结果不及预期甚至失败的风险，后续能否获得批准存在不确定性。公司将按国家有关规定积极推进上述研发项目，并及时对项目后续进展情况履行信息披露义务。敬请广大投资者谨慎决策，注意防范投资风险。</w:t>
      </w:r>
    </w:p>
    <w:p w14:paraId="5CA040DE">
      <w:pPr>
        <w:pStyle w:val="8"/>
        <w:spacing w:before="312" w:beforeLines="100" w:beforeAutospacing="0" w:after="312" w:afterLines="100" w:afterAutospacing="0" w:line="360" w:lineRule="auto"/>
        <w:ind w:firstLine="480" w:firstLineChars="200"/>
        <w:rPr>
          <w:rFonts w:hint="eastAsia"/>
          <w:kern w:val="2"/>
          <w:szCs w:val="21"/>
        </w:rPr>
      </w:pPr>
      <w:r>
        <w:rPr>
          <w:rFonts w:hint="eastAsia"/>
        </w:rPr>
        <w:t>特此公告。</w:t>
      </w:r>
    </w:p>
    <w:p w14:paraId="0AE56F20">
      <w:pPr>
        <w:spacing w:before="156" w:beforeLines="50" w:after="156" w:afterLines="50" w:line="360" w:lineRule="auto"/>
        <w:rPr>
          <w:rFonts w:hint="eastAsia" w:ascii="宋体" w:hAnsi="宋体" w:cs="宋体"/>
          <w:kern w:val="0"/>
          <w:sz w:val="24"/>
          <w:szCs w:val="24"/>
        </w:rPr>
      </w:pPr>
    </w:p>
    <w:p w14:paraId="1EE4D660">
      <w:pPr>
        <w:widowControl/>
        <w:adjustRightInd w:val="0"/>
        <w:snapToGrid w:val="0"/>
        <w:spacing w:line="360" w:lineRule="auto"/>
        <w:ind w:firstLine="480" w:firstLineChars="200"/>
        <w:jc w:val="right"/>
        <w:rPr>
          <w:rFonts w:hint="eastAsia" w:ascii="宋体" w:hAnsi="宋体" w:cs="宋体"/>
          <w:sz w:val="24"/>
          <w:szCs w:val="21"/>
        </w:rPr>
      </w:pPr>
      <w:r>
        <w:rPr>
          <w:rFonts w:hint="eastAsia" w:ascii="宋体" w:hAnsi="宋体" w:cs="宋体"/>
          <w:sz w:val="24"/>
          <w:szCs w:val="21"/>
        </w:rPr>
        <w:t>福建广生堂药业股份有限公司董事会</w:t>
      </w:r>
    </w:p>
    <w:p w14:paraId="4C00D9BF">
      <w:pPr>
        <w:widowControl/>
        <w:adjustRightInd w:val="0"/>
        <w:snapToGrid w:val="0"/>
        <w:spacing w:line="360" w:lineRule="auto"/>
        <w:ind w:firstLine="5520" w:firstLineChars="2300"/>
        <w:jc w:val="left"/>
        <w:rPr>
          <w:rFonts w:hint="eastAsia" w:ascii="宋体" w:hAnsi="宋体" w:cs="宋体"/>
          <w:sz w:val="24"/>
          <w:szCs w:val="24"/>
        </w:rPr>
      </w:pPr>
      <w:r>
        <w:rPr>
          <w:rFonts w:hint="eastAsia" w:ascii="宋体" w:hAnsi="宋体" w:cs="宋体"/>
          <w:sz w:val="24"/>
          <w:szCs w:val="21"/>
        </w:rPr>
        <w:t>2026年2月</w:t>
      </w:r>
      <w:r>
        <w:rPr>
          <w:rFonts w:ascii="宋体" w:hAnsi="宋体" w:cs="宋体"/>
          <w:sz w:val="24"/>
          <w:szCs w:val="21"/>
        </w:rPr>
        <w:t>4</w:t>
      </w:r>
      <w:r>
        <w:rPr>
          <w:rFonts w:hint="eastAsia" w:ascii="宋体" w:hAnsi="宋体" w:cs="宋体"/>
          <w:sz w:val="24"/>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420EC">
    <w:pPr>
      <w:pStyle w:val="5"/>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D0B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931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9E50">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07B3">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6418">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YWM0NjM1NjE0YTRmMGIwYWRmMDc5MTU4N2Q0NzQifQ=="/>
  </w:docVars>
  <w:rsids>
    <w:rsidRoot w:val="00082C74"/>
    <w:rsid w:val="00017D19"/>
    <w:rsid w:val="000311B3"/>
    <w:rsid w:val="00043EA5"/>
    <w:rsid w:val="00062142"/>
    <w:rsid w:val="00082C74"/>
    <w:rsid w:val="00092622"/>
    <w:rsid w:val="00093AA2"/>
    <w:rsid w:val="000F1437"/>
    <w:rsid w:val="000F2B72"/>
    <w:rsid w:val="000F51AB"/>
    <w:rsid w:val="00127FDD"/>
    <w:rsid w:val="00144C6A"/>
    <w:rsid w:val="00161734"/>
    <w:rsid w:val="00172457"/>
    <w:rsid w:val="001C3276"/>
    <w:rsid w:val="001F5A28"/>
    <w:rsid w:val="0021331C"/>
    <w:rsid w:val="002448CC"/>
    <w:rsid w:val="0024604B"/>
    <w:rsid w:val="002562CC"/>
    <w:rsid w:val="0026143E"/>
    <w:rsid w:val="002D1F1C"/>
    <w:rsid w:val="00303F01"/>
    <w:rsid w:val="00303F1D"/>
    <w:rsid w:val="003225AE"/>
    <w:rsid w:val="00376191"/>
    <w:rsid w:val="003975DD"/>
    <w:rsid w:val="003C27BE"/>
    <w:rsid w:val="003C796A"/>
    <w:rsid w:val="003E7976"/>
    <w:rsid w:val="00432AA7"/>
    <w:rsid w:val="00472B98"/>
    <w:rsid w:val="00494C23"/>
    <w:rsid w:val="004A04F0"/>
    <w:rsid w:val="004C65EB"/>
    <w:rsid w:val="004C7FBE"/>
    <w:rsid w:val="004D3DF7"/>
    <w:rsid w:val="004F03D6"/>
    <w:rsid w:val="00532AA5"/>
    <w:rsid w:val="00547EA4"/>
    <w:rsid w:val="00575895"/>
    <w:rsid w:val="005758C7"/>
    <w:rsid w:val="00585193"/>
    <w:rsid w:val="00587EFA"/>
    <w:rsid w:val="0066395D"/>
    <w:rsid w:val="00690D05"/>
    <w:rsid w:val="006B1FE9"/>
    <w:rsid w:val="006C30A7"/>
    <w:rsid w:val="006C71F1"/>
    <w:rsid w:val="007003EB"/>
    <w:rsid w:val="007320D8"/>
    <w:rsid w:val="00737A84"/>
    <w:rsid w:val="007568F4"/>
    <w:rsid w:val="00756F5D"/>
    <w:rsid w:val="00762A48"/>
    <w:rsid w:val="00791B37"/>
    <w:rsid w:val="007D07FC"/>
    <w:rsid w:val="007F5678"/>
    <w:rsid w:val="00801C1E"/>
    <w:rsid w:val="00851E73"/>
    <w:rsid w:val="008B3B2F"/>
    <w:rsid w:val="008D4935"/>
    <w:rsid w:val="008D666C"/>
    <w:rsid w:val="008E44A2"/>
    <w:rsid w:val="008F7F84"/>
    <w:rsid w:val="00931D51"/>
    <w:rsid w:val="009A56D2"/>
    <w:rsid w:val="009B5E57"/>
    <w:rsid w:val="009E07F6"/>
    <w:rsid w:val="00A00106"/>
    <w:rsid w:val="00A00FE0"/>
    <w:rsid w:val="00A32677"/>
    <w:rsid w:val="00A344A1"/>
    <w:rsid w:val="00A57A17"/>
    <w:rsid w:val="00A805AA"/>
    <w:rsid w:val="00A92455"/>
    <w:rsid w:val="00A976AC"/>
    <w:rsid w:val="00AB4096"/>
    <w:rsid w:val="00AF1AA1"/>
    <w:rsid w:val="00B772CA"/>
    <w:rsid w:val="00B93862"/>
    <w:rsid w:val="00BA7228"/>
    <w:rsid w:val="00BE7D4C"/>
    <w:rsid w:val="00C02F25"/>
    <w:rsid w:val="00C15CB0"/>
    <w:rsid w:val="00C166F7"/>
    <w:rsid w:val="00C564FC"/>
    <w:rsid w:val="00CC0F8D"/>
    <w:rsid w:val="00CC3391"/>
    <w:rsid w:val="00CD4982"/>
    <w:rsid w:val="00D001AA"/>
    <w:rsid w:val="00D44ECB"/>
    <w:rsid w:val="00D50BC8"/>
    <w:rsid w:val="00D82135"/>
    <w:rsid w:val="00DA523A"/>
    <w:rsid w:val="00DB2420"/>
    <w:rsid w:val="00E1047D"/>
    <w:rsid w:val="00E10BCF"/>
    <w:rsid w:val="00E71137"/>
    <w:rsid w:val="00E809F8"/>
    <w:rsid w:val="00EA1B73"/>
    <w:rsid w:val="00EB7B43"/>
    <w:rsid w:val="00ED5A8E"/>
    <w:rsid w:val="00F40987"/>
    <w:rsid w:val="00F46DA3"/>
    <w:rsid w:val="00FC5C66"/>
    <w:rsid w:val="00FE45AB"/>
    <w:rsid w:val="01832591"/>
    <w:rsid w:val="04D52E85"/>
    <w:rsid w:val="08B74923"/>
    <w:rsid w:val="093208FE"/>
    <w:rsid w:val="0B0225D9"/>
    <w:rsid w:val="0BC41804"/>
    <w:rsid w:val="106D4074"/>
    <w:rsid w:val="10AE6DBE"/>
    <w:rsid w:val="141B4B0A"/>
    <w:rsid w:val="14B42A93"/>
    <w:rsid w:val="15E20BAE"/>
    <w:rsid w:val="17286D0C"/>
    <w:rsid w:val="179764FD"/>
    <w:rsid w:val="17BE4DAF"/>
    <w:rsid w:val="1A4D7493"/>
    <w:rsid w:val="1AD55213"/>
    <w:rsid w:val="1E731769"/>
    <w:rsid w:val="21160150"/>
    <w:rsid w:val="24A94139"/>
    <w:rsid w:val="24D35EFE"/>
    <w:rsid w:val="27C56BA3"/>
    <w:rsid w:val="29961AB0"/>
    <w:rsid w:val="2A8668B4"/>
    <w:rsid w:val="2BD90527"/>
    <w:rsid w:val="2C243247"/>
    <w:rsid w:val="2DA73BC9"/>
    <w:rsid w:val="2F4260D0"/>
    <w:rsid w:val="30333103"/>
    <w:rsid w:val="32070D49"/>
    <w:rsid w:val="33AB50A9"/>
    <w:rsid w:val="34F10264"/>
    <w:rsid w:val="35644951"/>
    <w:rsid w:val="36C10BB7"/>
    <w:rsid w:val="39E84DB1"/>
    <w:rsid w:val="3A896735"/>
    <w:rsid w:val="3BA819AA"/>
    <w:rsid w:val="3DFB283E"/>
    <w:rsid w:val="41BE5866"/>
    <w:rsid w:val="428E2D6F"/>
    <w:rsid w:val="43071F86"/>
    <w:rsid w:val="452669A6"/>
    <w:rsid w:val="46A81416"/>
    <w:rsid w:val="4976170E"/>
    <w:rsid w:val="4CBC5798"/>
    <w:rsid w:val="4D1A7B0D"/>
    <w:rsid w:val="4E520210"/>
    <w:rsid w:val="4E787F99"/>
    <w:rsid w:val="4FDE1EEA"/>
    <w:rsid w:val="54F25B03"/>
    <w:rsid w:val="55701CD9"/>
    <w:rsid w:val="5CA23B87"/>
    <w:rsid w:val="61371BA7"/>
    <w:rsid w:val="61BD594B"/>
    <w:rsid w:val="622B1E9B"/>
    <w:rsid w:val="65B926B0"/>
    <w:rsid w:val="66F64CB2"/>
    <w:rsid w:val="67D0597C"/>
    <w:rsid w:val="68867589"/>
    <w:rsid w:val="6A9E228F"/>
    <w:rsid w:val="6AC01691"/>
    <w:rsid w:val="6C1D7DFE"/>
    <w:rsid w:val="6DC538B9"/>
    <w:rsid w:val="6F427E35"/>
    <w:rsid w:val="70C0732B"/>
    <w:rsid w:val="71DF632A"/>
    <w:rsid w:val="74E51BC9"/>
    <w:rsid w:val="75BB0D44"/>
    <w:rsid w:val="78EE574A"/>
    <w:rsid w:val="798C7FDD"/>
    <w:rsid w:val="7D97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5"/>
    <w:qFormat/>
    <w:uiPriority w:val="99"/>
    <w:rPr>
      <w:sz w:val="18"/>
      <w:szCs w:val="18"/>
    </w:rPr>
  </w:style>
  <w:style w:type="character" w:customStyle="1" w:styleId="13">
    <w:name w:val="页眉 字符"/>
    <w:link w:val="6"/>
    <w:semiHidden/>
    <w:qFormat/>
    <w:uiPriority w:val="99"/>
    <w:rPr>
      <w:sz w:val="18"/>
      <w:szCs w:val="18"/>
    </w:rPr>
  </w:style>
  <w:style w:type="character" w:customStyle="1" w:styleId="14">
    <w:name w:val="HTML 预设格式 字符"/>
    <w:link w:val="7"/>
    <w:qFormat/>
    <w:uiPriority w:val="99"/>
    <w:rPr>
      <w:rFonts w:ascii="宋体" w:hAnsi="宋体" w:cs="宋体"/>
      <w:sz w:val="24"/>
      <w:szCs w:val="24"/>
    </w:rPr>
  </w:style>
  <w:style w:type="table" w:customStyle="1" w:styleId="15">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fontstyle01"/>
    <w:qFormat/>
    <w:uiPriority w:val="0"/>
    <w:rPr>
      <w:rFonts w:hint="eastAsia" w:ascii="宋体" w:hAnsi="宋体" w:eastAsia="宋体"/>
      <w:color w:val="000000"/>
      <w:sz w:val="24"/>
      <w:szCs w:val="24"/>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8">
    <w:name w:val="修订2"/>
    <w:hidden/>
    <w:unhideWhenUsed/>
    <w:uiPriority w:val="99"/>
    <w:rPr>
      <w:rFonts w:ascii="Calibri" w:hAnsi="Calibri" w:eastAsia="宋体" w:cs="Times New Roman"/>
      <w:kern w:val="2"/>
      <w:sz w:val="21"/>
      <w:szCs w:val="22"/>
      <w:lang w:val="en-US" w:eastAsia="zh-CN" w:bidi="ar-SA"/>
    </w:rPr>
  </w:style>
  <w:style w:type="paragraph" w:customStyle="1" w:styleId="19">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2</Pages>
  <Words>997</Words>
  <Characters>1200</Characters>
  <Lines>8</Lines>
  <Paragraphs>2</Paragraphs>
  <TotalTime>52</TotalTime>
  <ScaleCrop>false</ScaleCrop>
  <LinksUpToDate>false</LinksUpToDate>
  <CharactersWithSpaces>1223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2026-02-03T12:06:00Z</dcterms:created>
  <dc:creator>王琴</dc:creator>
  <cp:lastModifiedBy>cdq</cp:lastModifiedBy>
  <cp:lastPrinted>2026-02-04T07:29:34Z</cp:lastPrinted>
  <dcterms:modified xsi:type="dcterms:W3CDTF">2026-02-04T07:32:27Z</dcterms:modified>
  <dc:title>证券代码:300436      证券简称：广生堂     公告编号：20170</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7297E07E659D43649D8D7C7A9D092DB7_13</vt:lpwstr>
  </property>
  <property fmtid="{D5CDD505-2E9C-101B-9397-08002B2CF9AE}" pid="4" name="KSOTemplateDocerSaveRecord">
    <vt:lpwstr>eyJoZGlkIjoiY2Q4MDAzNjNiM2EwYjNjY2VkN2I2ZWY4OTg5YTA1ZWYiLCJ1c2VySWQiOiIxMzk5OTUwMzQxIn0=</vt:lpwstr>
  </property>
</Properties>
</file>