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553D">
      <w:pPr>
        <w:spacing w:line="360" w:lineRule="auto"/>
        <w:rPr>
          <w:rFonts w:hint="eastAsia" w:ascii="宋体" w:hAnsi="宋体" w:cs="宋体"/>
          <w:kern w:val="0"/>
          <w:sz w:val="24"/>
          <w:szCs w:val="24"/>
        </w:rPr>
      </w:pPr>
      <w:r>
        <w:rPr>
          <w:rFonts w:hint="eastAsia" w:ascii="宋体" w:hAnsi="宋体" w:cs="宋体"/>
          <w:kern w:val="0"/>
          <w:sz w:val="24"/>
          <w:szCs w:val="24"/>
        </w:rPr>
        <w:t>证券代码：300436        证券简称：广生堂      公告编号：2026006</w:t>
      </w:r>
    </w:p>
    <w:p w14:paraId="53E30DD4">
      <w:pPr>
        <w:spacing w:before="156" w:beforeLines="50"/>
        <w:jc w:val="center"/>
        <w:rPr>
          <w:rFonts w:hint="eastAsia" w:ascii="宋体" w:hAnsi="宋体" w:cs="宋体"/>
          <w:b/>
          <w:kern w:val="0"/>
          <w:sz w:val="32"/>
          <w:szCs w:val="32"/>
        </w:rPr>
      </w:pPr>
      <w:r>
        <w:rPr>
          <w:rFonts w:hint="eastAsia" w:ascii="宋体" w:hAnsi="宋体" w:cs="宋体"/>
          <w:b/>
          <w:kern w:val="0"/>
          <w:sz w:val="32"/>
          <w:szCs w:val="32"/>
        </w:rPr>
        <w:t>福建广生堂药业股份有限公司</w:t>
      </w:r>
    </w:p>
    <w:p w14:paraId="489663D8">
      <w:pPr>
        <w:jc w:val="center"/>
        <w:rPr>
          <w:rFonts w:hint="eastAsia" w:ascii="宋体" w:hAnsi="宋体" w:cs="宋体"/>
          <w:b/>
          <w:sz w:val="32"/>
          <w:szCs w:val="32"/>
        </w:rPr>
      </w:pPr>
      <w:r>
        <w:rPr>
          <w:rFonts w:hint="eastAsia" w:ascii="宋体" w:hAnsi="宋体" w:cs="宋体"/>
          <w:b/>
          <w:sz w:val="32"/>
          <w:szCs w:val="32"/>
        </w:rPr>
        <w:t>关于公司申请向特定对象发行股票的第二轮审核问询函</w:t>
      </w:r>
    </w:p>
    <w:p w14:paraId="4C81298A">
      <w:pPr>
        <w:jc w:val="center"/>
        <w:rPr>
          <w:rFonts w:hint="eastAsia" w:ascii="宋体" w:hAnsi="宋体" w:cs="宋体"/>
          <w:b/>
          <w:sz w:val="32"/>
          <w:szCs w:val="32"/>
        </w:rPr>
      </w:pPr>
      <w:r>
        <w:rPr>
          <w:rFonts w:hint="eastAsia" w:ascii="宋体" w:hAnsi="宋体" w:cs="宋体"/>
          <w:b/>
          <w:sz w:val="32"/>
          <w:szCs w:val="32"/>
        </w:rPr>
        <w:t>回复等申请文件更新的提示性公告</w:t>
      </w:r>
    </w:p>
    <w:p w14:paraId="12236555">
      <w:pPr>
        <w:jc w:val="center"/>
        <w:rPr>
          <w:rFonts w:hint="eastAsia"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75D1C0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72F32B51">
            <w:pPr>
              <w:widowControl/>
              <w:ind w:firstLine="600" w:firstLineChars="200"/>
              <w:rPr>
                <w:rFonts w:hint="eastAsia" w:ascii="宋体" w:hAnsi="宋体" w:cs="宋体"/>
                <w:b/>
                <w:sz w:val="30"/>
                <w:szCs w:val="30"/>
              </w:rPr>
            </w:pPr>
            <w:r>
              <w:rPr>
                <w:rFonts w:hint="eastAsia" w:ascii="宋体" w:hAnsi="宋体" w:cs="宋体"/>
                <w:kern w:val="0"/>
                <w:sz w:val="30"/>
                <w:szCs w:val="30"/>
              </w:rPr>
              <w:t>本公司及董事会全体成员保证信息披露的内容真实、准确、完整</w:t>
            </w:r>
            <w:r>
              <w:rPr>
                <w:rFonts w:hint="eastAsia" w:ascii="宋体" w:hAnsi="宋体" w:cs="宋体"/>
                <w:color w:val="000000"/>
                <w:kern w:val="0"/>
                <w:sz w:val="30"/>
                <w:szCs w:val="30"/>
                <w:shd w:val="clear" w:color="auto" w:fill="FFFFFF"/>
              </w:rPr>
              <w:t>，</w:t>
            </w:r>
            <w:r>
              <w:rPr>
                <w:rFonts w:hint="eastAsia" w:ascii="宋体" w:hAnsi="宋体" w:cs="宋体"/>
                <w:kern w:val="0"/>
                <w:sz w:val="30"/>
                <w:szCs w:val="30"/>
              </w:rPr>
              <w:t>没有虚假记载、误导性陈述或重大遗漏。</w:t>
            </w:r>
          </w:p>
        </w:tc>
      </w:tr>
    </w:tbl>
    <w:p w14:paraId="62408E2F">
      <w:pPr>
        <w:adjustRightInd w:val="0"/>
        <w:snapToGrid w:val="0"/>
        <w:spacing w:before="312" w:beforeLines="100" w:line="360" w:lineRule="auto"/>
        <w:ind w:firstLine="480" w:firstLineChars="200"/>
        <w:rPr>
          <w:rFonts w:hint="eastAsia" w:ascii="宋体" w:hAnsi="宋体" w:cs="宋体"/>
          <w:sz w:val="24"/>
          <w:szCs w:val="24"/>
        </w:rPr>
      </w:pPr>
      <w:r>
        <w:rPr>
          <w:rFonts w:hint="eastAsia" w:ascii="宋体" w:hAnsi="宋体" w:cs="宋体"/>
          <w:sz w:val="24"/>
          <w:szCs w:val="24"/>
        </w:rPr>
        <w:t>福建广生堂药业股份有限公司（以下简称“公司”）于2026年2月6日收到深圳证券交易所（以下简称“深交所”）出具的《关于福建广生堂药业股份有限公司申请向特定对象发行股票的第二轮审核问询函》（审核函〔2026〕020012号）（以下简称“问询函”）。</w:t>
      </w:r>
      <w:bookmarkStart w:id="0" w:name="_GoBack"/>
      <w:r>
        <w:rPr>
          <w:rFonts w:ascii="宋体" w:hAnsi="宋体" w:cs="宋体"/>
          <w:sz w:val="24"/>
          <w:szCs w:val="24"/>
        </w:rPr>
        <w:t>公司会同相关中介机构按照第二轮问询函的要求， 对第二轮问询函所列问题进行了逐项落实并作出回复</w:t>
      </w:r>
      <w:r>
        <w:rPr>
          <w:rFonts w:hint="eastAsia" w:ascii="宋体" w:hAnsi="宋体" w:cs="宋体"/>
          <w:sz w:val="24"/>
          <w:szCs w:val="24"/>
        </w:rPr>
        <w:t>和说明，具体内容详见公司于2026年2月11日在巨潮资讯网（http://www.cninfo.com.cn）披露的相关公告文件。</w:t>
      </w:r>
      <w:bookmarkEnd w:id="0"/>
    </w:p>
    <w:p w14:paraId="7FA585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根据深交所第二轮问询函的进一步审核意见，公司会同相关中介机构对第二轮问询函回复等申请文件中的部分内容进行了补充与更新。具体内容详见公司同日在巨潮资讯网（http://www.cninfo.com.cn）披露的相关公告文件。</w:t>
      </w:r>
    </w:p>
    <w:p w14:paraId="0BF754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公司本次向特定对象发行股票事项尚需通过深交所审核，并获得中国证券监督管理委员会（以下简称“中国证监会”）同意注册后方可实施，最终能否通过深交所审核并获得中国证监会作出同意注册的决定及其时间尚存在不确定性。公司将根据该事项进展情况及时履行信息披露义务，敬请广大投资者谨慎决策，注意投资风险。</w:t>
      </w:r>
    </w:p>
    <w:p w14:paraId="2A7E270D">
      <w:pPr>
        <w:pStyle w:val="8"/>
        <w:spacing w:before="312" w:beforeLines="100" w:beforeAutospacing="0" w:after="312" w:afterLines="100" w:afterAutospacing="0" w:line="360" w:lineRule="auto"/>
        <w:ind w:firstLine="480" w:firstLineChars="200"/>
        <w:rPr>
          <w:rFonts w:hint="eastAsia"/>
        </w:rPr>
      </w:pPr>
      <w:r>
        <w:rPr>
          <w:rFonts w:hint="eastAsia"/>
        </w:rPr>
        <w:t>特此公告。</w:t>
      </w:r>
    </w:p>
    <w:p w14:paraId="44ACF5FD">
      <w:pPr>
        <w:widowControl/>
        <w:adjustRightInd w:val="0"/>
        <w:snapToGrid w:val="0"/>
        <w:spacing w:line="360" w:lineRule="auto"/>
        <w:ind w:firstLine="480" w:firstLineChars="200"/>
        <w:jc w:val="right"/>
        <w:rPr>
          <w:rFonts w:hint="eastAsia" w:ascii="宋体" w:hAnsi="宋体" w:cs="宋体"/>
          <w:sz w:val="24"/>
          <w:szCs w:val="21"/>
        </w:rPr>
      </w:pPr>
      <w:r>
        <w:rPr>
          <w:rFonts w:hint="eastAsia" w:ascii="宋体" w:hAnsi="宋体" w:cs="宋体"/>
          <w:sz w:val="24"/>
          <w:szCs w:val="21"/>
        </w:rPr>
        <w:t>福建广生堂药业股份有限公司董事会</w:t>
      </w:r>
    </w:p>
    <w:p w14:paraId="3A65C3B3">
      <w:pPr>
        <w:widowControl/>
        <w:adjustRightInd w:val="0"/>
        <w:snapToGrid w:val="0"/>
        <w:spacing w:line="360" w:lineRule="auto"/>
        <w:ind w:firstLine="5520" w:firstLineChars="2300"/>
        <w:jc w:val="left"/>
        <w:rPr>
          <w:rFonts w:hint="eastAsia" w:ascii="宋体" w:hAnsi="宋体" w:cs="宋体"/>
          <w:sz w:val="24"/>
          <w:szCs w:val="24"/>
        </w:rPr>
      </w:pPr>
      <w:r>
        <w:rPr>
          <w:rFonts w:hint="eastAsia" w:ascii="宋体" w:hAnsi="宋体" w:cs="宋体"/>
          <w:sz w:val="24"/>
          <w:szCs w:val="21"/>
        </w:rPr>
        <w:t>2026年3月25日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C657">
    <w:pPr>
      <w:pStyle w:val="5"/>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F55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205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5729">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923D">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D2F0">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31160025549832192"/>
  </w:docVars>
  <w:rsids>
    <w:rsidRoot w:val="00082C74"/>
    <w:rsid w:val="00043EA5"/>
    <w:rsid w:val="00062142"/>
    <w:rsid w:val="00082C74"/>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32AA7"/>
    <w:rsid w:val="00472B98"/>
    <w:rsid w:val="00494C23"/>
    <w:rsid w:val="004C65EB"/>
    <w:rsid w:val="004C7FBE"/>
    <w:rsid w:val="004D3DF7"/>
    <w:rsid w:val="004F03D6"/>
    <w:rsid w:val="00532AA5"/>
    <w:rsid w:val="00547EA4"/>
    <w:rsid w:val="005B7763"/>
    <w:rsid w:val="0066395D"/>
    <w:rsid w:val="00690D05"/>
    <w:rsid w:val="006B1FE9"/>
    <w:rsid w:val="006C71F1"/>
    <w:rsid w:val="007320D8"/>
    <w:rsid w:val="007568F4"/>
    <w:rsid w:val="00756F5D"/>
    <w:rsid w:val="00791B37"/>
    <w:rsid w:val="007B045C"/>
    <w:rsid w:val="007D07FC"/>
    <w:rsid w:val="007F5678"/>
    <w:rsid w:val="008D4935"/>
    <w:rsid w:val="008D666C"/>
    <w:rsid w:val="008E44A2"/>
    <w:rsid w:val="008F7F84"/>
    <w:rsid w:val="009E07F6"/>
    <w:rsid w:val="00A00FE0"/>
    <w:rsid w:val="00A344A1"/>
    <w:rsid w:val="00A805AA"/>
    <w:rsid w:val="00AB4096"/>
    <w:rsid w:val="00AF1AA1"/>
    <w:rsid w:val="00AF7093"/>
    <w:rsid w:val="00B73868"/>
    <w:rsid w:val="00BE7D4C"/>
    <w:rsid w:val="00CC0F8D"/>
    <w:rsid w:val="00CC3391"/>
    <w:rsid w:val="00CD4982"/>
    <w:rsid w:val="00D001AA"/>
    <w:rsid w:val="00D44ECB"/>
    <w:rsid w:val="00DA523A"/>
    <w:rsid w:val="00DB2420"/>
    <w:rsid w:val="00E10BCF"/>
    <w:rsid w:val="00E71137"/>
    <w:rsid w:val="00F40987"/>
    <w:rsid w:val="00F46DA3"/>
    <w:rsid w:val="00FC5C66"/>
    <w:rsid w:val="01832591"/>
    <w:rsid w:val="05D734A0"/>
    <w:rsid w:val="06220072"/>
    <w:rsid w:val="08B74923"/>
    <w:rsid w:val="093208FE"/>
    <w:rsid w:val="0B0225D9"/>
    <w:rsid w:val="0BC41804"/>
    <w:rsid w:val="0D452936"/>
    <w:rsid w:val="0EA87375"/>
    <w:rsid w:val="0F44270F"/>
    <w:rsid w:val="106D4074"/>
    <w:rsid w:val="10AE6DBE"/>
    <w:rsid w:val="119009A2"/>
    <w:rsid w:val="14064D1F"/>
    <w:rsid w:val="141B4B0A"/>
    <w:rsid w:val="14773A8D"/>
    <w:rsid w:val="14B42A93"/>
    <w:rsid w:val="15E20BAE"/>
    <w:rsid w:val="17286D0C"/>
    <w:rsid w:val="179764FD"/>
    <w:rsid w:val="17BE4DAF"/>
    <w:rsid w:val="1A4A57A0"/>
    <w:rsid w:val="1A4D7493"/>
    <w:rsid w:val="1AD55213"/>
    <w:rsid w:val="1B78740E"/>
    <w:rsid w:val="1D90394F"/>
    <w:rsid w:val="1E731769"/>
    <w:rsid w:val="21160150"/>
    <w:rsid w:val="249D0198"/>
    <w:rsid w:val="24A94139"/>
    <w:rsid w:val="24D35EFE"/>
    <w:rsid w:val="2624159B"/>
    <w:rsid w:val="266075D8"/>
    <w:rsid w:val="27C56BA3"/>
    <w:rsid w:val="29961AB0"/>
    <w:rsid w:val="2A8668B4"/>
    <w:rsid w:val="2BCA6EBE"/>
    <w:rsid w:val="2BD90527"/>
    <w:rsid w:val="2DA73BC9"/>
    <w:rsid w:val="2F4260D0"/>
    <w:rsid w:val="30333103"/>
    <w:rsid w:val="32070D49"/>
    <w:rsid w:val="33916B4C"/>
    <w:rsid w:val="34053096"/>
    <w:rsid w:val="35644951"/>
    <w:rsid w:val="36C10BB7"/>
    <w:rsid w:val="3A896735"/>
    <w:rsid w:val="3BA819AA"/>
    <w:rsid w:val="3DFB283E"/>
    <w:rsid w:val="3EDE2286"/>
    <w:rsid w:val="41BE5866"/>
    <w:rsid w:val="42621029"/>
    <w:rsid w:val="428E2D6F"/>
    <w:rsid w:val="43071F86"/>
    <w:rsid w:val="439671DC"/>
    <w:rsid w:val="452669A6"/>
    <w:rsid w:val="454A7094"/>
    <w:rsid w:val="46A81416"/>
    <w:rsid w:val="49F2308D"/>
    <w:rsid w:val="4BF142B8"/>
    <w:rsid w:val="4C0F2222"/>
    <w:rsid w:val="4CBC5798"/>
    <w:rsid w:val="4D1A7B0D"/>
    <w:rsid w:val="4E520210"/>
    <w:rsid w:val="4E787F99"/>
    <w:rsid w:val="4FDE1EEA"/>
    <w:rsid w:val="546A5834"/>
    <w:rsid w:val="54F25B03"/>
    <w:rsid w:val="55701CD9"/>
    <w:rsid w:val="55B00782"/>
    <w:rsid w:val="5B4C342F"/>
    <w:rsid w:val="5CA23B87"/>
    <w:rsid w:val="5CB541D1"/>
    <w:rsid w:val="5FC301EC"/>
    <w:rsid w:val="61371BA7"/>
    <w:rsid w:val="61BD594B"/>
    <w:rsid w:val="651D2808"/>
    <w:rsid w:val="65B926B0"/>
    <w:rsid w:val="66663104"/>
    <w:rsid w:val="66F64CB2"/>
    <w:rsid w:val="67D0597C"/>
    <w:rsid w:val="68867589"/>
    <w:rsid w:val="69861312"/>
    <w:rsid w:val="6AC01691"/>
    <w:rsid w:val="6C1D7DFE"/>
    <w:rsid w:val="6DC538B9"/>
    <w:rsid w:val="6F287D47"/>
    <w:rsid w:val="70C0732B"/>
    <w:rsid w:val="720C13C2"/>
    <w:rsid w:val="74E51BC9"/>
    <w:rsid w:val="75BB0D44"/>
    <w:rsid w:val="78EE574A"/>
    <w:rsid w:val="798C7FDD"/>
    <w:rsid w:val="7D975515"/>
    <w:rsid w:val="7FCA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1</Pages>
  <Words>579</Words>
  <Characters>657</Characters>
  <Lines>4</Lines>
  <Paragraphs>1</Paragraphs>
  <TotalTime>12</TotalTime>
  <ScaleCrop>false</ScaleCrop>
  <LinksUpToDate>false</LinksUpToDate>
  <CharactersWithSpaces>672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2026-03-25T03:56:51Z</dcterms:modified>
  <dc:title>证券代码:300436      证券简称：广生堂     公告编号：20170</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